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A5F7" w14:textId="3696E52A" w:rsidR="00135BB1" w:rsidRPr="004F2F20" w:rsidRDefault="005B159B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F2F20">
        <w:rPr>
          <w:rFonts w:ascii="Arial" w:hAnsi="Arial" w:cs="Arial"/>
          <w:b/>
          <w:sz w:val="24"/>
          <w:szCs w:val="24"/>
        </w:rPr>
        <w:t>Digital media s.r.o.</w:t>
      </w:r>
    </w:p>
    <w:p w14:paraId="03EBA5F8" w14:textId="4FB4F306" w:rsidR="00135BB1" w:rsidRPr="004F2F20" w:rsidRDefault="000513BA" w:rsidP="00807875">
      <w:pPr>
        <w:jc w:val="both"/>
        <w:rPr>
          <w:rFonts w:ascii="Arial" w:hAnsi="Arial" w:cs="Arial"/>
          <w:sz w:val="24"/>
          <w:szCs w:val="24"/>
        </w:rPr>
      </w:pPr>
      <w:r w:rsidRPr="004F2F20">
        <w:rPr>
          <w:rFonts w:ascii="Arial" w:hAnsi="Arial" w:cs="Arial"/>
          <w:sz w:val="24"/>
          <w:szCs w:val="24"/>
        </w:rPr>
        <w:t xml:space="preserve">zapsaná v obchodním rejstříku u Krajského soudu v Ostravě, oddíl C, vl. 20543 </w:t>
      </w:r>
      <w:r w:rsidRPr="004F2F20">
        <w:rPr>
          <w:rFonts w:ascii="Arial" w:hAnsi="Arial" w:cs="Arial"/>
          <w:sz w:val="24"/>
          <w:szCs w:val="24"/>
        </w:rPr>
        <w:br/>
      </w:r>
      <w:r w:rsidR="00135BB1" w:rsidRPr="004F2F20">
        <w:rPr>
          <w:rFonts w:ascii="Arial" w:hAnsi="Arial" w:cs="Arial"/>
          <w:sz w:val="24"/>
          <w:szCs w:val="24"/>
        </w:rPr>
        <w:t xml:space="preserve">se sídlem </w:t>
      </w:r>
      <w:r w:rsidR="005B159B" w:rsidRPr="004F2F20">
        <w:rPr>
          <w:rFonts w:ascii="Arial" w:hAnsi="Arial" w:cs="Arial"/>
          <w:sz w:val="24"/>
          <w:szCs w:val="24"/>
        </w:rPr>
        <w:t>Hamerská 215/7, 779 00 Olomouc</w:t>
      </w:r>
    </w:p>
    <w:p w14:paraId="03EBA5F9" w14:textId="0D555AF6" w:rsidR="00135BB1" w:rsidRPr="004F2F20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4F2F20">
        <w:rPr>
          <w:rFonts w:ascii="Arial" w:hAnsi="Arial" w:cs="Arial"/>
          <w:szCs w:val="24"/>
        </w:rPr>
        <w:t xml:space="preserve">IČ: </w:t>
      </w:r>
      <w:r w:rsidR="005B159B" w:rsidRPr="004F2F20">
        <w:rPr>
          <w:rFonts w:ascii="Arial" w:hAnsi="Arial" w:cs="Arial"/>
          <w:color w:val="1A1A18"/>
          <w:szCs w:val="24"/>
        </w:rPr>
        <w:t>25835513</w:t>
      </w:r>
      <w:r w:rsidR="007825B1" w:rsidRPr="004F2F20">
        <w:rPr>
          <w:rFonts w:ascii="Arial" w:hAnsi="Arial" w:cs="Arial"/>
          <w:szCs w:val="24"/>
        </w:rPr>
        <w:t>, DIČ:</w:t>
      </w:r>
      <w:r w:rsidR="005B159B" w:rsidRPr="004F2F20">
        <w:rPr>
          <w:rFonts w:ascii="Arial" w:hAnsi="Arial" w:cs="Arial"/>
          <w:szCs w:val="24"/>
        </w:rPr>
        <w:t>CZ25835513</w:t>
      </w:r>
    </w:p>
    <w:p w14:paraId="27B8B80C" w14:textId="73C2C785" w:rsidR="000513BA" w:rsidRPr="004F2F20" w:rsidRDefault="000513BA" w:rsidP="000513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4F2F20">
        <w:rPr>
          <w:rFonts w:ascii="Arial" w:hAnsi="Arial" w:cs="Arial"/>
          <w:sz w:val="24"/>
          <w:szCs w:val="24"/>
        </w:rPr>
        <w:t>ast. Milan Kubic</w:t>
      </w:r>
      <w:r>
        <w:rPr>
          <w:rFonts w:ascii="Arial" w:hAnsi="Arial" w:cs="Arial"/>
          <w:sz w:val="24"/>
          <w:szCs w:val="24"/>
        </w:rPr>
        <w:t>a,</w:t>
      </w:r>
      <w:r w:rsidRPr="004F2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jednatel</w:t>
      </w:r>
    </w:p>
    <w:p w14:paraId="1579206B" w14:textId="2BB0B73E" w:rsidR="000C5A20" w:rsidRPr="004F2F20" w:rsidRDefault="00966C79" w:rsidP="008078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C5A20" w:rsidRPr="004F2F20">
        <w:rPr>
          <w:rFonts w:ascii="Arial" w:hAnsi="Arial" w:cs="Arial"/>
          <w:sz w:val="24"/>
          <w:szCs w:val="24"/>
        </w:rPr>
        <w:t xml:space="preserve">ankovní účet: </w:t>
      </w:r>
      <w:r w:rsidR="00EC2E3C">
        <w:rPr>
          <w:rFonts w:ascii="Arial" w:hAnsi="Arial" w:cs="Arial"/>
          <w:sz w:val="24"/>
          <w:szCs w:val="24"/>
        </w:rPr>
        <w:t>xxxxxxxxxxxxxxxxxxxxxxxx</w:t>
      </w:r>
    </w:p>
    <w:p w14:paraId="03EBA5FD" w14:textId="30253136" w:rsidR="00135BB1" w:rsidRPr="004F2F20" w:rsidRDefault="00135BB1" w:rsidP="005B159B">
      <w:pPr>
        <w:jc w:val="both"/>
        <w:rPr>
          <w:rFonts w:ascii="Arial" w:hAnsi="Arial" w:cs="Arial"/>
          <w:sz w:val="24"/>
          <w:szCs w:val="24"/>
        </w:rPr>
      </w:pPr>
      <w:r w:rsidRPr="004F2F20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7358F2D9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</w:t>
      </w:r>
      <w:r w:rsidR="000513BA">
        <w:rPr>
          <w:rFonts w:ascii="Arial" w:hAnsi="Arial" w:cs="Arial"/>
          <w:sz w:val="24"/>
          <w:szCs w:val="24"/>
        </w:rPr>
        <w:t>0 00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5B3B1C47" w:rsidR="007825B1" w:rsidRPr="00587D3E" w:rsidRDefault="000513BA" w:rsidP="008078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8845234" w14:textId="77777777" w:rsidR="000513BA" w:rsidRPr="00587D3E" w:rsidRDefault="000513BA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3B63455B" w14:textId="7C217BC6" w:rsidR="008B1397" w:rsidRDefault="008B1397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1397">
        <w:rPr>
          <w:rFonts w:ascii="Arial" w:hAnsi="Arial" w:cs="Arial"/>
          <w:sz w:val="24"/>
          <w:szCs w:val="24"/>
        </w:rPr>
        <w:t>Předmětem této smlouvy je dodávka a prodloužení licencí produktů Adobe dle nabídky prodávajícího č. PO-26-00195 ze dne 5. 5. 2026, která tvoří Přílohu č. 1 a nedílnou součást této smlouvy, a to v rámci veřejné zakázky VZ260099, N006/26/V00011547.</w:t>
      </w:r>
      <w:r>
        <w:rPr>
          <w:rFonts w:ascii="Arial" w:hAnsi="Arial" w:cs="Arial"/>
          <w:sz w:val="24"/>
          <w:szCs w:val="24"/>
        </w:rPr>
        <w:br/>
      </w:r>
      <w:r w:rsidRPr="008B1397">
        <w:rPr>
          <w:rFonts w:ascii="Arial" w:hAnsi="Arial" w:cs="Arial"/>
          <w:sz w:val="24"/>
          <w:szCs w:val="24"/>
        </w:rPr>
        <w:t>Stávající licence kupujícího budou prodlouženy ve stávajících verzích a nové licence budou dodány v rozsahu a specifikaci dle nabídky prodávajícího č. PO-26-00195 (dále jen „věc“).</w:t>
      </w:r>
    </w:p>
    <w:p w14:paraId="03EBA611" w14:textId="6C22A331" w:rsidR="00135BB1" w:rsidRPr="00587D3E" w:rsidRDefault="008B1397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1397">
        <w:rPr>
          <w:rFonts w:ascii="Arial" w:hAnsi="Arial" w:cs="Arial"/>
          <w:sz w:val="24"/>
          <w:szCs w:val="24"/>
        </w:rPr>
        <w:t>Prodávající se zavazuje dle podmínek uvedených v této smlouvě odevzdat kupujícímu věc a převést na něho vlastnické právo k věci a kupující se zavazuje věc převzít a zaplatit kupní cenu.</w:t>
      </w:r>
    </w:p>
    <w:p w14:paraId="03EBA613" w14:textId="77777777" w:rsidR="0087702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8869BA" w14:textId="77777777" w:rsidR="00AB43E9" w:rsidRPr="00587D3E" w:rsidRDefault="00AB43E9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61E615BC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dne</w:t>
      </w:r>
      <w:r w:rsidR="005B159B">
        <w:rPr>
          <w:rFonts w:cs="Arial"/>
          <w:szCs w:val="24"/>
        </w:rPr>
        <w:t xml:space="preserve"> 26.5.2026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70125AB2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5B159B" w:rsidRPr="005B159B">
        <w:rPr>
          <w:rFonts w:cs="Arial"/>
          <w:szCs w:val="24"/>
        </w:rPr>
        <w:t>492 995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 xml:space="preserve">+ DPH ve výši </w:t>
      </w:r>
      <w:r w:rsidR="005B159B" w:rsidRPr="005B159B">
        <w:rPr>
          <w:rFonts w:cs="Arial"/>
          <w:szCs w:val="24"/>
        </w:rPr>
        <w:t>103 528,95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5B159B" w:rsidRPr="005B159B">
        <w:rPr>
          <w:rFonts w:cs="Arial"/>
          <w:szCs w:val="24"/>
        </w:rPr>
        <w:t>596 523,95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160859FD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59710E09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smluvních stran.</w:t>
      </w:r>
    </w:p>
    <w:p w14:paraId="03EBA63F" w14:textId="11684D44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</w:t>
      </w:r>
      <w:r w:rsidR="00DA08FC">
        <w:rPr>
          <w:rFonts w:ascii="Arial" w:hAnsi="Arial" w:cs="Arial"/>
          <w:sz w:val="24"/>
          <w:szCs w:val="24"/>
        </w:rPr>
        <w:t xml:space="preserve"> kupující</w:t>
      </w:r>
      <w:r w:rsidR="007B0EBB" w:rsidRPr="00587D3E">
        <w:rPr>
          <w:rFonts w:ascii="Arial" w:hAnsi="Arial" w:cs="Arial"/>
          <w:sz w:val="24"/>
          <w:szCs w:val="24"/>
        </w:rPr>
        <w:t xml:space="preserve"> obdrží 2 pare </w:t>
      </w:r>
      <w:r w:rsidR="00DA08FC">
        <w:rPr>
          <w:rFonts w:ascii="Arial" w:hAnsi="Arial" w:cs="Arial"/>
          <w:sz w:val="24"/>
          <w:szCs w:val="24"/>
        </w:rPr>
        <w:t>prodávající</w:t>
      </w:r>
      <w:r w:rsidR="007B0EBB" w:rsidRPr="00587D3E">
        <w:rPr>
          <w:rFonts w:ascii="Arial" w:hAnsi="Arial" w:cs="Arial"/>
          <w:sz w:val="24"/>
          <w:szCs w:val="24"/>
        </w:rPr>
        <w:t xml:space="preserve">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E2842" w14:textId="77777777" w:rsidR="00E6326E" w:rsidRPr="00587D3E" w:rsidRDefault="00E6326E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6E89B97F" w:rsidR="006B0546" w:rsidRPr="00587D3E" w:rsidRDefault="00EC2E3C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D564AF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55A57D7F" w14:textId="77777777" w:rsidR="00EC2E3C" w:rsidRDefault="00EC2E3C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C234E" w14:textId="77777777" w:rsidR="00EC2E3C" w:rsidRDefault="00EC2E3C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042B0F2A" w:rsidR="00EC2E3C" w:rsidRPr="00587D3E" w:rsidRDefault="00EC2E3C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6" w14:textId="3E5F6575" w:rsidR="006B0546" w:rsidRPr="00587D3E" w:rsidRDefault="005B159B" w:rsidP="00E632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Milan Kubica, jednatel</w:t>
            </w: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9" w14:textId="4CEF5BEA" w:rsidR="006B0546" w:rsidRPr="00CA0086" w:rsidRDefault="00CA0086" w:rsidP="00E6326E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A0086">
              <w:rPr>
                <w:rFonts w:ascii="Arial" w:hAnsi="Arial" w:cs="Arial"/>
                <w:i/>
                <w:iCs/>
                <w:sz w:val="24"/>
                <w:szCs w:val="24"/>
              </w:rPr>
              <w:t>Ing. Martin Sou</w:t>
            </w:r>
            <w:r w:rsidR="00C07A4A">
              <w:rPr>
                <w:rFonts w:ascii="Arial" w:hAnsi="Arial" w:cs="Arial"/>
                <w:i/>
                <w:iCs/>
                <w:sz w:val="24"/>
                <w:szCs w:val="24"/>
              </w:rPr>
              <w:t>ček</w:t>
            </w:r>
            <w:r w:rsidRPr="00CA008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PhD., ředitel Odboru digitalizace a informačních systémů </w:t>
            </w: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6B8D9A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2170FD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733B04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452D2C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DCFCBE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324737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A8F508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8C5EEF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FBA9D9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BCEDAD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D62A43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AA2A42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C33375" w14:textId="77777777" w:rsidR="00C07A4A" w:rsidRDefault="00C07A4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0B770F" w14:textId="77777777" w:rsidR="00E6326E" w:rsidRDefault="00E6326E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A38304" w14:textId="77777777" w:rsidR="008B1397" w:rsidRPr="008B1397" w:rsidRDefault="008B1397" w:rsidP="008B1397">
      <w:pPr>
        <w:rPr>
          <w:rFonts w:ascii="Arial" w:hAnsi="Arial" w:cs="Arial"/>
          <w:sz w:val="24"/>
          <w:szCs w:val="24"/>
        </w:rPr>
      </w:pPr>
      <w:r w:rsidRPr="008B1397">
        <w:rPr>
          <w:rFonts w:ascii="Arial" w:hAnsi="Arial" w:cs="Arial"/>
          <w:b/>
          <w:sz w:val="24"/>
          <w:szCs w:val="24"/>
        </w:rPr>
        <w:t>Příloha č. 1 – Specifikace licencí dle nabídky PO-26-00195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6840"/>
        <w:gridCol w:w="1800"/>
      </w:tblGrid>
      <w:tr w:rsidR="008B1397" w:rsidRPr="008B1397" w14:paraId="453A5256" w14:textId="77777777" w:rsidTr="5E5D75E4">
        <w:tc>
          <w:tcPr>
            <w:tcW w:w="6840" w:type="dxa"/>
          </w:tcPr>
          <w:p w14:paraId="3BE5E594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Produkt</w:t>
            </w:r>
          </w:p>
        </w:tc>
        <w:tc>
          <w:tcPr>
            <w:tcW w:w="1800" w:type="dxa"/>
          </w:tcPr>
          <w:p w14:paraId="7DA53049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Počet</w:t>
            </w:r>
          </w:p>
        </w:tc>
      </w:tr>
      <w:tr w:rsidR="008B1397" w:rsidRPr="008B1397" w14:paraId="2566EA2D" w14:textId="77777777" w:rsidTr="5E5D75E4">
        <w:tc>
          <w:tcPr>
            <w:tcW w:w="6840" w:type="dxa"/>
          </w:tcPr>
          <w:p w14:paraId="697583C8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Adobe Acrobat Pro EDU NAMED Level 4, CZ &amp; Multijazyčné Win/macOS, PRODLOUŽENÍ platnosti na dalších 12 měsíců</w:t>
            </w:r>
          </w:p>
        </w:tc>
        <w:tc>
          <w:tcPr>
            <w:tcW w:w="1800" w:type="dxa"/>
          </w:tcPr>
          <w:p w14:paraId="5C4D87FD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19 ks</w:t>
            </w:r>
          </w:p>
        </w:tc>
      </w:tr>
      <w:tr w:rsidR="008B1397" w:rsidRPr="008B1397" w14:paraId="020FEFA4" w14:textId="77777777" w:rsidTr="5E5D75E4">
        <w:tc>
          <w:tcPr>
            <w:tcW w:w="6840" w:type="dxa"/>
          </w:tcPr>
          <w:p w14:paraId="78327E16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Adobe Creative Cloud EDU NAMED Level 4 (100+), CZ &amp; Multijazyčné Win/macOS, PRODLOUŽENÍ platnosti na dalších 12 měsíců</w:t>
            </w:r>
          </w:p>
        </w:tc>
        <w:tc>
          <w:tcPr>
            <w:tcW w:w="1800" w:type="dxa"/>
          </w:tcPr>
          <w:p w14:paraId="441C059B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53 ks</w:t>
            </w:r>
          </w:p>
        </w:tc>
      </w:tr>
      <w:tr w:rsidR="008B1397" w:rsidRPr="008B1397" w14:paraId="3F9058BC" w14:textId="77777777" w:rsidTr="5E5D75E4">
        <w:tc>
          <w:tcPr>
            <w:tcW w:w="6840" w:type="dxa"/>
          </w:tcPr>
          <w:p w14:paraId="3869225F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Adobe InDesign CC EDU NAMED Level 4, CZ &amp; Multijazyčné Win/macOS, PRODLOUŽENÍ platnosti na dalších 12 měsíců</w:t>
            </w:r>
          </w:p>
        </w:tc>
        <w:tc>
          <w:tcPr>
            <w:tcW w:w="1800" w:type="dxa"/>
          </w:tcPr>
          <w:p w14:paraId="34586E68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2 ks</w:t>
            </w:r>
          </w:p>
        </w:tc>
      </w:tr>
      <w:tr w:rsidR="008B1397" w:rsidRPr="008B1397" w14:paraId="622A8CD4" w14:textId="77777777" w:rsidTr="5E5D75E4">
        <w:tc>
          <w:tcPr>
            <w:tcW w:w="6840" w:type="dxa"/>
          </w:tcPr>
          <w:p w14:paraId="1FA8ECAE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Adobe Photoshop CC EDU NAMED Level 4, CZ &amp; Multijazyčné Win/macOS, PRODLOUŽENÍ platnosti na dalších 12 měsíců</w:t>
            </w:r>
          </w:p>
        </w:tc>
        <w:tc>
          <w:tcPr>
            <w:tcW w:w="1800" w:type="dxa"/>
          </w:tcPr>
          <w:p w14:paraId="2E8C9485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14 ks</w:t>
            </w:r>
          </w:p>
        </w:tc>
      </w:tr>
      <w:tr w:rsidR="008B1397" w:rsidRPr="008B1397" w14:paraId="01280A36" w14:textId="77777777" w:rsidTr="5E5D75E4">
        <w:tc>
          <w:tcPr>
            <w:tcW w:w="6840" w:type="dxa"/>
          </w:tcPr>
          <w:p w14:paraId="15698B0B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Adobe Creative Cloud EDU SHARED DEVICE Level 4 (100+), CZ &amp; Multijazyčné Win/macOS, PRODLOUŽENÍ na dalších 12 měsíců</w:t>
            </w:r>
          </w:p>
        </w:tc>
        <w:tc>
          <w:tcPr>
            <w:tcW w:w="1800" w:type="dxa"/>
          </w:tcPr>
          <w:p w14:paraId="0D07D94D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6 ks</w:t>
            </w:r>
          </w:p>
        </w:tc>
      </w:tr>
      <w:tr w:rsidR="008B1397" w:rsidRPr="008B1397" w14:paraId="585E0528" w14:textId="77777777" w:rsidTr="5E5D75E4">
        <w:tc>
          <w:tcPr>
            <w:tcW w:w="6840" w:type="dxa"/>
          </w:tcPr>
          <w:p w14:paraId="781C65AC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Adobe CC Pro PLUS EDU NAMED HED (1-24) Level 4 (100+), CZ &amp; Multijazyčné Win/macOS, PRODLOUŽENÍ na dalších 12 měsíců</w:t>
            </w:r>
          </w:p>
        </w:tc>
        <w:tc>
          <w:tcPr>
            <w:tcW w:w="1800" w:type="dxa"/>
          </w:tcPr>
          <w:p w14:paraId="74757031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5 ks</w:t>
            </w:r>
          </w:p>
        </w:tc>
      </w:tr>
      <w:tr w:rsidR="008B1397" w:rsidRPr="008B1397" w14:paraId="1C09ADCF" w14:textId="77777777" w:rsidTr="5E5D75E4">
        <w:tc>
          <w:tcPr>
            <w:tcW w:w="6840" w:type="dxa"/>
          </w:tcPr>
          <w:p w14:paraId="29F8A507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Dorovnání na level 4</w:t>
            </w:r>
          </w:p>
        </w:tc>
        <w:tc>
          <w:tcPr>
            <w:tcW w:w="1800" w:type="dxa"/>
          </w:tcPr>
          <w:p w14:paraId="42DFBAAF" w14:textId="77777777" w:rsidR="008B1397" w:rsidRPr="008B1397" w:rsidRDefault="008B1397" w:rsidP="004D77FC">
            <w:pPr>
              <w:rPr>
                <w:rFonts w:ascii="Arial" w:hAnsi="Arial" w:cs="Arial"/>
                <w:sz w:val="24"/>
                <w:szCs w:val="24"/>
              </w:rPr>
            </w:pPr>
            <w:r w:rsidRPr="008B1397">
              <w:rPr>
                <w:rFonts w:ascii="Arial" w:hAnsi="Arial" w:cs="Arial"/>
                <w:sz w:val="24"/>
                <w:szCs w:val="24"/>
              </w:rPr>
              <w:t>1 ks</w:t>
            </w:r>
          </w:p>
        </w:tc>
      </w:tr>
    </w:tbl>
    <w:p w14:paraId="3A5D96B2" w14:textId="77777777" w:rsidR="008B1397" w:rsidRPr="008B1397" w:rsidRDefault="008B1397" w:rsidP="008B1397">
      <w:pPr>
        <w:rPr>
          <w:rFonts w:ascii="Arial" w:hAnsi="Arial" w:cs="Arial"/>
          <w:sz w:val="24"/>
          <w:szCs w:val="24"/>
        </w:rPr>
      </w:pPr>
    </w:p>
    <w:p w14:paraId="336B02DB" w14:textId="77777777" w:rsidR="008B1397" w:rsidRPr="008B1397" w:rsidRDefault="008B1397" w:rsidP="008B1397">
      <w:pPr>
        <w:rPr>
          <w:rFonts w:ascii="Arial" w:hAnsi="Arial" w:cs="Arial"/>
          <w:sz w:val="24"/>
          <w:szCs w:val="24"/>
        </w:rPr>
      </w:pPr>
      <w:r w:rsidRPr="008B1397">
        <w:rPr>
          <w:rFonts w:ascii="Arial" w:hAnsi="Arial" w:cs="Arial"/>
          <w:sz w:val="24"/>
          <w:szCs w:val="24"/>
        </w:rPr>
        <w:t>Celková cena bez DPH: 492 995,00 Kč</w:t>
      </w:r>
    </w:p>
    <w:p w14:paraId="2B595D62" w14:textId="77777777" w:rsidR="008B1397" w:rsidRPr="008B1397" w:rsidRDefault="008B1397" w:rsidP="008B1397">
      <w:pPr>
        <w:rPr>
          <w:rFonts w:ascii="Arial" w:hAnsi="Arial" w:cs="Arial"/>
          <w:sz w:val="24"/>
          <w:szCs w:val="24"/>
        </w:rPr>
      </w:pPr>
      <w:r w:rsidRPr="008B1397">
        <w:rPr>
          <w:rFonts w:ascii="Arial" w:hAnsi="Arial" w:cs="Arial"/>
          <w:sz w:val="24"/>
          <w:szCs w:val="24"/>
        </w:rPr>
        <w:t>DPH 21 %: 103 528,95 Kč</w:t>
      </w:r>
    </w:p>
    <w:p w14:paraId="36F67D41" w14:textId="1E603991" w:rsidR="00276776" w:rsidRPr="008B1397" w:rsidRDefault="008B1397" w:rsidP="008B139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1397">
        <w:rPr>
          <w:rFonts w:ascii="Arial" w:hAnsi="Arial" w:cs="Arial"/>
          <w:sz w:val="24"/>
          <w:szCs w:val="24"/>
        </w:rPr>
        <w:t>Celková cena včetně DPH: 596 523,95 Kč</w:t>
      </w:r>
    </w:p>
    <w:p w14:paraId="30AB1E08" w14:textId="77777777" w:rsidR="00276776" w:rsidRPr="008B1397" w:rsidRDefault="0027677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871DD8" w14:textId="77777777" w:rsidR="00276776" w:rsidRDefault="0027677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6AEACA" w14:textId="77777777" w:rsidR="00276776" w:rsidRDefault="0027677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2DA5FF" w14:textId="77777777" w:rsidR="00276776" w:rsidRDefault="0027677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FB53C2" w14:textId="77777777" w:rsidR="00276776" w:rsidRDefault="0027677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276776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68ED" w14:textId="77777777" w:rsidR="00FD4E2F" w:rsidRDefault="00FD4E2F">
      <w:r>
        <w:separator/>
      </w:r>
    </w:p>
  </w:endnote>
  <w:endnote w:type="continuationSeparator" w:id="0">
    <w:p w14:paraId="44ED250E" w14:textId="77777777" w:rsidR="00FD4E2F" w:rsidRDefault="00FD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E7FA" w14:textId="77777777" w:rsidR="00FD4E2F" w:rsidRDefault="00FD4E2F">
      <w:r>
        <w:separator/>
      </w:r>
    </w:p>
  </w:footnote>
  <w:footnote w:type="continuationSeparator" w:id="0">
    <w:p w14:paraId="51E01478" w14:textId="77777777" w:rsidR="00FD4E2F" w:rsidRDefault="00FD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5C7D" w14:textId="77777777" w:rsidR="00621139" w:rsidRPr="000513BA" w:rsidRDefault="00621139" w:rsidP="00621139">
    <w:pPr>
      <w:spacing w:line="276" w:lineRule="auto"/>
      <w:jc w:val="right"/>
      <w:rPr>
        <w:rFonts w:ascii="Arial" w:hAnsi="Arial" w:cs="Arial"/>
        <w:bCs/>
        <w:sz w:val="22"/>
        <w:szCs w:val="22"/>
      </w:rPr>
    </w:pPr>
    <w:r w:rsidRPr="000513BA">
      <w:rPr>
        <w:rFonts w:ascii="Arial" w:hAnsi="Arial" w:cs="Arial"/>
        <w:bCs/>
        <w:sz w:val="22"/>
        <w:szCs w:val="22"/>
      </w:rPr>
      <w:t>Č.j. :2026/2655/NM</w:t>
    </w:r>
  </w:p>
  <w:p w14:paraId="4211139E" w14:textId="0E2A0565" w:rsidR="00621139" w:rsidRDefault="00621139" w:rsidP="000513BA">
    <w:pPr>
      <w:spacing w:line="276" w:lineRule="auto"/>
      <w:jc w:val="right"/>
    </w:pPr>
    <w:r w:rsidRPr="000513BA">
      <w:rPr>
        <w:rFonts w:ascii="Arial" w:hAnsi="Arial" w:cs="Arial"/>
        <w:bCs/>
        <w:sz w:val="22"/>
        <w:szCs w:val="22"/>
      </w:rPr>
      <w:t>Č.sml.:260726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7EFE"/>
    <w:rsid w:val="00021754"/>
    <w:rsid w:val="0002554E"/>
    <w:rsid w:val="00031AA6"/>
    <w:rsid w:val="0003684B"/>
    <w:rsid w:val="000513BA"/>
    <w:rsid w:val="00086964"/>
    <w:rsid w:val="00094D44"/>
    <w:rsid w:val="000A00EB"/>
    <w:rsid w:val="000B4ACC"/>
    <w:rsid w:val="000C5A20"/>
    <w:rsid w:val="000C61F6"/>
    <w:rsid w:val="001004AD"/>
    <w:rsid w:val="00103721"/>
    <w:rsid w:val="001224EF"/>
    <w:rsid w:val="00134E01"/>
    <w:rsid w:val="00135BB1"/>
    <w:rsid w:val="00171B43"/>
    <w:rsid w:val="00195BDA"/>
    <w:rsid w:val="001A2B7A"/>
    <w:rsid w:val="001D0730"/>
    <w:rsid w:val="001D40F1"/>
    <w:rsid w:val="00203364"/>
    <w:rsid w:val="002116E8"/>
    <w:rsid w:val="0022221B"/>
    <w:rsid w:val="00236196"/>
    <w:rsid w:val="0025451D"/>
    <w:rsid w:val="00254CB7"/>
    <w:rsid w:val="00266C0C"/>
    <w:rsid w:val="002759C2"/>
    <w:rsid w:val="00276776"/>
    <w:rsid w:val="00291328"/>
    <w:rsid w:val="002A3C3C"/>
    <w:rsid w:val="002C2379"/>
    <w:rsid w:val="002D7F6D"/>
    <w:rsid w:val="002E0AFB"/>
    <w:rsid w:val="002E350C"/>
    <w:rsid w:val="002F14D0"/>
    <w:rsid w:val="002F2107"/>
    <w:rsid w:val="00315299"/>
    <w:rsid w:val="003207BC"/>
    <w:rsid w:val="00332377"/>
    <w:rsid w:val="00337FF2"/>
    <w:rsid w:val="00341E4F"/>
    <w:rsid w:val="00377A24"/>
    <w:rsid w:val="00391EBA"/>
    <w:rsid w:val="003A16C2"/>
    <w:rsid w:val="003E3D42"/>
    <w:rsid w:val="00410EB7"/>
    <w:rsid w:val="00421AC7"/>
    <w:rsid w:val="00425965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4F2F20"/>
    <w:rsid w:val="00536C02"/>
    <w:rsid w:val="00553625"/>
    <w:rsid w:val="00587D3E"/>
    <w:rsid w:val="005B1086"/>
    <w:rsid w:val="005B159B"/>
    <w:rsid w:val="005B7100"/>
    <w:rsid w:val="005E3F58"/>
    <w:rsid w:val="00621139"/>
    <w:rsid w:val="0065096B"/>
    <w:rsid w:val="00653D99"/>
    <w:rsid w:val="0068481D"/>
    <w:rsid w:val="0069320A"/>
    <w:rsid w:val="006A7046"/>
    <w:rsid w:val="006B0546"/>
    <w:rsid w:val="006B3C04"/>
    <w:rsid w:val="006C302C"/>
    <w:rsid w:val="006F1630"/>
    <w:rsid w:val="006F58B8"/>
    <w:rsid w:val="006F5B9A"/>
    <w:rsid w:val="006F6820"/>
    <w:rsid w:val="0070490D"/>
    <w:rsid w:val="00734455"/>
    <w:rsid w:val="00734668"/>
    <w:rsid w:val="007677E5"/>
    <w:rsid w:val="007825B1"/>
    <w:rsid w:val="00796D20"/>
    <w:rsid w:val="007B0EBB"/>
    <w:rsid w:val="007B16BA"/>
    <w:rsid w:val="007B2994"/>
    <w:rsid w:val="007C4A67"/>
    <w:rsid w:val="007E5BDA"/>
    <w:rsid w:val="00807875"/>
    <w:rsid w:val="00811A62"/>
    <w:rsid w:val="0082484E"/>
    <w:rsid w:val="008274ED"/>
    <w:rsid w:val="0084392A"/>
    <w:rsid w:val="00866BCE"/>
    <w:rsid w:val="00873610"/>
    <w:rsid w:val="0087702E"/>
    <w:rsid w:val="008872C1"/>
    <w:rsid w:val="008A289C"/>
    <w:rsid w:val="008B1397"/>
    <w:rsid w:val="008B65C0"/>
    <w:rsid w:val="008D28E2"/>
    <w:rsid w:val="008E0B43"/>
    <w:rsid w:val="00930F9F"/>
    <w:rsid w:val="0093262F"/>
    <w:rsid w:val="00957820"/>
    <w:rsid w:val="00966C79"/>
    <w:rsid w:val="00996521"/>
    <w:rsid w:val="009A6026"/>
    <w:rsid w:val="009F2B03"/>
    <w:rsid w:val="00A00C26"/>
    <w:rsid w:val="00A23393"/>
    <w:rsid w:val="00A34FC3"/>
    <w:rsid w:val="00A55667"/>
    <w:rsid w:val="00A820AE"/>
    <w:rsid w:val="00AA51BA"/>
    <w:rsid w:val="00AB43E9"/>
    <w:rsid w:val="00AB7062"/>
    <w:rsid w:val="00AD1433"/>
    <w:rsid w:val="00AE50A2"/>
    <w:rsid w:val="00B07093"/>
    <w:rsid w:val="00B13ED3"/>
    <w:rsid w:val="00B2055B"/>
    <w:rsid w:val="00B428AA"/>
    <w:rsid w:val="00B634FA"/>
    <w:rsid w:val="00B7420F"/>
    <w:rsid w:val="00B7732E"/>
    <w:rsid w:val="00B83F93"/>
    <w:rsid w:val="00B860CE"/>
    <w:rsid w:val="00BA07EA"/>
    <w:rsid w:val="00BD7B58"/>
    <w:rsid w:val="00BF65DE"/>
    <w:rsid w:val="00C07A4A"/>
    <w:rsid w:val="00C34B54"/>
    <w:rsid w:val="00C73BB9"/>
    <w:rsid w:val="00C80D98"/>
    <w:rsid w:val="00CA0086"/>
    <w:rsid w:val="00CA6458"/>
    <w:rsid w:val="00CB1B2A"/>
    <w:rsid w:val="00CC0185"/>
    <w:rsid w:val="00CC6DDA"/>
    <w:rsid w:val="00CE0D2D"/>
    <w:rsid w:val="00CE3E2A"/>
    <w:rsid w:val="00CE4CF3"/>
    <w:rsid w:val="00D51A52"/>
    <w:rsid w:val="00DA08FC"/>
    <w:rsid w:val="00DC724C"/>
    <w:rsid w:val="00DF191F"/>
    <w:rsid w:val="00DF2D45"/>
    <w:rsid w:val="00E03E97"/>
    <w:rsid w:val="00E36A0C"/>
    <w:rsid w:val="00E40CD7"/>
    <w:rsid w:val="00E417A2"/>
    <w:rsid w:val="00E452B7"/>
    <w:rsid w:val="00E5272F"/>
    <w:rsid w:val="00E57A41"/>
    <w:rsid w:val="00E6326E"/>
    <w:rsid w:val="00E639DF"/>
    <w:rsid w:val="00E7166C"/>
    <w:rsid w:val="00E86086"/>
    <w:rsid w:val="00EA035E"/>
    <w:rsid w:val="00EB4971"/>
    <w:rsid w:val="00EB6B79"/>
    <w:rsid w:val="00EC2E3C"/>
    <w:rsid w:val="00EE58A5"/>
    <w:rsid w:val="00EE5D21"/>
    <w:rsid w:val="00EF20C4"/>
    <w:rsid w:val="00EF659E"/>
    <w:rsid w:val="00F03C53"/>
    <w:rsid w:val="00F22E89"/>
    <w:rsid w:val="00F25027"/>
    <w:rsid w:val="00F301B2"/>
    <w:rsid w:val="00F403C2"/>
    <w:rsid w:val="00F46AA2"/>
    <w:rsid w:val="00F5425B"/>
    <w:rsid w:val="00FA6804"/>
    <w:rsid w:val="00FC1D9F"/>
    <w:rsid w:val="00FD12F9"/>
    <w:rsid w:val="00FD4E2F"/>
    <w:rsid w:val="5E5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uiPriority w:val="39"/>
    <w:rsid w:val="00CE4C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rdnpsmoodstavce"/>
    <w:rsid w:val="00CE4CF3"/>
  </w:style>
  <w:style w:type="paragraph" w:styleId="Podnadpis">
    <w:name w:val="Subtitle"/>
    <w:basedOn w:val="Normln"/>
    <w:next w:val="Normln"/>
    <w:link w:val="PodnadpisChar"/>
    <w:uiPriority w:val="11"/>
    <w:qFormat/>
    <w:rsid w:val="00CE4CF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E4CF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495">
          <w:marLeft w:val="120"/>
          <w:marRight w:val="120"/>
          <w:marTop w:val="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4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A5605F9D-21A2-4373-9224-23F6790B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4863</Characters>
  <Application>Microsoft Office Word</Application>
  <DocSecurity>0</DocSecurity>
  <Lines>187</Lines>
  <Paragraphs>94</Paragraphs>
  <ScaleCrop>false</ScaleCrop>
  <Company>AK Nipl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2026-05-13T11:26:00Z</cp:lastPrinted>
  <dcterms:created xsi:type="dcterms:W3CDTF">2026-05-15T09:00:00Z</dcterms:created>
  <dcterms:modified xsi:type="dcterms:W3CDTF">2026-05-15T09:00:00Z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