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987A" w14:textId="77777777" w:rsidR="00676208" w:rsidRPr="002D5419" w:rsidRDefault="00676208" w:rsidP="00676208">
      <w:pPr>
        <w:jc w:val="center"/>
        <w:rPr>
          <w:b/>
          <w:bCs/>
          <w:sz w:val="24"/>
          <w:szCs w:val="24"/>
        </w:rPr>
      </w:pPr>
      <w:bookmarkStart w:id="0" w:name="_Hlk82683294"/>
      <w:bookmarkStart w:id="1" w:name="_Hlk126744842"/>
      <w:r w:rsidRPr="002D5419">
        <w:rPr>
          <w:b/>
          <w:bCs/>
          <w:sz w:val="24"/>
          <w:szCs w:val="24"/>
        </w:rPr>
        <w:t>Smlouva o smlouvě budoucí</w:t>
      </w:r>
      <w:r>
        <w:rPr>
          <w:b/>
          <w:bCs/>
          <w:sz w:val="24"/>
          <w:szCs w:val="24"/>
        </w:rPr>
        <w:t xml:space="preserve"> o zřízení služebnosti</w:t>
      </w:r>
    </w:p>
    <w:p w14:paraId="23134029" w14:textId="77777777" w:rsidR="00676208" w:rsidRDefault="00676208" w:rsidP="00676208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uzavřená dle ust. § 1785 a násl. zákona č. 89/2012 Sb., občanský zákoník</w:t>
      </w:r>
    </w:p>
    <w:p w14:paraId="34913572" w14:textId="77777777" w:rsidR="00676208" w:rsidRPr="002D5419" w:rsidRDefault="00676208" w:rsidP="0067620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41BC1401" w14:textId="77777777" w:rsidR="00676208" w:rsidRPr="002D5419" w:rsidRDefault="00676208" w:rsidP="00676208">
      <w:pPr>
        <w:rPr>
          <w:sz w:val="24"/>
          <w:szCs w:val="24"/>
        </w:rPr>
      </w:pPr>
    </w:p>
    <w:p w14:paraId="6758500A" w14:textId="77777777" w:rsidR="00676208" w:rsidRPr="00D96B6E" w:rsidRDefault="00676208" w:rsidP="00676208">
      <w:pPr>
        <w:pStyle w:val="Nadpis1"/>
        <w:ind w:firstLine="289"/>
        <w:jc w:val="center"/>
        <w:rPr>
          <w:color w:val="auto"/>
        </w:rPr>
      </w:pPr>
      <w:r w:rsidRPr="00D96B6E">
        <w:rPr>
          <w:color w:val="auto"/>
        </w:rPr>
        <w:t xml:space="preserve">  </w:t>
      </w:r>
      <w:bookmarkStart w:id="2" w:name="_Ref365896718"/>
      <w:r w:rsidRPr="00D96B6E">
        <w:rPr>
          <w:color w:val="auto"/>
        </w:rPr>
        <w:t>Smluvní strany</w:t>
      </w:r>
      <w:bookmarkEnd w:id="2"/>
    </w:p>
    <w:p w14:paraId="42037C21" w14:textId="77777777" w:rsidR="00676208" w:rsidRPr="002D5419" w:rsidRDefault="00676208" w:rsidP="00676208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povinný:</w:t>
      </w:r>
    </w:p>
    <w:p w14:paraId="1ABDD86E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0024B0A8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</w:p>
    <w:p w14:paraId="1A99D574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>
        <w:rPr>
          <w:sz w:val="24"/>
          <w:szCs w:val="24"/>
        </w:rPr>
        <w:t>JUDr. Markétou Vaňkovou</w:t>
      </w:r>
      <w:r w:rsidRPr="002D5419">
        <w:rPr>
          <w:sz w:val="24"/>
          <w:szCs w:val="24"/>
        </w:rPr>
        <w:t>, primátor</w:t>
      </w:r>
      <w:r>
        <w:rPr>
          <w:sz w:val="24"/>
          <w:szCs w:val="24"/>
        </w:rPr>
        <w:t>kou</w:t>
      </w:r>
    </w:p>
    <w:p w14:paraId="1A9E945E" w14:textId="77777777" w:rsidR="00676208" w:rsidRPr="002D5419" w:rsidRDefault="00676208" w:rsidP="00676208">
      <w:pPr>
        <w:rPr>
          <w:sz w:val="24"/>
          <w:szCs w:val="24"/>
        </w:rPr>
      </w:pPr>
      <w:r>
        <w:rPr>
          <w:sz w:val="24"/>
          <w:szCs w:val="24"/>
        </w:rPr>
        <w:t>Podpisem smlouvy pověřen:</w:t>
      </w:r>
      <w:r>
        <w:rPr>
          <w:sz w:val="24"/>
          <w:szCs w:val="24"/>
        </w:rPr>
        <w:tab/>
        <w:t>I</w:t>
      </w:r>
      <w:r w:rsidRPr="002D5419">
        <w:rPr>
          <w:sz w:val="24"/>
          <w:szCs w:val="24"/>
        </w:rPr>
        <w:t xml:space="preserve">ng. </w:t>
      </w:r>
      <w:r>
        <w:rPr>
          <w:sz w:val="24"/>
          <w:szCs w:val="24"/>
        </w:rPr>
        <w:t>Tomáš Pivec</w:t>
      </w:r>
      <w:r w:rsidRPr="002D5419">
        <w:rPr>
          <w:sz w:val="24"/>
          <w:szCs w:val="24"/>
        </w:rPr>
        <w:t>,</w:t>
      </w:r>
      <w:r>
        <w:rPr>
          <w:sz w:val="24"/>
          <w:szCs w:val="24"/>
        </w:rPr>
        <w:t xml:space="preserve"> MBA, v</w:t>
      </w:r>
      <w:r w:rsidRPr="002D5419">
        <w:rPr>
          <w:sz w:val="24"/>
          <w:szCs w:val="24"/>
        </w:rPr>
        <w:t xml:space="preserve">edoucí Odboru </w:t>
      </w:r>
      <w:r>
        <w:rPr>
          <w:sz w:val="24"/>
          <w:szCs w:val="24"/>
        </w:rPr>
        <w:t>investičního</w:t>
      </w:r>
    </w:p>
    <w:p w14:paraId="50AE9818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550DBAB9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0AC12DBE" w14:textId="77777777" w:rsidR="00676208" w:rsidRPr="002D5419" w:rsidRDefault="00676208" w:rsidP="0067620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30048008" w14:textId="77777777" w:rsidR="00676208" w:rsidRPr="002D5419" w:rsidRDefault="00676208" w:rsidP="0067620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budoucí povinný) </w:t>
      </w:r>
    </w:p>
    <w:p w14:paraId="37B07A9D" w14:textId="77777777" w:rsidR="00676208" w:rsidRPr="002D5419" w:rsidRDefault="00676208" w:rsidP="00676208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085CAC5C" w14:textId="77777777" w:rsidR="00676208" w:rsidRDefault="00676208" w:rsidP="00676208">
      <w:pPr>
        <w:numPr>
          <w:ilvl w:val="1"/>
          <w:numId w:val="2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871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676208" w14:paraId="31DE6243" w14:textId="77777777" w:rsidTr="00971997">
        <w:trPr>
          <w:cantSplit/>
        </w:trPr>
        <w:tc>
          <w:tcPr>
            <w:tcW w:w="8715" w:type="dxa"/>
          </w:tcPr>
          <w:p w14:paraId="664CF84C" w14:textId="462115E8" w:rsidR="00676208" w:rsidRDefault="00676208" w:rsidP="00971997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 xml:space="preserve">EG.D, </w:t>
            </w:r>
            <w:r w:rsidR="002E2C75">
              <w:rPr>
                <w:bCs/>
              </w:rPr>
              <w:t>s.r.o.</w:t>
            </w:r>
          </w:p>
        </w:tc>
      </w:tr>
      <w:tr w:rsidR="00676208" w14:paraId="4B514678" w14:textId="77777777" w:rsidTr="00971997">
        <w:trPr>
          <w:cantSplit/>
        </w:trPr>
        <w:tc>
          <w:tcPr>
            <w:tcW w:w="8715" w:type="dxa"/>
          </w:tcPr>
          <w:p w14:paraId="3B6C7856" w14:textId="77777777" w:rsidR="00676208" w:rsidRDefault="00676208" w:rsidP="00971997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se sídlem  Lidická 1873/36, 602 00 Brno</w:t>
            </w:r>
          </w:p>
        </w:tc>
      </w:tr>
      <w:tr w:rsidR="00676208" w14:paraId="688932AE" w14:textId="77777777" w:rsidTr="00971997">
        <w:trPr>
          <w:cantSplit/>
        </w:trPr>
        <w:tc>
          <w:tcPr>
            <w:tcW w:w="8715" w:type="dxa"/>
          </w:tcPr>
          <w:p w14:paraId="08095186" w14:textId="7C0A6FCA" w:rsidR="00676208" w:rsidRPr="002E2C75" w:rsidRDefault="00676208" w:rsidP="00971997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 w:rsidRPr="002E2C75">
              <w:rPr>
                <w:b w:val="0"/>
                <w:bCs/>
                <w:sz w:val="24"/>
              </w:rPr>
              <w:t xml:space="preserve">IČ : </w:t>
            </w:r>
            <w:r w:rsidR="002E2C75" w:rsidRPr="002E2C75">
              <w:rPr>
                <w:b w:val="0"/>
                <w:bCs/>
                <w:sz w:val="24"/>
              </w:rPr>
              <w:t>21055050</w:t>
            </w:r>
            <w:r w:rsidRPr="002E2C75">
              <w:rPr>
                <w:b w:val="0"/>
                <w:bCs/>
                <w:sz w:val="24"/>
              </w:rPr>
              <w:t xml:space="preserve">            DIČ : CZ</w:t>
            </w:r>
            <w:r w:rsidR="002E2C75" w:rsidRPr="002E2C75">
              <w:rPr>
                <w:b w:val="0"/>
                <w:bCs/>
                <w:sz w:val="24"/>
              </w:rPr>
              <w:t>21055050</w:t>
            </w:r>
          </w:p>
        </w:tc>
      </w:tr>
      <w:tr w:rsidR="00676208" w14:paraId="6F922AE3" w14:textId="77777777" w:rsidTr="00971997">
        <w:trPr>
          <w:cantSplit/>
        </w:trPr>
        <w:tc>
          <w:tcPr>
            <w:tcW w:w="8715" w:type="dxa"/>
          </w:tcPr>
          <w:p w14:paraId="726A3578" w14:textId="2F9AAB7E" w:rsidR="00676208" w:rsidRPr="000C6D3B" w:rsidRDefault="00676208" w:rsidP="00971997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</w:t>
            </w:r>
            <w:r w:rsidR="002E2C75">
              <w:rPr>
                <w:b w:val="0"/>
                <w:bCs/>
                <w:sz w:val="24"/>
              </w:rPr>
              <w:t>C</w:t>
            </w:r>
            <w:r w:rsidRPr="000C6D3B">
              <w:rPr>
                <w:b w:val="0"/>
                <w:bCs/>
                <w:sz w:val="24"/>
              </w:rPr>
              <w:t>, vložka</w:t>
            </w:r>
            <w:r w:rsidR="002E2C75">
              <w:rPr>
                <w:b w:val="0"/>
                <w:bCs/>
                <w:sz w:val="24"/>
              </w:rPr>
              <w:t> 142374</w:t>
            </w:r>
          </w:p>
        </w:tc>
      </w:tr>
      <w:tr w:rsidR="00676208" w14:paraId="5B6FCAFE" w14:textId="77777777" w:rsidTr="00971997">
        <w:trPr>
          <w:cantSplit/>
        </w:trPr>
        <w:tc>
          <w:tcPr>
            <w:tcW w:w="8715" w:type="dxa"/>
          </w:tcPr>
          <w:p w14:paraId="55842EB0" w14:textId="63652B2B" w:rsidR="00676208" w:rsidRPr="00216E4F" w:rsidRDefault="00676208" w:rsidP="00971997">
            <w:pPr>
              <w:pStyle w:val="Zkladntext"/>
              <w:rPr>
                <w:bCs/>
              </w:rPr>
            </w:pPr>
            <w:r>
              <w:rPr>
                <w:bCs/>
              </w:rPr>
              <w:t xml:space="preserve">zastoupená na základě plné moci </w:t>
            </w:r>
            <w:r w:rsidRPr="004F414B">
              <w:rPr>
                <w:bCs/>
              </w:rPr>
              <w:t>ze dne</w:t>
            </w:r>
            <w:r>
              <w:rPr>
                <w:bCs/>
              </w:rPr>
              <w:t xml:space="preserve"> </w:t>
            </w:r>
            <w:r w:rsidR="00204F50">
              <w:rPr>
                <w:bCs/>
              </w:rPr>
              <w:t>xxx</w:t>
            </w:r>
            <w:r>
              <w:rPr>
                <w:bCs/>
              </w:rPr>
              <w:t xml:space="preserve"> pověřeným</w:t>
            </w:r>
            <w:r w:rsidR="00D84309">
              <w:rPr>
                <w:bCs/>
              </w:rPr>
              <w:t>i</w:t>
            </w:r>
            <w:r>
              <w:rPr>
                <w:bCs/>
              </w:rPr>
              <w:t xml:space="preserve"> zaměstnan</w:t>
            </w:r>
            <w:r w:rsidR="00D84309">
              <w:rPr>
                <w:bCs/>
              </w:rPr>
              <w:t>ci</w:t>
            </w:r>
            <w:r>
              <w:rPr>
                <w:bCs/>
              </w:rPr>
              <w:t xml:space="preserve"> Regionální správy Brno:</w:t>
            </w:r>
          </w:p>
          <w:p w14:paraId="0CB007D4" w14:textId="2B0E9B6B" w:rsidR="00676208" w:rsidRDefault="00204F50" w:rsidP="00971997">
            <w:pPr>
              <w:pStyle w:val="Zkladntext"/>
              <w:rPr>
                <w:bCs/>
              </w:rPr>
            </w:pPr>
            <w:r>
              <w:rPr>
                <w:bCs/>
              </w:rPr>
              <w:t>xxx</w:t>
            </w:r>
          </w:p>
          <w:p w14:paraId="4B000940" w14:textId="6B31636B" w:rsidR="00D84309" w:rsidRPr="00713182" w:rsidRDefault="00204F50" w:rsidP="00971997">
            <w:pPr>
              <w:pStyle w:val="Zkladntext"/>
              <w:rPr>
                <w:bCs/>
                <w:color w:val="auto"/>
              </w:rPr>
            </w:pPr>
            <w:r>
              <w:rPr>
                <w:bCs/>
              </w:rPr>
              <w:t>xxx</w:t>
            </w:r>
          </w:p>
        </w:tc>
      </w:tr>
    </w:tbl>
    <w:p w14:paraId="6ACB5DF1" w14:textId="77777777" w:rsidR="00676208" w:rsidRPr="002D5419" w:rsidRDefault="00676208" w:rsidP="0067620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16DFE76E" w14:textId="77777777" w:rsidR="00676208" w:rsidRPr="002D5419" w:rsidRDefault="00676208" w:rsidP="00676208">
      <w:pPr>
        <w:pStyle w:val="Zkladntext"/>
        <w:jc w:val="center"/>
        <w:rPr>
          <w:bCs/>
          <w:szCs w:val="24"/>
        </w:rPr>
      </w:pPr>
    </w:p>
    <w:p w14:paraId="26BE2AA0" w14:textId="77777777" w:rsidR="00676208" w:rsidRPr="002D5419" w:rsidRDefault="00676208" w:rsidP="00676208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>uzavírají dle ust. § 1785 a násl. zákona č. 89/2012 Sb., občanský zákoník tuto smlouvu o smlouvě budoucí tohoto znění (dále jen smlouva).</w:t>
      </w:r>
    </w:p>
    <w:p w14:paraId="6875F06C" w14:textId="77777777" w:rsidR="00676208" w:rsidRPr="00C33DE8" w:rsidRDefault="00676208" w:rsidP="00676208">
      <w:pPr>
        <w:pStyle w:val="Nadpis1"/>
        <w:ind w:firstLine="289"/>
        <w:jc w:val="center"/>
        <w:rPr>
          <w:color w:val="auto"/>
        </w:rPr>
      </w:pPr>
      <w:r w:rsidRPr="00C33DE8">
        <w:rPr>
          <w:color w:val="auto"/>
        </w:rPr>
        <w:t>Předmět smlouvy</w:t>
      </w:r>
    </w:p>
    <w:p w14:paraId="0F955733" w14:textId="7FE54FFA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</w:t>
      </w:r>
      <w:r w:rsidR="00177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3B7A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126/1, 202/13, 1125/4"/>
            </w:textInput>
          </w:ffData>
        </w:fldChar>
      </w:r>
      <w:r w:rsidR="003B7A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3B7A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3B7A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3B7AEC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1126/1, 202/13, 1125/4</w:t>
      </w:r>
      <w:r w:rsidR="003B7AE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2F194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k.</w:t>
      </w:r>
      <w:r w:rsidR="001775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ú. </w:t>
      </w:r>
      <w:r w:rsidR="003B7AE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Ivanovice"/>
            </w:textInput>
          </w:ffData>
        </w:fldChar>
      </w:r>
      <w:r w:rsidR="003B7AE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3B7AE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3B7AE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3B7AEC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Ivanovice</w:t>
      </w:r>
      <w:r w:rsidR="003B7AE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služebn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ictví budoucího povinného zapsan</w:t>
      </w:r>
      <w:r w:rsidR="00B9130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Brno - město</w:t>
      </w:r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6F3EEB95" w14:textId="5A75DF8D" w:rsidR="00676208" w:rsidRPr="002D5419" w:rsidRDefault="00A90453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Tato smlouva je uzavřena z důvodu stavby distribuční soustavy –</w:t>
      </w:r>
      <w:r w:rsidR="00B40A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kabelové vedení </w:t>
      </w:r>
      <w:r w:rsidR="006524B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</w:t>
      </w:r>
      <w:r w:rsidR="00B40A5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 </w:t>
      </w: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inženýrská síť) realizované pod názvem „</w:t>
      </w:r>
      <w:r w:rsidR="0027715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Hradecká, D-oil., připojení VN/NN"/>
            </w:textInput>
          </w:ffData>
        </w:fldChar>
      </w:r>
      <w:r w:rsidR="0027715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instrText xml:space="preserve"> FORMTEXT </w:instrText>
      </w:r>
      <w:r w:rsidR="00277159">
        <w:rPr>
          <w:rFonts w:ascii="Times New Roman" w:hAnsi="Times New Roman"/>
          <w:b w:val="0"/>
          <w:snapToGrid w:val="0"/>
          <w:color w:val="000000"/>
          <w:sz w:val="24"/>
          <w:szCs w:val="20"/>
        </w:rPr>
      </w:r>
      <w:r w:rsidR="0027715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separate"/>
      </w:r>
      <w:r w:rsidR="00277159">
        <w:rPr>
          <w:rFonts w:ascii="Times New Roman" w:hAnsi="Times New Roman"/>
          <w:b w:val="0"/>
          <w:noProof/>
          <w:snapToGrid w:val="0"/>
          <w:color w:val="000000"/>
          <w:sz w:val="24"/>
          <w:szCs w:val="20"/>
        </w:rPr>
        <w:t>Brno, Hradecká, D-oil., připojení VN/NN</w:t>
      </w:r>
      <w:r w:rsidR="0027715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fldChar w:fldCharType="end"/>
      </w:r>
      <w:r w:rsidRPr="00A90453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="00676208"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="00676208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inženýrské sítě</w:t>
      </w:r>
      <w:r w:rsidR="0067620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="00676208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="00676208"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5BE0ABD6" w14:textId="14467888" w:rsidR="00676208" w:rsidRPr="00FD6DE6" w:rsidRDefault="00676208" w:rsidP="00FD6DE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zakresleno na výkresu „</w:t>
      </w:r>
      <w:r w:rsidR="002771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Situace – Nový stav</w:t>
      </w:r>
      <w:r w:rsidRPr="00FD6DE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který tvoří přílohu a nedílnou součást této smlouvy.</w:t>
      </w:r>
    </w:p>
    <w:p w14:paraId="5058B48E" w14:textId="77777777" w:rsidR="00446F20" w:rsidRPr="00446F20" w:rsidRDefault="00446F20" w:rsidP="00446F20">
      <w:pPr>
        <w:pStyle w:val="Nadpis1"/>
        <w:spacing w:before="240"/>
        <w:ind w:firstLine="289"/>
        <w:jc w:val="center"/>
        <w:rPr>
          <w:color w:val="auto"/>
        </w:rPr>
      </w:pPr>
      <w:bookmarkStart w:id="3" w:name="_Ref366227678"/>
      <w:r w:rsidRPr="00446F20">
        <w:rPr>
          <w:color w:val="auto"/>
        </w:rPr>
        <w:lastRenderedPageBreak/>
        <w:t>Závazky smluvních stran</w:t>
      </w:r>
      <w:bookmarkEnd w:id="3"/>
    </w:p>
    <w:p w14:paraId="56AC2140" w14:textId="110711B4" w:rsidR="00446F20" w:rsidRPr="00B76A96" w:rsidRDefault="00446F20" w:rsidP="00446F20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 na 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</w:t>
      </w:r>
      <w:r w:rsidR="002076C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04861966" w14:textId="1BD94188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4" w:name="_Ref365879978"/>
      <w:bookmarkStart w:id="5" w:name="_Ref36623171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služebných pozemcích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 na 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bookmarkEnd w:id="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  <w:bookmarkEnd w:id="5"/>
    </w:p>
    <w:p w14:paraId="27891B6C" w14:textId="1ADEA9A9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uvést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1EDCF0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2B2B5239" w14:textId="41F71D5D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bude povinen užívat 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37FE2E06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2D386370" w14:textId="77777777" w:rsidR="00676208" w:rsidRPr="001E6DE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vymezení rozsahu věcného břemene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geometrický plán). </w:t>
      </w:r>
      <w:r w:rsidRPr="00676A8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Rozsah služebnosti bude </w:t>
      </w:r>
      <w:r w:rsidRPr="001E6DE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vyznačen v šířce min. 0,25 m od vnějšího líce stěny chráničky na každou stranu</w:t>
      </w:r>
      <w:r w:rsidRPr="001E6DE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74B8F8F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58CF52EA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24ACBF6A" w14:textId="0C5A883D" w:rsidR="00676208" w:rsidRPr="004C734E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</w:t>
      </w:r>
      <w:r w:rsidR="00B76A9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tohoto pozemku.</w:t>
      </w:r>
    </w:p>
    <w:p w14:paraId="12380846" w14:textId="77777777" w:rsidR="00676208" w:rsidRPr="002A362F" w:rsidRDefault="00676208" w:rsidP="00676208">
      <w:pPr>
        <w:pStyle w:val="Nadpis1"/>
        <w:jc w:val="center"/>
        <w:rPr>
          <w:color w:val="auto"/>
        </w:rPr>
      </w:pPr>
      <w:r w:rsidRPr="002A362F">
        <w:rPr>
          <w:color w:val="auto"/>
        </w:rPr>
        <w:t>Cena za zřízení práva služebnosti</w:t>
      </w:r>
    </w:p>
    <w:p w14:paraId="0AA212D7" w14:textId="77777777" w:rsidR="00676208" w:rsidRPr="002D5419" w:rsidRDefault="00676208" w:rsidP="0067620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 služebným pozemkům ve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 (dále jen Metodika oceňování).</w:t>
      </w:r>
    </w:p>
    <w:p w14:paraId="6039880C" w14:textId="1D9B7B92" w:rsidR="00C015E5" w:rsidRDefault="00676208" w:rsidP="00C015E5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 w:rsidR="002076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k.</w:t>
      </w:r>
      <w:r w:rsidR="00177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ú. </w:t>
      </w:r>
      <w:r w:rsidR="006524B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Ivanovice"/>
            </w:textInput>
          </w:ffData>
        </w:fldChar>
      </w:r>
      <w:r w:rsidR="006524B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6524B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6524B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6524B9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Ivanovice</w:t>
      </w:r>
      <w:r w:rsidR="006524B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</w:t>
      </w:r>
      <w:r w:rsidR="001775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č. </w:t>
      </w:r>
      <w:r w:rsidR="00561F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126/1, 202/13, 1125/4"/>
            </w:textInput>
          </w:ffData>
        </w:fldChar>
      </w:r>
      <w:r w:rsidR="00561F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561F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561F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561FBA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1126/1, 202/13, 1125/4</w:t>
      </w:r>
      <w:r w:rsidR="00561F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 cenou ve výši</w:t>
      </w:r>
      <w:r w:rsidR="00F623E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956E2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0540D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Kč/m² výměry služebnosti.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  <w:r w:rsidRPr="0016491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</w:p>
    <w:p w14:paraId="06B9786F" w14:textId="26853B1D" w:rsidR="00676208" w:rsidRPr="002D5419" w:rsidRDefault="00676208" w:rsidP="00C015E5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1</w:t>
      </w:r>
      <w:r w:rsidR="00C015E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144DE1E4" w14:textId="77777777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366233675"/>
      <w:r w:rsidRPr="00FE0520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6"/>
    </w:p>
    <w:p w14:paraId="0ADF97B6" w14:textId="3BCE686B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 30</w:t>
      </w:r>
      <w:r w:rsidR="00F7021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dnů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1E6DE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</w:t>
      </w:r>
      <w:r w:rsidR="00C015E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1E6DE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účinnosti smlouvy o zřízení služebnosti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3ECBD737" w14:textId="77777777" w:rsidR="00676208" w:rsidRPr="0016491D" w:rsidRDefault="00676208" w:rsidP="0067620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7" w:name="_Hlk173318480"/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2D0C385E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bookmarkStart w:id="8" w:name="_Ref366233406"/>
      <w:bookmarkEnd w:id="7"/>
      <w:r w:rsidRPr="009258BD">
        <w:rPr>
          <w:color w:val="auto"/>
        </w:rPr>
        <w:t>Ustanovení zvláštní</w:t>
      </w:r>
      <w:bookmarkEnd w:id="8"/>
    </w:p>
    <w:p w14:paraId="48DB2A64" w14:textId="4B807574" w:rsidR="00676208" w:rsidRPr="004A064E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9" w:name="_Ref366227512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10" w:name="_Ref366228032"/>
      <w:bookmarkEnd w:id="9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</w:t>
      </w:r>
      <w:r w:rsidR="00A6586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PDF a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DGN v souřadnicovém systému S-JTSK, výměru služebnosti na každém ze služebných pozemků samostatně a odsouhlasení geometrického plánu Evidenčním oddělením Majetkového odboru Magistrátu města Brna.</w:t>
      </w:r>
      <w:bookmarkEnd w:id="10"/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1AF619AB" w14:textId="77777777" w:rsidR="00676208" w:rsidRPr="00A95DA7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6E4378B4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bookmarkStart w:id="11" w:name="_Ref365880030"/>
      <w:r w:rsidRPr="009258BD">
        <w:rPr>
          <w:color w:val="auto"/>
        </w:rPr>
        <w:t>Práva a povinnosti stran při provozu zařízení</w:t>
      </w:r>
      <w:bookmarkEnd w:id="11"/>
    </w:p>
    <w:p w14:paraId="2D7A8B7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5144909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4E6B0A0E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2" w:name="_Ref36588004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  <w:bookmarkEnd w:id="12"/>
    </w:p>
    <w:p w14:paraId="7B6D8CD4" w14:textId="7045BE28" w:rsidR="00676208" w:rsidRPr="002D5419" w:rsidRDefault="00676208" w:rsidP="00676208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3" w:name="_Ref365880057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 jako zejména</w:t>
      </w:r>
      <w:r w:rsidR="00F7021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–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distribuce elektrické energie. </w:t>
      </w:r>
    </w:p>
    <w:bookmarkEnd w:id="13"/>
    <w:p w14:paraId="34C0A7BD" w14:textId="77777777" w:rsidR="00676208" w:rsidRPr="002D5419" w:rsidRDefault="00676208" w:rsidP="00676208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5DEFC7EA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lastRenderedPageBreak/>
        <w:t>Následky porušení povinnosti</w:t>
      </w:r>
    </w:p>
    <w:p w14:paraId="52D53612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5888371D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t>Katastrální řízení</w:t>
      </w:r>
    </w:p>
    <w:p w14:paraId="7CB746EC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1E28C17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1C921A0B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2BFDD37E" w14:textId="77777777" w:rsidR="00676208" w:rsidRPr="009258BD" w:rsidRDefault="00676208" w:rsidP="00676208">
      <w:pPr>
        <w:pStyle w:val="Nadpis1"/>
        <w:ind w:firstLine="289"/>
        <w:jc w:val="center"/>
        <w:rPr>
          <w:color w:val="auto"/>
        </w:rPr>
      </w:pPr>
      <w:r w:rsidRPr="009258BD">
        <w:rPr>
          <w:color w:val="auto"/>
        </w:rPr>
        <w:t xml:space="preserve">Společná a závěrečná ustanovení </w:t>
      </w:r>
    </w:p>
    <w:p w14:paraId="43A744CB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0306E62F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Poruší-li budoucí oprávněný některou povinnost vyplývající z odst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3AB942A9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4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14"/>
    </w:p>
    <w:p w14:paraId="703F1FF7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40BA3E04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43E9FFE3" w14:textId="77777777" w:rsidR="00676208" w:rsidRPr="002D5419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43BF0E24" w14:textId="516D67F5" w:rsidR="00676208" w:rsidRPr="00D0313E" w:rsidRDefault="0016556A" w:rsidP="00676208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6556A">
        <w:rPr>
          <w:rFonts w:ascii="Times New Roman" w:hAnsi="Times New Roman"/>
          <w:b w:val="0"/>
          <w:color w:val="auto"/>
          <w:sz w:val="24"/>
          <w:szCs w:val="24"/>
        </w:rPr>
        <w:t>Smluvní strany se dohodly, že tato smlouva se uzavírá v písemné formě a bude podepsána elektronickým podpisem jednajících osob použitím kvalifikovaného elektronického podpisu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734DE64" w14:textId="77777777" w:rsidR="00A76DE4" w:rsidRPr="00592D33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5" w:name="_Hlk517184826"/>
      <w:bookmarkStart w:id="16" w:name="_Hlk24714708"/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62445354" w14:textId="77777777" w:rsidR="00A76DE4" w:rsidRPr="00A76DE4" w:rsidRDefault="00A76DE4" w:rsidP="00A76DE4">
      <w:pPr>
        <w:pStyle w:val="Nadpis2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A76DE4">
        <w:rPr>
          <w:rFonts w:ascii="Times New Roman" w:hAnsi="Times New Roman"/>
          <w:b w:val="0"/>
          <w:bCs w:val="0"/>
          <w:color w:val="auto"/>
          <w:sz w:val="24"/>
          <w:szCs w:val="24"/>
        </w:rPr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723DB5C6" w14:textId="77777777" w:rsidR="00A76DE4" w:rsidRPr="0067607A" w:rsidRDefault="00A76DE4" w:rsidP="00A76DE4">
      <w:pPr>
        <w:keepLines/>
        <w:numPr>
          <w:ilvl w:val="1"/>
          <w:numId w:val="1"/>
        </w:numPr>
        <w:spacing w:before="240"/>
        <w:jc w:val="both"/>
        <w:outlineLvl w:val="1"/>
        <w:rPr>
          <w:snapToGrid w:val="0"/>
          <w:sz w:val="24"/>
        </w:rPr>
      </w:pPr>
      <w:r w:rsidRPr="0067607A">
        <w:rPr>
          <w:snapToGrid w:val="0"/>
          <w:sz w:val="24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67607A">
        <w:rPr>
          <w:bCs/>
          <w:sz w:val="24"/>
          <w:szCs w:val="24"/>
        </w:rPr>
        <w:t>smluv), ve znění pozdějších předpisů.</w:t>
      </w:r>
    </w:p>
    <w:p w14:paraId="44735B39" w14:textId="77777777" w:rsidR="00A76DE4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607A">
        <w:rPr>
          <w:rFonts w:ascii="Times New Roman" w:hAnsi="Times New Roman"/>
          <w:b w:val="0"/>
          <w:color w:val="auto"/>
          <w:sz w:val="24"/>
          <w:szCs w:val="24"/>
        </w:rPr>
        <w:t>Strany se dohodly, že tuto smlouvu zašle k uveřejnění v registru smluv budoucí povinný.</w:t>
      </w:r>
    </w:p>
    <w:p w14:paraId="187F81EF" w14:textId="77777777" w:rsidR="00A76DE4" w:rsidRPr="00B2639F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2639F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 této smlouvě nejsou předmětem jeho obchodního tajemství.</w:t>
      </w:r>
    </w:p>
    <w:p w14:paraId="6EA87AB3" w14:textId="77777777" w:rsidR="00A76DE4" w:rsidRPr="00B2639F" w:rsidRDefault="00A76DE4" w:rsidP="00A76DE4">
      <w:pPr>
        <w:pStyle w:val="Nadpis2"/>
        <w:keepNext w:val="0"/>
        <w:spacing w:before="2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607A">
        <w:rPr>
          <w:rFonts w:ascii="Times New Roman" w:hAnsi="Times New Roman"/>
          <w:b w:val="0"/>
          <w:color w:val="auto"/>
          <w:sz w:val="24"/>
          <w:szCs w:val="24"/>
        </w:rPr>
        <w:t>Budoucí oprávněný prohlašuje, že údaje uvedené v této smlouvě nejsou informacemi požívajícími ochrany důvěrnosti jeho majetkových poměrů.</w:t>
      </w:r>
    </w:p>
    <w:p w14:paraId="3DC35A99" w14:textId="77777777" w:rsidR="00676208" w:rsidRPr="00B3614F" w:rsidRDefault="00676208" w:rsidP="0067620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5"/>
    </w:p>
    <w:bookmarkEnd w:id="16"/>
    <w:p w14:paraId="0A77650B" w14:textId="77777777" w:rsidR="00676208" w:rsidRPr="00C70A81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216C1916" w14:textId="77777777" w:rsidR="00676208" w:rsidRPr="00C70A81" w:rsidRDefault="00676208" w:rsidP="0067620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4B0B1C69" w14:textId="77777777" w:rsidR="00676208" w:rsidRDefault="00676208" w:rsidP="00676208"/>
    <w:p w14:paraId="27922F28" w14:textId="77777777" w:rsidR="00A76DE4" w:rsidRDefault="00A76DE4">
      <w:pPr>
        <w:spacing w:after="160" w:line="259" w:lineRule="auto"/>
        <w:rPr>
          <w:b/>
          <w:bCs/>
          <w:color w:val="000000"/>
          <w:sz w:val="24"/>
        </w:rPr>
      </w:pPr>
      <w:r>
        <w:rPr>
          <w:b/>
          <w:bCs/>
        </w:rPr>
        <w:br w:type="page"/>
      </w:r>
    </w:p>
    <w:p w14:paraId="044DC390" w14:textId="6C2376D1" w:rsidR="00676208" w:rsidRPr="002D5419" w:rsidRDefault="00676208" w:rsidP="00676208">
      <w:pPr>
        <w:pStyle w:val="Zkladntext"/>
        <w:jc w:val="both"/>
        <w:rPr>
          <w:bCs/>
        </w:rPr>
      </w:pPr>
      <w:r w:rsidRPr="002D5419">
        <w:rPr>
          <w:b/>
          <w:bCs/>
        </w:rPr>
        <w:lastRenderedPageBreak/>
        <w:t>Doložka</w:t>
      </w:r>
      <w:r w:rsidRPr="002D5419">
        <w:rPr>
          <w:bCs/>
        </w:rPr>
        <w:t xml:space="preserve"> dle ust. § 41, odst. 1 zákona č. 128/2000 Sb., o obcích (obecní zřízení), ve znění pozdějších předpisů</w:t>
      </w:r>
    </w:p>
    <w:p w14:paraId="36540F81" w14:textId="77777777" w:rsidR="00676208" w:rsidRPr="004D386D" w:rsidRDefault="00676208" w:rsidP="00676208">
      <w:pPr>
        <w:pStyle w:val="Zkladntext"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>
        <w:rPr>
          <w:bCs/>
        </w:rPr>
        <w:t xml:space="preserve"> </w:t>
      </w:r>
      <w:bookmarkStart w:id="17" w:name="_Hlk126743454"/>
      <w:r>
        <w:rPr>
          <w:bCs/>
        </w:rPr>
        <w:t>a</w:t>
      </w:r>
      <w:r w:rsidRPr="001E6DE9">
        <w:rPr>
          <w:bCs/>
        </w:rPr>
        <w:t xml:space="preserve"> na R9/007. schůzi konané dne 30.11.2022.</w:t>
      </w:r>
      <w:bookmarkEnd w:id="17"/>
    </w:p>
    <w:p w14:paraId="51E39770" w14:textId="77777777" w:rsidR="00676208" w:rsidRDefault="00676208" w:rsidP="00676208"/>
    <w:p w14:paraId="233579C8" w14:textId="77777777" w:rsidR="00676208" w:rsidRDefault="00676208" w:rsidP="00676208">
      <w:pPr>
        <w:jc w:val="center"/>
        <w:rPr>
          <w:b/>
          <w:sz w:val="28"/>
          <w:szCs w:val="28"/>
        </w:rPr>
      </w:pPr>
    </w:p>
    <w:p w14:paraId="558DBC2E" w14:textId="77777777" w:rsidR="00676208" w:rsidRDefault="00676208" w:rsidP="00676208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676208" w14:paraId="35770A77" w14:textId="77777777" w:rsidTr="00971997">
        <w:trPr>
          <w:trHeight w:val="321"/>
        </w:trPr>
        <w:tc>
          <w:tcPr>
            <w:tcW w:w="4513" w:type="dxa"/>
            <w:vAlign w:val="center"/>
          </w:tcPr>
          <w:p w14:paraId="39791856" w14:textId="77777777" w:rsidR="00676208" w:rsidRDefault="00676208" w:rsidP="00971997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75A77D18" w14:textId="77777777" w:rsidR="00676208" w:rsidRDefault="00676208" w:rsidP="00971997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676208" w14:paraId="4942859D" w14:textId="77777777" w:rsidTr="00971997">
        <w:trPr>
          <w:trHeight w:val="899"/>
        </w:trPr>
        <w:tc>
          <w:tcPr>
            <w:tcW w:w="4513" w:type="dxa"/>
          </w:tcPr>
          <w:p w14:paraId="32D93DBD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53225293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  <w:p w14:paraId="66C6C637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72AF0CA3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4084AF31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3D41CCE2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  <w:p w14:paraId="205DCB07" w14:textId="77777777" w:rsidR="00676208" w:rsidRDefault="00676208" w:rsidP="00971997">
            <w:pPr>
              <w:pStyle w:val="Zkladntext"/>
              <w:widowControl/>
              <w:rPr>
                <w:bCs/>
              </w:rPr>
            </w:pPr>
          </w:p>
        </w:tc>
      </w:tr>
      <w:tr w:rsidR="00676208" w14:paraId="4710308B" w14:textId="77777777" w:rsidTr="00971997">
        <w:trPr>
          <w:trHeight w:val="417"/>
        </w:trPr>
        <w:tc>
          <w:tcPr>
            <w:tcW w:w="4513" w:type="dxa"/>
          </w:tcPr>
          <w:p w14:paraId="180CA91C" w14:textId="77777777" w:rsidR="00676208" w:rsidRDefault="00676208" w:rsidP="00971997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38C05F2E" w14:textId="77777777" w:rsidR="00676208" w:rsidRDefault="00676208" w:rsidP="00971997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676208" w14:paraId="1BF91467" w14:textId="77777777" w:rsidTr="00971997">
        <w:tc>
          <w:tcPr>
            <w:tcW w:w="4513" w:type="dxa"/>
          </w:tcPr>
          <w:p w14:paraId="53230D40" w14:textId="77777777" w:rsidR="00676208" w:rsidRDefault="00676208" w:rsidP="00971997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>
              <w:rPr>
                <w:bCs/>
                <w:snapToGrid w:val="0"/>
                <w:sz w:val="24"/>
              </w:rPr>
              <w:t>Tomáš Pivec, MBA</w:t>
            </w:r>
          </w:p>
          <w:p w14:paraId="02C03868" w14:textId="77777777" w:rsidR="00676208" w:rsidRPr="002C1389" w:rsidRDefault="00676208" w:rsidP="00971997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23408D54" w14:textId="77777777" w:rsidR="00676208" w:rsidRPr="007C4589" w:rsidRDefault="00676208" w:rsidP="00971997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3FB4F3C8" w14:textId="4BFBED58" w:rsidR="00676208" w:rsidRDefault="00204F50" w:rsidP="00971997">
            <w:pPr>
              <w:pStyle w:val="Zkladntext"/>
              <w:widowControl/>
              <w:jc w:val="center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676208" w14:paraId="155DA54C" w14:textId="77777777" w:rsidTr="00971997">
        <w:tc>
          <w:tcPr>
            <w:tcW w:w="4513" w:type="dxa"/>
          </w:tcPr>
          <w:p w14:paraId="3D90779A" w14:textId="77777777" w:rsidR="00676208" w:rsidRPr="007C4589" w:rsidRDefault="00676208" w:rsidP="00971997">
            <w:pPr>
              <w:snapToGrid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512" w:type="dxa"/>
          </w:tcPr>
          <w:p w14:paraId="6A493405" w14:textId="77777777" w:rsidR="00676208" w:rsidRDefault="00676208" w:rsidP="00971997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</w:tbl>
    <w:p w14:paraId="449B034A" w14:textId="77777777" w:rsidR="00676208" w:rsidRDefault="00676208" w:rsidP="00676208">
      <w:pPr>
        <w:pStyle w:val="Zkladntext"/>
        <w:rPr>
          <w:b/>
          <w:bCs/>
          <w:sz w:val="4"/>
        </w:rPr>
      </w:pPr>
    </w:p>
    <w:p w14:paraId="09DA0DF2" w14:textId="77777777" w:rsidR="00676208" w:rsidRDefault="00676208" w:rsidP="00676208"/>
    <w:bookmarkEnd w:id="0"/>
    <w:p w14:paraId="0D55AB26" w14:textId="77777777" w:rsidR="00676208" w:rsidRDefault="00676208" w:rsidP="00676208"/>
    <w:p w14:paraId="2A93870E" w14:textId="77777777" w:rsidR="00676208" w:rsidRDefault="00676208" w:rsidP="00676208"/>
    <w:bookmarkEnd w:id="1"/>
    <w:p w14:paraId="78B0EB0A" w14:textId="77777777" w:rsidR="00676208" w:rsidRDefault="00676208" w:rsidP="00676208"/>
    <w:p w14:paraId="3635DF5C" w14:textId="77777777" w:rsidR="00676208" w:rsidRDefault="00676208" w:rsidP="00676208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2F521C" w14:paraId="2E87BC70" w14:textId="77777777" w:rsidTr="004D7571">
        <w:trPr>
          <w:trHeight w:val="321"/>
        </w:trPr>
        <w:tc>
          <w:tcPr>
            <w:tcW w:w="4513" w:type="dxa"/>
            <w:vAlign w:val="center"/>
          </w:tcPr>
          <w:p w14:paraId="25C6170D" w14:textId="167187D1" w:rsidR="002F521C" w:rsidRDefault="002F521C" w:rsidP="004D7571">
            <w:pPr>
              <w:pStyle w:val="Zkladntext"/>
              <w:widowControl/>
              <w:spacing w:before="120"/>
              <w:rPr>
                <w:bCs/>
              </w:rPr>
            </w:pPr>
          </w:p>
        </w:tc>
        <w:tc>
          <w:tcPr>
            <w:tcW w:w="4512" w:type="dxa"/>
            <w:vAlign w:val="center"/>
          </w:tcPr>
          <w:p w14:paraId="3B6F0E63" w14:textId="77777777" w:rsidR="002F521C" w:rsidRDefault="002F521C" w:rsidP="004D7571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2F521C" w14:paraId="7FDC3023" w14:textId="77777777" w:rsidTr="004D7571">
        <w:trPr>
          <w:trHeight w:val="899"/>
        </w:trPr>
        <w:tc>
          <w:tcPr>
            <w:tcW w:w="4513" w:type="dxa"/>
          </w:tcPr>
          <w:p w14:paraId="2854F1AD" w14:textId="1C741D71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</w:tc>
        <w:tc>
          <w:tcPr>
            <w:tcW w:w="4512" w:type="dxa"/>
          </w:tcPr>
          <w:p w14:paraId="5DC83D48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  <w:p w14:paraId="65E3DF47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  <w:p w14:paraId="71F984C0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  <w:p w14:paraId="0C66B16A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  <w:p w14:paraId="5AB0E621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  <w:p w14:paraId="4F7969C9" w14:textId="77777777" w:rsidR="002F521C" w:rsidRDefault="002F521C" w:rsidP="004D7571">
            <w:pPr>
              <w:pStyle w:val="Zkladntext"/>
              <w:widowControl/>
              <w:rPr>
                <w:bCs/>
              </w:rPr>
            </w:pPr>
          </w:p>
        </w:tc>
      </w:tr>
      <w:tr w:rsidR="002F521C" w14:paraId="5DE3E21D" w14:textId="77777777" w:rsidTr="004D7571">
        <w:trPr>
          <w:trHeight w:val="417"/>
        </w:trPr>
        <w:tc>
          <w:tcPr>
            <w:tcW w:w="4513" w:type="dxa"/>
          </w:tcPr>
          <w:p w14:paraId="3D2FB30A" w14:textId="2D9A3A97" w:rsidR="002F521C" w:rsidRDefault="002F521C" w:rsidP="004D7571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</w:p>
        </w:tc>
        <w:tc>
          <w:tcPr>
            <w:tcW w:w="4512" w:type="dxa"/>
          </w:tcPr>
          <w:p w14:paraId="69F45814" w14:textId="77777777" w:rsidR="002F521C" w:rsidRDefault="002F521C" w:rsidP="004D7571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2F521C" w14:paraId="3B65C6F2" w14:textId="77777777" w:rsidTr="004D7571">
        <w:tc>
          <w:tcPr>
            <w:tcW w:w="4513" w:type="dxa"/>
          </w:tcPr>
          <w:p w14:paraId="30E98728" w14:textId="10C671B9" w:rsidR="002F521C" w:rsidRPr="007C4589" w:rsidRDefault="002F521C" w:rsidP="004D7571">
            <w:pPr>
              <w:snapToGrid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512" w:type="dxa"/>
          </w:tcPr>
          <w:p w14:paraId="44DBB2C3" w14:textId="51447EC9" w:rsidR="002F521C" w:rsidRDefault="00204F50" w:rsidP="004D7571">
            <w:pPr>
              <w:pStyle w:val="Zkladntext"/>
              <w:widowControl/>
              <w:jc w:val="center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  <w:tr w:rsidR="002F521C" w14:paraId="69D2C6C6" w14:textId="77777777" w:rsidTr="004D7571">
        <w:tc>
          <w:tcPr>
            <w:tcW w:w="4513" w:type="dxa"/>
          </w:tcPr>
          <w:p w14:paraId="4A8DFF2A" w14:textId="77777777" w:rsidR="002F521C" w:rsidRPr="007C4589" w:rsidRDefault="002F521C" w:rsidP="004D7571">
            <w:pPr>
              <w:snapToGrid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512" w:type="dxa"/>
          </w:tcPr>
          <w:p w14:paraId="4482D283" w14:textId="77777777" w:rsidR="002F521C" w:rsidRDefault="002F521C" w:rsidP="004D7571">
            <w:pPr>
              <w:pStyle w:val="Zkladntext"/>
              <w:spacing w:line="277" w:lineRule="atLeast"/>
              <w:jc w:val="center"/>
              <w:rPr>
                <w:bCs/>
              </w:rPr>
            </w:pPr>
          </w:p>
        </w:tc>
      </w:tr>
    </w:tbl>
    <w:p w14:paraId="4BC6A8A9" w14:textId="77777777" w:rsidR="00676208" w:rsidRDefault="00676208" w:rsidP="00676208"/>
    <w:p w14:paraId="2B8529E5" w14:textId="77777777" w:rsidR="00E10731" w:rsidRDefault="00E10731"/>
    <w:sectPr w:rsidR="00E10731" w:rsidSect="00B76A96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1418" w:right="1440" w:bottom="833" w:left="1440" w:header="510" w:footer="58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7B96" w14:textId="77777777" w:rsidR="00AE20F2" w:rsidRDefault="00AE20F2" w:rsidP="00676208">
      <w:r>
        <w:separator/>
      </w:r>
    </w:p>
  </w:endnote>
  <w:endnote w:type="continuationSeparator" w:id="0">
    <w:p w14:paraId="56B1ACCB" w14:textId="77777777" w:rsidR="00AE20F2" w:rsidRDefault="00AE20F2" w:rsidP="0067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49BF" w14:textId="77777777" w:rsidR="003A48B0" w:rsidRDefault="0018588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4EE4E6" w14:textId="77777777" w:rsidR="003A48B0" w:rsidRDefault="003A4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2B5E" w14:textId="77777777" w:rsidR="003A48B0" w:rsidRDefault="0018588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4619E33" w14:textId="77777777" w:rsidR="003A48B0" w:rsidRDefault="003A48B0">
    <w:pPr>
      <w:pStyle w:val="Zpat"/>
      <w:framePr w:wrap="auto" w:vAnchor="text" w:hAnchor="margin" w:xAlign="center" w:y="1"/>
      <w:rPr>
        <w:rStyle w:val="slostrnky"/>
      </w:rPr>
    </w:pPr>
  </w:p>
  <w:p w14:paraId="7FFED753" w14:textId="77777777" w:rsidR="003A48B0" w:rsidRDefault="003A48B0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3EC0" w14:textId="77777777" w:rsidR="00AE20F2" w:rsidRDefault="00AE20F2" w:rsidP="00676208">
      <w:r>
        <w:separator/>
      </w:r>
    </w:p>
  </w:footnote>
  <w:footnote w:type="continuationSeparator" w:id="0">
    <w:p w14:paraId="4E67C349" w14:textId="77777777" w:rsidR="00AE20F2" w:rsidRDefault="00AE20F2" w:rsidP="0067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5E0" w14:textId="77777777" w:rsidR="003A48B0" w:rsidRDefault="0018588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56CAFC" w14:textId="77777777" w:rsidR="003A48B0" w:rsidRDefault="003A4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EC34" w14:textId="508354AB" w:rsidR="003A48B0" w:rsidRDefault="006F1AA0" w:rsidP="00D03554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MMB OI: </w:t>
    </w:r>
    <w:r w:rsidR="004A364D" w:rsidRPr="00677FCA">
      <w:rPr>
        <w:rStyle w:val="slostrnky"/>
        <w:sz w:val="20"/>
      </w:rPr>
      <w:t>56</w:t>
    </w:r>
    <w:r w:rsidR="002764F6">
      <w:rPr>
        <w:rStyle w:val="slostrnky"/>
        <w:sz w:val="20"/>
      </w:rPr>
      <w:t>260</w:t>
    </w:r>
    <w:r w:rsidR="00D708F8">
      <w:rPr>
        <w:rStyle w:val="slostrnky"/>
        <w:sz w:val="20"/>
      </w:rPr>
      <w:t>7</w:t>
    </w:r>
    <w:r w:rsidR="004A224B">
      <w:rPr>
        <w:rStyle w:val="slostrnky"/>
        <w:sz w:val="20"/>
      </w:rPr>
      <w:t>1608</w:t>
    </w:r>
    <w:r w:rsidR="00D03554">
      <w:rPr>
        <w:rStyle w:val="slostrnky"/>
        <w:sz w:val="20"/>
      </w:rPr>
      <w:t xml:space="preserve">                                                                                                      </w:t>
    </w:r>
  </w:p>
  <w:p w14:paraId="77AF7209" w14:textId="5EE4CFAB" w:rsidR="003A48B0" w:rsidRDefault="00185882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>SB202</w:t>
    </w:r>
    <w:r w:rsidR="002E2C75">
      <w:rPr>
        <w:rStyle w:val="slostrnky"/>
        <w:sz w:val="20"/>
      </w:rPr>
      <w:t>5</w:t>
    </w:r>
    <w:r w:rsidR="006F1AA0">
      <w:rPr>
        <w:rStyle w:val="slostrnky"/>
        <w:sz w:val="20"/>
      </w:rPr>
      <w:t>_ZG_EG.D:</w:t>
    </w:r>
    <w:r w:rsidR="00A0242A">
      <w:rPr>
        <w:rStyle w:val="slostrnky"/>
        <w:sz w:val="20"/>
      </w:rPr>
      <w:t xml:space="preserve"> </w:t>
    </w:r>
    <w:r w:rsidR="004A224B">
      <w:rPr>
        <w:rStyle w:val="slostrnky"/>
        <w:sz w:val="20"/>
      </w:rPr>
      <w:t>1030086104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142"/>
    <w:multiLevelType w:val="multilevel"/>
    <w:tmpl w:val="80C6A04C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1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05099563">
    <w:abstractNumId w:val="0"/>
  </w:num>
  <w:num w:numId="2" w16cid:durableId="918444722">
    <w:abstractNumId w:val="1"/>
  </w:num>
  <w:num w:numId="3" w16cid:durableId="40018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8"/>
    <w:rsid w:val="000022F4"/>
    <w:rsid w:val="0000418D"/>
    <w:rsid w:val="00013294"/>
    <w:rsid w:val="00030E69"/>
    <w:rsid w:val="00032177"/>
    <w:rsid w:val="00035063"/>
    <w:rsid w:val="000408AB"/>
    <w:rsid w:val="0004384E"/>
    <w:rsid w:val="0004386B"/>
    <w:rsid w:val="00045B32"/>
    <w:rsid w:val="00052544"/>
    <w:rsid w:val="000540D8"/>
    <w:rsid w:val="00063E29"/>
    <w:rsid w:val="00067761"/>
    <w:rsid w:val="00080768"/>
    <w:rsid w:val="00086DA2"/>
    <w:rsid w:val="0009124C"/>
    <w:rsid w:val="000912CD"/>
    <w:rsid w:val="00092268"/>
    <w:rsid w:val="000B6F13"/>
    <w:rsid w:val="000C64D5"/>
    <w:rsid w:val="000D5E0E"/>
    <w:rsid w:val="000E15BD"/>
    <w:rsid w:val="000E2234"/>
    <w:rsid w:val="000F331E"/>
    <w:rsid w:val="0010004C"/>
    <w:rsid w:val="00111B9A"/>
    <w:rsid w:val="0013555C"/>
    <w:rsid w:val="00136F84"/>
    <w:rsid w:val="00137B32"/>
    <w:rsid w:val="001465F7"/>
    <w:rsid w:val="0014660A"/>
    <w:rsid w:val="00147368"/>
    <w:rsid w:val="00151756"/>
    <w:rsid w:val="00162C11"/>
    <w:rsid w:val="0016556A"/>
    <w:rsid w:val="00177519"/>
    <w:rsid w:val="00181E2B"/>
    <w:rsid w:val="00185882"/>
    <w:rsid w:val="00193E92"/>
    <w:rsid w:val="001A2BDD"/>
    <w:rsid w:val="001B232C"/>
    <w:rsid w:val="001C0665"/>
    <w:rsid w:val="001C63A7"/>
    <w:rsid w:val="001C6F15"/>
    <w:rsid w:val="001D3100"/>
    <w:rsid w:val="001E11E2"/>
    <w:rsid w:val="001E2650"/>
    <w:rsid w:val="001E3A1D"/>
    <w:rsid w:val="001F1502"/>
    <w:rsid w:val="001F3878"/>
    <w:rsid w:val="001F6F04"/>
    <w:rsid w:val="00204681"/>
    <w:rsid w:val="00204F50"/>
    <w:rsid w:val="0020589C"/>
    <w:rsid w:val="002076C2"/>
    <w:rsid w:val="00216C9A"/>
    <w:rsid w:val="00217309"/>
    <w:rsid w:val="00252099"/>
    <w:rsid w:val="00252335"/>
    <w:rsid w:val="0025442D"/>
    <w:rsid w:val="00255A80"/>
    <w:rsid w:val="00255B2F"/>
    <w:rsid w:val="00266726"/>
    <w:rsid w:val="00272CDC"/>
    <w:rsid w:val="002764F6"/>
    <w:rsid w:val="00276F76"/>
    <w:rsid w:val="00277159"/>
    <w:rsid w:val="002814B3"/>
    <w:rsid w:val="00284F69"/>
    <w:rsid w:val="00290C29"/>
    <w:rsid w:val="00292CCC"/>
    <w:rsid w:val="00296730"/>
    <w:rsid w:val="002A39A9"/>
    <w:rsid w:val="002A3F2D"/>
    <w:rsid w:val="002B770C"/>
    <w:rsid w:val="002C15FD"/>
    <w:rsid w:val="002C682B"/>
    <w:rsid w:val="002D0269"/>
    <w:rsid w:val="002D0E9F"/>
    <w:rsid w:val="002D3862"/>
    <w:rsid w:val="002E2C75"/>
    <w:rsid w:val="002E500F"/>
    <w:rsid w:val="002F194E"/>
    <w:rsid w:val="002F521C"/>
    <w:rsid w:val="003115B3"/>
    <w:rsid w:val="00316F70"/>
    <w:rsid w:val="00323A5A"/>
    <w:rsid w:val="0033538E"/>
    <w:rsid w:val="00335F1A"/>
    <w:rsid w:val="00341CAA"/>
    <w:rsid w:val="00347042"/>
    <w:rsid w:val="0035794B"/>
    <w:rsid w:val="003655CC"/>
    <w:rsid w:val="00382ACB"/>
    <w:rsid w:val="00392095"/>
    <w:rsid w:val="0039327A"/>
    <w:rsid w:val="003A48B0"/>
    <w:rsid w:val="003A5FC4"/>
    <w:rsid w:val="003A68F8"/>
    <w:rsid w:val="003B061D"/>
    <w:rsid w:val="003B1D6A"/>
    <w:rsid w:val="003B4832"/>
    <w:rsid w:val="003B7AEC"/>
    <w:rsid w:val="003C34AD"/>
    <w:rsid w:val="003C4A22"/>
    <w:rsid w:val="003D7636"/>
    <w:rsid w:val="003E022C"/>
    <w:rsid w:val="00402044"/>
    <w:rsid w:val="00403049"/>
    <w:rsid w:val="00420F3D"/>
    <w:rsid w:val="00426870"/>
    <w:rsid w:val="00434D6A"/>
    <w:rsid w:val="00446F20"/>
    <w:rsid w:val="00451D3C"/>
    <w:rsid w:val="004547E3"/>
    <w:rsid w:val="00460034"/>
    <w:rsid w:val="004618CE"/>
    <w:rsid w:val="004649C2"/>
    <w:rsid w:val="0047271F"/>
    <w:rsid w:val="004760EA"/>
    <w:rsid w:val="0047690A"/>
    <w:rsid w:val="00494F3B"/>
    <w:rsid w:val="004973EB"/>
    <w:rsid w:val="004A224B"/>
    <w:rsid w:val="004A29A6"/>
    <w:rsid w:val="004A364D"/>
    <w:rsid w:val="004A558B"/>
    <w:rsid w:val="004A5E57"/>
    <w:rsid w:val="004C7D27"/>
    <w:rsid w:val="004D168E"/>
    <w:rsid w:val="004D6E34"/>
    <w:rsid w:val="004E0A2D"/>
    <w:rsid w:val="004E2066"/>
    <w:rsid w:val="004E31B7"/>
    <w:rsid w:val="004F1F46"/>
    <w:rsid w:val="004F3719"/>
    <w:rsid w:val="004F506A"/>
    <w:rsid w:val="00503DF7"/>
    <w:rsid w:val="00506C82"/>
    <w:rsid w:val="0050717F"/>
    <w:rsid w:val="005079BF"/>
    <w:rsid w:val="0051158C"/>
    <w:rsid w:val="005115CD"/>
    <w:rsid w:val="00520A4A"/>
    <w:rsid w:val="00545908"/>
    <w:rsid w:val="005465A4"/>
    <w:rsid w:val="00547CF1"/>
    <w:rsid w:val="00552CE1"/>
    <w:rsid w:val="005555D0"/>
    <w:rsid w:val="005571F9"/>
    <w:rsid w:val="00561FBA"/>
    <w:rsid w:val="005626CA"/>
    <w:rsid w:val="00572F92"/>
    <w:rsid w:val="005818BC"/>
    <w:rsid w:val="00593C32"/>
    <w:rsid w:val="005A37A5"/>
    <w:rsid w:val="005B542E"/>
    <w:rsid w:val="005B5C9D"/>
    <w:rsid w:val="005D1603"/>
    <w:rsid w:val="005D1C19"/>
    <w:rsid w:val="005D1C7B"/>
    <w:rsid w:val="005D5CA9"/>
    <w:rsid w:val="005F23B7"/>
    <w:rsid w:val="00606DF5"/>
    <w:rsid w:val="00622A95"/>
    <w:rsid w:val="006230F9"/>
    <w:rsid w:val="006246D5"/>
    <w:rsid w:val="00630CA5"/>
    <w:rsid w:val="00637779"/>
    <w:rsid w:val="00640838"/>
    <w:rsid w:val="00644FC1"/>
    <w:rsid w:val="006524B9"/>
    <w:rsid w:val="006621D0"/>
    <w:rsid w:val="00664381"/>
    <w:rsid w:val="006713F7"/>
    <w:rsid w:val="00672758"/>
    <w:rsid w:val="00676208"/>
    <w:rsid w:val="006774CD"/>
    <w:rsid w:val="00685C8E"/>
    <w:rsid w:val="00695D3A"/>
    <w:rsid w:val="006A4B53"/>
    <w:rsid w:val="006D27F9"/>
    <w:rsid w:val="006E5E53"/>
    <w:rsid w:val="006F1AA0"/>
    <w:rsid w:val="006F469E"/>
    <w:rsid w:val="006F7C80"/>
    <w:rsid w:val="007074B7"/>
    <w:rsid w:val="00710C1C"/>
    <w:rsid w:val="00720C08"/>
    <w:rsid w:val="00724AAC"/>
    <w:rsid w:val="0072675F"/>
    <w:rsid w:val="0072737A"/>
    <w:rsid w:val="00733A10"/>
    <w:rsid w:val="00736DCC"/>
    <w:rsid w:val="00770D1C"/>
    <w:rsid w:val="007922E5"/>
    <w:rsid w:val="00797082"/>
    <w:rsid w:val="007A1B2D"/>
    <w:rsid w:val="007A2502"/>
    <w:rsid w:val="007A394C"/>
    <w:rsid w:val="007B75C9"/>
    <w:rsid w:val="007C05CC"/>
    <w:rsid w:val="007C10C1"/>
    <w:rsid w:val="007C1E61"/>
    <w:rsid w:val="007C53D7"/>
    <w:rsid w:val="007C737B"/>
    <w:rsid w:val="007E642D"/>
    <w:rsid w:val="008231B7"/>
    <w:rsid w:val="0083008A"/>
    <w:rsid w:val="00831915"/>
    <w:rsid w:val="00846CDB"/>
    <w:rsid w:val="008573AB"/>
    <w:rsid w:val="00864D17"/>
    <w:rsid w:val="0087052C"/>
    <w:rsid w:val="00871EE7"/>
    <w:rsid w:val="00873F29"/>
    <w:rsid w:val="00880599"/>
    <w:rsid w:val="00883D68"/>
    <w:rsid w:val="008871C7"/>
    <w:rsid w:val="008A5CF4"/>
    <w:rsid w:val="008B5606"/>
    <w:rsid w:val="008C03FB"/>
    <w:rsid w:val="008C573E"/>
    <w:rsid w:val="008D4E1A"/>
    <w:rsid w:val="008F5F9E"/>
    <w:rsid w:val="00911BA3"/>
    <w:rsid w:val="00914FDE"/>
    <w:rsid w:val="009217A7"/>
    <w:rsid w:val="00926059"/>
    <w:rsid w:val="00927F5E"/>
    <w:rsid w:val="00933BBF"/>
    <w:rsid w:val="00947753"/>
    <w:rsid w:val="00954913"/>
    <w:rsid w:val="00956E24"/>
    <w:rsid w:val="00966C57"/>
    <w:rsid w:val="009824DC"/>
    <w:rsid w:val="009935A8"/>
    <w:rsid w:val="009A6FAD"/>
    <w:rsid w:val="009E0D3C"/>
    <w:rsid w:val="00A0242A"/>
    <w:rsid w:val="00A06AEA"/>
    <w:rsid w:val="00A079ED"/>
    <w:rsid w:val="00A15AE7"/>
    <w:rsid w:val="00A21947"/>
    <w:rsid w:val="00A2209F"/>
    <w:rsid w:val="00A242AF"/>
    <w:rsid w:val="00A25908"/>
    <w:rsid w:val="00A27E52"/>
    <w:rsid w:val="00A33FCF"/>
    <w:rsid w:val="00A37669"/>
    <w:rsid w:val="00A40480"/>
    <w:rsid w:val="00A47417"/>
    <w:rsid w:val="00A5532F"/>
    <w:rsid w:val="00A63FF4"/>
    <w:rsid w:val="00A64856"/>
    <w:rsid w:val="00A65866"/>
    <w:rsid w:val="00A74C99"/>
    <w:rsid w:val="00A755A8"/>
    <w:rsid w:val="00A76DE4"/>
    <w:rsid w:val="00A8200F"/>
    <w:rsid w:val="00A820E9"/>
    <w:rsid w:val="00A8638F"/>
    <w:rsid w:val="00A90453"/>
    <w:rsid w:val="00A934FD"/>
    <w:rsid w:val="00AA006C"/>
    <w:rsid w:val="00AA617D"/>
    <w:rsid w:val="00AC07A0"/>
    <w:rsid w:val="00AC2690"/>
    <w:rsid w:val="00AD08FC"/>
    <w:rsid w:val="00AD1D21"/>
    <w:rsid w:val="00AD29E3"/>
    <w:rsid w:val="00AD4576"/>
    <w:rsid w:val="00AE031F"/>
    <w:rsid w:val="00AE20F2"/>
    <w:rsid w:val="00AE3D16"/>
    <w:rsid w:val="00AF126E"/>
    <w:rsid w:val="00AF20A4"/>
    <w:rsid w:val="00AF5D4F"/>
    <w:rsid w:val="00B00A57"/>
    <w:rsid w:val="00B1149F"/>
    <w:rsid w:val="00B13D89"/>
    <w:rsid w:val="00B21E37"/>
    <w:rsid w:val="00B33550"/>
    <w:rsid w:val="00B34F3D"/>
    <w:rsid w:val="00B40A5E"/>
    <w:rsid w:val="00B56DA6"/>
    <w:rsid w:val="00B606F2"/>
    <w:rsid w:val="00B76516"/>
    <w:rsid w:val="00B76A96"/>
    <w:rsid w:val="00B7738D"/>
    <w:rsid w:val="00B80769"/>
    <w:rsid w:val="00B91303"/>
    <w:rsid w:val="00BA1DEE"/>
    <w:rsid w:val="00BA2286"/>
    <w:rsid w:val="00BA5832"/>
    <w:rsid w:val="00BB1CDD"/>
    <w:rsid w:val="00BB202E"/>
    <w:rsid w:val="00BB79C7"/>
    <w:rsid w:val="00BC0D19"/>
    <w:rsid w:val="00BC1C1E"/>
    <w:rsid w:val="00BC2F1B"/>
    <w:rsid w:val="00BC5429"/>
    <w:rsid w:val="00BE334C"/>
    <w:rsid w:val="00BE4E6E"/>
    <w:rsid w:val="00BE78A1"/>
    <w:rsid w:val="00BF2B0B"/>
    <w:rsid w:val="00C015E5"/>
    <w:rsid w:val="00C03CAF"/>
    <w:rsid w:val="00C04268"/>
    <w:rsid w:val="00C15B1A"/>
    <w:rsid w:val="00C24C0E"/>
    <w:rsid w:val="00C31F30"/>
    <w:rsid w:val="00C61A50"/>
    <w:rsid w:val="00C70611"/>
    <w:rsid w:val="00C75BAA"/>
    <w:rsid w:val="00C82E2B"/>
    <w:rsid w:val="00C852D9"/>
    <w:rsid w:val="00CA2AD3"/>
    <w:rsid w:val="00CB0140"/>
    <w:rsid w:val="00CD11CC"/>
    <w:rsid w:val="00CD157B"/>
    <w:rsid w:val="00CE138E"/>
    <w:rsid w:val="00CE18A0"/>
    <w:rsid w:val="00CE2360"/>
    <w:rsid w:val="00CE2CA8"/>
    <w:rsid w:val="00CE407C"/>
    <w:rsid w:val="00CF7DB9"/>
    <w:rsid w:val="00D01C16"/>
    <w:rsid w:val="00D03130"/>
    <w:rsid w:val="00D03554"/>
    <w:rsid w:val="00D05F1D"/>
    <w:rsid w:val="00D13217"/>
    <w:rsid w:val="00D15588"/>
    <w:rsid w:val="00D20684"/>
    <w:rsid w:val="00D26BC5"/>
    <w:rsid w:val="00D36D93"/>
    <w:rsid w:val="00D37B6B"/>
    <w:rsid w:val="00D4779B"/>
    <w:rsid w:val="00D52C1A"/>
    <w:rsid w:val="00D56E11"/>
    <w:rsid w:val="00D600A8"/>
    <w:rsid w:val="00D61F53"/>
    <w:rsid w:val="00D620D0"/>
    <w:rsid w:val="00D65578"/>
    <w:rsid w:val="00D708F8"/>
    <w:rsid w:val="00D74ECB"/>
    <w:rsid w:val="00D800B7"/>
    <w:rsid w:val="00D84309"/>
    <w:rsid w:val="00D93330"/>
    <w:rsid w:val="00D94554"/>
    <w:rsid w:val="00D94785"/>
    <w:rsid w:val="00DA1670"/>
    <w:rsid w:val="00DA6256"/>
    <w:rsid w:val="00DD68A2"/>
    <w:rsid w:val="00DD7791"/>
    <w:rsid w:val="00DE3C9F"/>
    <w:rsid w:val="00DF033A"/>
    <w:rsid w:val="00DF630A"/>
    <w:rsid w:val="00DF6C45"/>
    <w:rsid w:val="00DF7DB7"/>
    <w:rsid w:val="00E01B1A"/>
    <w:rsid w:val="00E10731"/>
    <w:rsid w:val="00E117C3"/>
    <w:rsid w:val="00E13070"/>
    <w:rsid w:val="00E31563"/>
    <w:rsid w:val="00E47A11"/>
    <w:rsid w:val="00E54A50"/>
    <w:rsid w:val="00E62466"/>
    <w:rsid w:val="00E652A1"/>
    <w:rsid w:val="00E66F0E"/>
    <w:rsid w:val="00E77381"/>
    <w:rsid w:val="00E80B8D"/>
    <w:rsid w:val="00E80CBA"/>
    <w:rsid w:val="00E82553"/>
    <w:rsid w:val="00E91FB2"/>
    <w:rsid w:val="00E93327"/>
    <w:rsid w:val="00E93E30"/>
    <w:rsid w:val="00E973F2"/>
    <w:rsid w:val="00EA0BE9"/>
    <w:rsid w:val="00EB7964"/>
    <w:rsid w:val="00EC38D7"/>
    <w:rsid w:val="00EC4284"/>
    <w:rsid w:val="00EC5C84"/>
    <w:rsid w:val="00ED0965"/>
    <w:rsid w:val="00ED0F2F"/>
    <w:rsid w:val="00EF5795"/>
    <w:rsid w:val="00EF58D8"/>
    <w:rsid w:val="00F02743"/>
    <w:rsid w:val="00F02AE6"/>
    <w:rsid w:val="00F10FDD"/>
    <w:rsid w:val="00F16731"/>
    <w:rsid w:val="00F175A9"/>
    <w:rsid w:val="00F261ED"/>
    <w:rsid w:val="00F40931"/>
    <w:rsid w:val="00F438C4"/>
    <w:rsid w:val="00F43E9A"/>
    <w:rsid w:val="00F45DAE"/>
    <w:rsid w:val="00F534DE"/>
    <w:rsid w:val="00F57150"/>
    <w:rsid w:val="00F623EA"/>
    <w:rsid w:val="00F7021B"/>
    <w:rsid w:val="00F70490"/>
    <w:rsid w:val="00F72B19"/>
    <w:rsid w:val="00FA2258"/>
    <w:rsid w:val="00FB5F86"/>
    <w:rsid w:val="00FC04D9"/>
    <w:rsid w:val="00FC26CE"/>
    <w:rsid w:val="00FC3369"/>
    <w:rsid w:val="00FC5684"/>
    <w:rsid w:val="00FC56EF"/>
    <w:rsid w:val="00FD63C8"/>
    <w:rsid w:val="00FD6DE6"/>
    <w:rsid w:val="00FE3252"/>
    <w:rsid w:val="00FE390D"/>
    <w:rsid w:val="00FF0EAE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0967"/>
  <w15:chartTrackingRefBased/>
  <w15:docId w15:val="{A548E623-A5CF-40C5-BEA5-EFAD10A3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2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76208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76208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76208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676208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76208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6208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6208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6208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6208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76208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676208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676208"/>
    <w:rPr>
      <w:rFonts w:ascii="Cambria" w:eastAsia="Times New Roman" w:hAnsi="Cambria" w:cs="Times New Roman"/>
      <w:b/>
      <w:bCs/>
      <w:color w:val="4F81BD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676208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676208"/>
    <w:rPr>
      <w:rFonts w:ascii="Cambria" w:eastAsia="Times New Roman" w:hAnsi="Cambria" w:cs="Times New Roman"/>
      <w:color w:val="243F6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676208"/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676208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676208"/>
    <w:rPr>
      <w:rFonts w:ascii="Cambria" w:eastAsia="Times New Roman" w:hAnsi="Cambria" w:cs="Times New Roman"/>
      <w:color w:val="404040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676208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676208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76208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676208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676208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76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20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676208"/>
    <w:rPr>
      <w:rFonts w:cs="Times New Roman"/>
    </w:rPr>
  </w:style>
  <w:style w:type="paragraph" w:styleId="Nzev">
    <w:name w:val="Title"/>
    <w:basedOn w:val="Normln"/>
    <w:link w:val="NzevChar"/>
    <w:qFormat/>
    <w:rsid w:val="00676208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676208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B6D3-E6EE-4C57-B9A4-067D564C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Herzigová Jana (MMB_OI)</dc:creator>
  <cp:keywords/>
  <dc:description/>
  <cp:lastModifiedBy>Kozáková Alice (MMB_OI)</cp:lastModifiedBy>
  <cp:revision>3</cp:revision>
  <dcterms:created xsi:type="dcterms:W3CDTF">2026-05-15T03:53:00Z</dcterms:created>
  <dcterms:modified xsi:type="dcterms:W3CDTF">2026-05-15T04:45:00Z</dcterms:modified>
</cp:coreProperties>
</file>