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N Á J E M N Í S M L O U V A</w:t>
      </w:r>
    </w:p>
    <w:p>
      <w:pPr>
        <w:pStyle w:val="Style7"/>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Číslo smlouvy pronajímatele: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130/2022</w:t>
      </w:r>
    </w:p>
    <w:p>
      <w:pPr>
        <w:pStyle w:val="Style7"/>
        <w:keepNext w:val="0"/>
        <w:keepLines w:val="0"/>
        <w:widowControl w:val="0"/>
        <w:shd w:val="clear" w:color="auto" w:fill="auto"/>
        <w:bidi w:val="0"/>
        <w:spacing w:before="0" w:after="500" w:line="240"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Číslo smlouvy nájemce: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14/NS/2022</w:t>
      </w:r>
    </w:p>
    <w:p>
      <w:pPr>
        <w:pStyle w:val="Style7"/>
        <w:keepNext w:val="0"/>
        <w:keepLines w:val="0"/>
        <w:widowControl w:val="0"/>
        <w:numPr>
          <w:ilvl w:val="0"/>
          <w:numId w:val="1"/>
        </w:numPr>
        <w:shd w:val="clear" w:color="auto" w:fill="auto"/>
        <w:tabs>
          <w:tab w:pos="378" w:val="left"/>
        </w:tabs>
        <w:bidi w:val="0"/>
        <w:spacing w:before="0" w:after="220" w:line="240" w:lineRule="auto"/>
        <w:ind w:left="0" w:right="0" w:firstLine="0"/>
        <w:jc w:val="center"/>
      </w:pPr>
      <w:bookmarkStart w:id="0" w:name="bookmark0"/>
      <w:bookmarkEnd w:id="0"/>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Smluvní strany</w:t>
      </w:r>
    </w:p>
    <w:p>
      <w:pPr>
        <w:pStyle w:val="Style7"/>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Povodí Ohře, státní podnik</w:t>
      </w:r>
    </w:p>
    <w:p>
      <w:pPr>
        <w:pStyle w:val="Style7"/>
        <w:keepNext w:val="0"/>
        <w:keepLines w:val="0"/>
        <w:widowControl w:val="0"/>
        <w:shd w:val="clear" w:color="auto" w:fill="auto"/>
        <w:bidi w:val="0"/>
        <w:spacing w:before="0" w:after="0" w:line="240" w:lineRule="auto"/>
        <w:ind w:left="16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 Bezručova 4219, 430 03 Chomutov statutární orgán:</w:t>
      </w:r>
    </w:p>
    <w:p>
      <w:pPr>
        <w:pStyle w:val="Style7"/>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zastoupený ve věcech smluvních:</w:t>
      </w:r>
    </w:p>
    <w:p>
      <w:pPr>
        <w:pStyle w:val="Style7"/>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70889988</w:t>
      </w:r>
    </w:p>
    <w:p>
      <w:pPr>
        <w:pStyle w:val="Style7"/>
        <w:keepNext w:val="0"/>
        <w:keepLines w:val="0"/>
        <w:widowControl w:val="0"/>
        <w:shd w:val="clear" w:color="auto" w:fill="auto"/>
        <w:bidi w:val="0"/>
        <w:spacing w:before="0" w:after="0" w:line="240"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 CZ70889988</w:t>
      </w:r>
    </w:p>
    <w:p>
      <w:pPr>
        <w:pStyle w:val="Style7"/>
        <w:keepNext w:val="0"/>
        <w:keepLines w:val="0"/>
        <w:widowControl w:val="0"/>
        <w:shd w:val="clear" w:color="auto" w:fill="auto"/>
        <w:bidi w:val="0"/>
        <w:spacing w:before="0" w:after="0" w:line="240" w:lineRule="auto"/>
        <w:ind w:left="16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 v obchodním rejstříku u Krajského soudu v Ústí n. L., oddíl A, vložka 13052 odpovědný pracovník:</w:t>
      </w:r>
    </w:p>
    <w:p>
      <w:pPr>
        <w:pStyle w:val="Style7"/>
        <w:keepNext w:val="0"/>
        <w:keepLines w:val="0"/>
        <w:widowControl w:val="0"/>
        <w:shd w:val="clear" w:color="auto" w:fill="auto"/>
        <w:bidi w:val="0"/>
        <w:spacing w:before="0" w:after="120" w:line="240" w:lineRule="auto"/>
        <w:ind w:left="16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 bankovní spojení: číslo účtu:</w:t>
      </w:r>
    </w:p>
    <w:p>
      <w:pPr>
        <w:pStyle w:val="Style7"/>
        <w:keepNext w:val="0"/>
        <w:keepLines w:val="0"/>
        <w:widowControl w:val="0"/>
        <w:shd w:val="clear" w:color="auto" w:fill="auto"/>
        <w:bidi w:val="0"/>
        <w:spacing w:before="0" w:after="1320" w:line="240"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pronajímatel</w:t>
      </w:r>
      <w:r>
        <w:rPr>
          <w:rFonts w:ascii="Times New Roman" w:eastAsia="Times New Roman" w:hAnsi="Times New Roman" w:cs="Times New Roman"/>
          <w:color w:val="000000"/>
          <w:spacing w:val="0"/>
          <w:w w:val="100"/>
          <w:position w:val="0"/>
          <w:sz w:val="24"/>
          <w:szCs w:val="24"/>
          <w:shd w:val="clear" w:color="auto" w:fill="auto"/>
          <w:lang w:val="cs-CZ" w:eastAsia="cs-CZ" w:bidi="cs-CZ"/>
        </w:rPr>
        <w:t>“ na straně jedné)</w:t>
      </w:r>
    </w:p>
    <w:p>
      <w:pPr>
        <w:pStyle w:val="Style7"/>
        <w:keepNext w:val="0"/>
        <w:keepLines w:val="0"/>
        <w:widowControl w:val="0"/>
        <w:shd w:val="clear" w:color="auto" w:fill="auto"/>
        <w:bidi w:val="0"/>
        <w:spacing w:before="0" w:after="0" w:line="240" w:lineRule="auto"/>
        <w:ind w:left="16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Krajská správa a údržba silnic Karlovarského kraje, příspěvková organizace </w:t>
      </w: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 Chebská 282, 356 01 Sokolov</w:t>
      </w:r>
    </w:p>
    <w:p>
      <w:pPr>
        <w:pStyle w:val="Style7"/>
        <w:keepNext w:val="0"/>
        <w:keepLines w:val="0"/>
        <w:widowControl w:val="0"/>
        <w:shd w:val="clear" w:color="auto" w:fill="auto"/>
        <w:bidi w:val="0"/>
        <w:spacing w:before="0" w:after="0" w:line="240" w:lineRule="auto"/>
        <w:ind w:left="16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kontaktní adresa: Chebská 282, 356 04 Dolní Rychnov zastoupená:</w:t>
      </w:r>
    </w:p>
    <w:p>
      <w:pPr>
        <w:pStyle w:val="Style7"/>
        <w:keepNext w:val="0"/>
        <w:keepLines w:val="0"/>
        <w:widowControl w:val="0"/>
        <w:shd w:val="clear" w:color="auto" w:fill="auto"/>
        <w:bidi w:val="0"/>
        <w:spacing w:before="0" w:after="0" w:line="240" w:lineRule="auto"/>
        <w:ind w:left="16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70947023</w:t>
      </w:r>
    </w:p>
    <w:p>
      <w:pPr>
        <w:pStyle w:val="Style7"/>
        <w:keepNext w:val="0"/>
        <w:keepLines w:val="0"/>
        <w:widowControl w:val="0"/>
        <w:shd w:val="clear" w:color="auto" w:fill="auto"/>
        <w:bidi w:val="0"/>
        <w:spacing w:before="0" w:after="0" w:line="240" w:lineRule="auto"/>
        <w:ind w:left="16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 CZ70947023</w:t>
      </w:r>
    </w:p>
    <w:p>
      <w:pPr>
        <w:pStyle w:val="Style7"/>
        <w:keepNext w:val="0"/>
        <w:keepLines w:val="0"/>
        <w:widowControl w:val="0"/>
        <w:shd w:val="clear" w:color="auto" w:fill="auto"/>
        <w:bidi w:val="0"/>
        <w:spacing w:before="0" w:after="220" w:line="240" w:lineRule="auto"/>
        <w:ind w:left="16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zapsaná v obchodním rejstříku u Krajského soudu v Plzni, oddíl Pr, vložka 114 oprávněn jednat ve věcech technických: odp. pracovník: e-mail: bankovní spojení: číslo účtu:</w:t>
      </w:r>
    </w:p>
    <w:p>
      <w:pPr>
        <w:pStyle w:val="Style7"/>
        <w:keepNext w:val="0"/>
        <w:keepLines w:val="0"/>
        <w:widowControl w:val="0"/>
        <w:shd w:val="clear" w:color="auto" w:fill="auto"/>
        <w:bidi w:val="0"/>
        <w:spacing w:before="0" w:after="500" w:line="240"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nájemce</w:t>
      </w:r>
      <w:r>
        <w:rPr>
          <w:rFonts w:ascii="Times New Roman" w:eastAsia="Times New Roman" w:hAnsi="Times New Roman" w:cs="Times New Roman"/>
          <w:color w:val="000000"/>
          <w:spacing w:val="0"/>
          <w:w w:val="100"/>
          <w:position w:val="0"/>
          <w:sz w:val="24"/>
          <w:szCs w:val="24"/>
          <w:shd w:val="clear" w:color="auto" w:fill="auto"/>
          <w:lang w:val="cs-CZ" w:eastAsia="cs-CZ" w:bidi="cs-CZ"/>
        </w:rPr>
        <w:t>“ na straně druhé)</w:t>
      </w:r>
    </w:p>
    <w:p>
      <w:pPr>
        <w:pStyle w:val="Style7"/>
        <w:keepNext w:val="0"/>
        <w:keepLines w:val="0"/>
        <w:widowControl w:val="0"/>
        <w:shd w:val="clear" w:color="auto" w:fill="auto"/>
        <w:bidi w:val="0"/>
        <w:spacing w:before="0" w:after="500" w:line="240" w:lineRule="auto"/>
        <w:ind w:left="16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Schváleno Krajským úřadem Karlovarského kraje, odborem správa majetku rozhodnutím č. OSM/N/PO/004-02-2022</w:t>
      </w:r>
    </w:p>
    <w:p>
      <w:pPr>
        <w:pStyle w:val="Style7"/>
        <w:keepNext w:val="0"/>
        <w:keepLines w:val="0"/>
        <w:widowControl w:val="0"/>
        <w:shd w:val="clear" w:color="auto" w:fill="auto"/>
        <w:bidi w:val="0"/>
        <w:spacing w:before="0" w:after="40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uzavírají tuto nájemní smlouvu (dále 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smlouva</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12"/>
        <w:keepNext/>
        <w:keepLines/>
        <w:widowControl w:val="0"/>
        <w:numPr>
          <w:ilvl w:val="0"/>
          <w:numId w:val="1"/>
        </w:numPr>
        <w:shd w:val="clear" w:color="auto" w:fill="auto"/>
        <w:tabs>
          <w:tab w:pos="382" w:val="left"/>
        </w:tabs>
        <w:bidi w:val="0"/>
        <w:spacing w:before="0" w:line="240" w:lineRule="auto"/>
        <w:ind w:left="0" w:right="0" w:firstLine="0"/>
        <w:jc w:val="center"/>
      </w:pPr>
      <w:bookmarkStart w:id="1" w:name="bookmark1"/>
      <w:bookmarkStart w:id="2" w:name="bookmark2"/>
      <w:bookmarkStart w:id="3" w:name="bookmark3"/>
      <w:bookmarkStart w:id="4" w:name="bookmark4"/>
      <w:bookmarkEnd w:id="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Úvodní ustanovení</w:t>
      </w:r>
      <w:bookmarkEnd w:id="1"/>
      <w:bookmarkEnd w:id="2"/>
      <w:bookmarkEnd w:id="4"/>
    </w:p>
    <w:p>
      <w:pPr>
        <w:pStyle w:val="Style7"/>
        <w:keepNext w:val="0"/>
        <w:keepLines w:val="0"/>
        <w:widowControl w:val="0"/>
        <w:shd w:val="clear" w:color="auto" w:fill="auto"/>
        <w:bidi w:val="0"/>
        <w:spacing w:before="0" w:after="500" w:line="240" w:lineRule="auto"/>
        <w:ind w:left="16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Předmětem této smlouvy je úprava vzájemných vztahů pronajímatele nemovitých věcí a nájemce souvisejících s realizací stavby: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„Oprava mostu ev.č. 222 14-1 v Šemnici“</w:t>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upravuje práva a povinnosti nájemce v souvislosti s umístěním stavby (vč. staveniště) na nemovitých věcech uvedených v této smlouvě.</w:t>
      </w:r>
    </w:p>
    <w:p>
      <w:pPr>
        <w:pStyle w:val="Style7"/>
        <w:keepNext w:val="0"/>
        <w:keepLines w:val="0"/>
        <w:widowControl w:val="0"/>
        <w:numPr>
          <w:ilvl w:val="0"/>
          <w:numId w:val="1"/>
        </w:numPr>
        <w:shd w:val="clear" w:color="auto" w:fill="auto"/>
        <w:tabs>
          <w:tab w:pos="382" w:val="left"/>
        </w:tabs>
        <w:bidi w:val="0"/>
        <w:spacing w:before="0" w:line="240" w:lineRule="auto"/>
        <w:ind w:left="0" w:right="0" w:firstLine="0"/>
        <w:jc w:val="center"/>
      </w:pPr>
      <w:bookmarkStart w:id="5" w:name="bookmark5"/>
      <w:bookmarkEnd w:id="5"/>
      <w:r>
        <w:rPr>
          <w:rFonts w:ascii="Times New Roman" w:eastAsia="Times New Roman" w:hAnsi="Times New Roman" w:cs="Times New Roman"/>
          <w:b/>
          <w:bCs/>
          <w:color w:val="000000"/>
          <w:spacing w:val="0"/>
          <w:w w:val="100"/>
          <w:position w:val="0"/>
          <w:sz w:val="24"/>
          <w:szCs w:val="24"/>
          <w:shd w:val="clear" w:color="auto" w:fill="auto"/>
          <w:lang w:val="cs-CZ" w:eastAsia="cs-CZ" w:bidi="cs-CZ"/>
        </w:rPr>
        <w:t>Určení nemovité věci</w:t>
      </w:r>
    </w:p>
    <w:p>
      <w:pPr>
        <w:pStyle w:val="Style7"/>
        <w:keepNext w:val="0"/>
        <w:keepLines w:val="0"/>
        <w:widowControl w:val="0"/>
        <w:shd w:val="clear" w:color="auto" w:fill="auto"/>
        <w:bidi w:val="0"/>
        <w:spacing w:before="0" w:after="500" w:line="240" w:lineRule="auto"/>
        <w:ind w:left="16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Pronajímatel prohlašuje, že má právo hospodařit s majetkem státu s pozemkem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 č. 1029 a 1092 v k. ú. Šemnice, p. č. 479 v k. ú. Sedlečko u Karlových Var</w:t>
      </w:r>
      <w:r>
        <w:rPr>
          <w:rFonts w:ascii="Times New Roman" w:eastAsia="Times New Roman" w:hAnsi="Times New Roman" w:cs="Times New Roman"/>
          <w:color w:val="000000"/>
          <w:spacing w:val="0"/>
          <w:w w:val="100"/>
          <w:position w:val="0"/>
          <w:sz w:val="24"/>
          <w:szCs w:val="24"/>
          <w:shd w:val="clear" w:color="auto" w:fill="auto"/>
          <w:lang w:val="cs-CZ" w:eastAsia="cs-CZ" w:bidi="cs-CZ"/>
        </w:rPr>
        <w:t>, vše obec Šemnice, zapsanými na LV č. 144 u Katastrálního úřadu pro Karlovarský kraj, Katastrální pracoviště Karlovy Vary (dále 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pozemek</w:t>
      </w:r>
      <w:r>
        <w:rPr>
          <w:rFonts w:ascii="Times New Roman" w:eastAsia="Times New Roman" w:hAnsi="Times New Roman" w:cs="Times New Roman"/>
          <w:color w:val="000000"/>
          <w:spacing w:val="0"/>
          <w:w w:val="100"/>
          <w:position w:val="0"/>
          <w:sz w:val="24"/>
          <w:szCs w:val="24"/>
          <w:shd w:val="clear" w:color="auto" w:fill="auto"/>
          <w:lang w:val="cs-CZ" w:eastAsia="cs-CZ" w:bidi="cs-CZ"/>
        </w:rPr>
        <w:t>“ nebo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dotčená nemovitá věc</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7"/>
        <w:keepNext w:val="0"/>
        <w:keepLines w:val="0"/>
        <w:widowControl w:val="0"/>
        <w:numPr>
          <w:ilvl w:val="0"/>
          <w:numId w:val="1"/>
        </w:numPr>
        <w:shd w:val="clear" w:color="auto" w:fill="auto"/>
        <w:tabs>
          <w:tab w:pos="382" w:val="left"/>
        </w:tabs>
        <w:bidi w:val="0"/>
        <w:spacing w:before="0" w:line="240" w:lineRule="auto"/>
        <w:ind w:left="0" w:right="0" w:firstLine="0"/>
        <w:jc w:val="center"/>
      </w:pPr>
      <w:bookmarkStart w:id="6" w:name="bookmark6"/>
      <w:bookmarkEnd w:id="6"/>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Předmět smlouvy</w:t>
      </w:r>
    </w:p>
    <w:p>
      <w:pPr>
        <w:pStyle w:val="Style7"/>
        <w:keepNext w:val="0"/>
        <w:keepLines w:val="0"/>
        <w:widowControl w:val="0"/>
        <w:numPr>
          <w:ilvl w:val="1"/>
          <w:numId w:val="1"/>
        </w:numPr>
        <w:shd w:val="clear" w:color="auto" w:fill="auto"/>
        <w:tabs>
          <w:tab w:pos="727" w:val="left"/>
        </w:tabs>
        <w:bidi w:val="0"/>
        <w:spacing w:before="0" w:line="240" w:lineRule="auto"/>
        <w:ind w:left="720" w:right="0" w:hanging="560"/>
        <w:jc w:val="both"/>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Na základě této smlouvy se pronajímatel zavazuje umožnit nájemci provést stavbu: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„Oprava mostu ev.č. 222 14-1 v Šemnici“ </w:t>
      </w: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stavba</w:t>
      </w:r>
      <w:r>
        <w:rPr>
          <w:rFonts w:ascii="Times New Roman" w:eastAsia="Times New Roman" w:hAnsi="Times New Roman" w:cs="Times New Roman"/>
          <w:color w:val="000000"/>
          <w:spacing w:val="0"/>
          <w:w w:val="100"/>
          <w:position w:val="0"/>
          <w:sz w:val="24"/>
          <w:szCs w:val="24"/>
          <w:shd w:val="clear" w:color="auto" w:fill="auto"/>
          <w:lang w:val="cs-CZ" w:eastAsia="cs-CZ" w:bidi="cs-CZ"/>
        </w:rPr>
        <w:t>“ nebo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akce</w:t>
      </w:r>
      <w:r>
        <w:rPr>
          <w:rFonts w:ascii="Times New Roman" w:eastAsia="Times New Roman" w:hAnsi="Times New Roman" w:cs="Times New Roman"/>
          <w:color w:val="000000"/>
          <w:spacing w:val="0"/>
          <w:w w:val="100"/>
          <w:position w:val="0"/>
          <w:sz w:val="24"/>
          <w:szCs w:val="24"/>
          <w:shd w:val="clear" w:color="auto" w:fill="auto"/>
          <w:lang w:val="cs-CZ" w:eastAsia="cs-CZ" w:bidi="cs-CZ"/>
        </w:rPr>
        <w:t>“), a to v rozsahu dle čl. 5 této smlouvy.</w:t>
      </w:r>
    </w:p>
    <w:p>
      <w:pPr>
        <w:pStyle w:val="Style7"/>
        <w:keepNext w:val="0"/>
        <w:keepLines w:val="0"/>
        <w:widowControl w:val="0"/>
        <w:numPr>
          <w:ilvl w:val="1"/>
          <w:numId w:val="1"/>
        </w:numPr>
        <w:shd w:val="clear" w:color="auto" w:fill="auto"/>
        <w:tabs>
          <w:tab w:pos="727" w:val="left"/>
        </w:tabs>
        <w:bidi w:val="0"/>
        <w:spacing w:before="0" w:after="500" w:line="240" w:lineRule="auto"/>
        <w:ind w:left="720" w:right="0" w:hanging="560"/>
        <w:jc w:val="both"/>
      </w:pPr>
      <w:bookmarkStart w:id="8" w:name="bookmark8"/>
      <w:bookmarkEnd w:id="8"/>
      <w:r>
        <w:rPr>
          <w:rFonts w:ascii="Times New Roman" w:eastAsia="Times New Roman" w:hAnsi="Times New Roman" w:cs="Times New Roman"/>
          <w:color w:val="000000"/>
          <w:spacing w:val="0"/>
          <w:w w:val="100"/>
          <w:position w:val="0"/>
          <w:sz w:val="24"/>
          <w:szCs w:val="24"/>
          <w:shd w:val="clear" w:color="auto" w:fill="auto"/>
          <w:lang w:val="cs-CZ" w:eastAsia="cs-CZ" w:bidi="cs-CZ"/>
        </w:rPr>
        <w:t>Touto smlouvou smluvní strany sjednávají podmínky pro umístění stavby (vč. staveniště) a s ní souvisejících stavebních prací na dotčené nemovité věci.</w:t>
      </w:r>
    </w:p>
    <w:p>
      <w:pPr>
        <w:pStyle w:val="Style7"/>
        <w:keepNext w:val="0"/>
        <w:keepLines w:val="0"/>
        <w:widowControl w:val="0"/>
        <w:numPr>
          <w:ilvl w:val="0"/>
          <w:numId w:val="1"/>
        </w:numPr>
        <w:shd w:val="clear" w:color="auto" w:fill="auto"/>
        <w:tabs>
          <w:tab w:pos="382" w:val="left"/>
        </w:tabs>
        <w:bidi w:val="0"/>
        <w:spacing w:before="0" w:line="240" w:lineRule="auto"/>
        <w:ind w:left="0" w:right="0" w:firstLine="0"/>
        <w:jc w:val="center"/>
      </w:pPr>
      <w:bookmarkStart w:id="9" w:name="bookmark9"/>
      <w:bookmarkEnd w:id="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Rozsah stavby</w:t>
      </w:r>
    </w:p>
    <w:p>
      <w:pPr>
        <w:pStyle w:val="Style7"/>
        <w:keepNext w:val="0"/>
        <w:keepLines w:val="0"/>
        <w:widowControl w:val="0"/>
        <w:numPr>
          <w:ilvl w:val="1"/>
          <w:numId w:val="1"/>
        </w:numPr>
        <w:shd w:val="clear" w:color="auto" w:fill="auto"/>
        <w:tabs>
          <w:tab w:pos="727" w:val="left"/>
        </w:tabs>
        <w:bidi w:val="0"/>
        <w:spacing w:before="0" w:after="140" w:line="240" w:lineRule="auto"/>
        <w:ind w:left="720" w:right="0" w:hanging="560"/>
        <w:jc w:val="both"/>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Pro realizaci stavby byly z pozemku záborovým elaborátem, který je nedílnou přílohou této smlouvy, odděleny části pozemku s charakterem trvalého a dočasného záboru určeného k pronájmu (dále jen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předmět nájmu</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tbl>
      <w:tblPr>
        <w:tblOverlap w:val="never"/>
        <w:jc w:val="center"/>
        <w:tblLayout w:type="fixed"/>
      </w:tblPr>
      <w:tblGrid>
        <w:gridCol w:w="1066"/>
        <w:gridCol w:w="1253"/>
        <w:gridCol w:w="826"/>
        <w:gridCol w:w="1118"/>
        <w:gridCol w:w="984"/>
        <w:gridCol w:w="1003"/>
        <w:gridCol w:w="965"/>
        <w:gridCol w:w="1042"/>
        <w:gridCol w:w="850"/>
      </w:tblGrid>
      <w:tr>
        <w:trPr>
          <w:trHeight w:val="912" w:hRule="exact"/>
        </w:trPr>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Obec</w:t>
            </w:r>
          </w:p>
        </w:tc>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Katastrální území</w:t>
            </w:r>
          </w:p>
        </w:tc>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18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p.p.č.</w:t>
            </w:r>
          </w:p>
        </w:tc>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druh pozemku</w:t>
            </w:r>
          </w:p>
        </w:tc>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celková výměra m</w:t>
            </w:r>
            <w:r>
              <w:rPr>
                <w:rFonts w:ascii="Times New Roman" w:eastAsia="Times New Roman" w:hAnsi="Times New Roman" w:cs="Times New Roman"/>
                <w:b/>
                <w:bCs/>
                <w:color w:val="000000"/>
                <w:spacing w:val="0"/>
                <w:w w:val="100"/>
                <w:position w:val="0"/>
                <w:sz w:val="18"/>
                <w:szCs w:val="18"/>
                <w:shd w:val="clear" w:color="auto" w:fill="auto"/>
                <w:vertAlign w:val="superscript"/>
                <w:lang w:val="cs-CZ" w:eastAsia="cs-CZ" w:bidi="cs-CZ"/>
              </w:rPr>
              <w:t>2</w:t>
            </w:r>
          </w:p>
        </w:tc>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trvalý zábor m</w:t>
            </w:r>
            <w:r>
              <w:rPr>
                <w:rFonts w:ascii="Times New Roman" w:eastAsia="Times New Roman" w:hAnsi="Times New Roman" w:cs="Times New Roman"/>
                <w:b/>
                <w:bCs/>
                <w:color w:val="000000"/>
                <w:spacing w:val="0"/>
                <w:w w:val="100"/>
                <w:position w:val="0"/>
                <w:sz w:val="18"/>
                <w:szCs w:val="18"/>
                <w:shd w:val="clear" w:color="auto" w:fill="auto"/>
                <w:vertAlign w:val="superscript"/>
                <w:lang w:val="cs-CZ" w:eastAsia="cs-CZ" w:bidi="cs-CZ"/>
              </w:rPr>
              <w:t>2</w:t>
            </w:r>
          </w:p>
          <w:p>
            <w:pPr>
              <w:pStyle w:val="Style15"/>
              <w:keepNext w:val="0"/>
              <w:keepLines w:val="0"/>
              <w:widowControl w:val="0"/>
              <w:shd w:val="clear" w:color="auto" w:fill="auto"/>
              <w:bidi w:val="0"/>
              <w:spacing w:before="0" w:after="0" w:line="240" w:lineRule="auto"/>
              <w:ind w:left="0" w:right="0" w:firstLine="30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(VB)</w:t>
            </w:r>
          </w:p>
        </w:tc>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dočasný</w:t>
            </w:r>
          </w:p>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zábor m</w:t>
            </w:r>
            <w:r>
              <w:rPr>
                <w:rFonts w:ascii="Times New Roman" w:eastAsia="Times New Roman" w:hAnsi="Times New Roman" w:cs="Times New Roman"/>
                <w:b/>
                <w:bCs/>
                <w:color w:val="000000"/>
                <w:spacing w:val="0"/>
                <w:w w:val="100"/>
                <w:position w:val="0"/>
                <w:sz w:val="18"/>
                <w:szCs w:val="18"/>
                <w:shd w:val="clear" w:color="auto" w:fill="auto"/>
                <w:vertAlign w:val="superscript"/>
                <w:lang w:val="cs-CZ" w:eastAsia="cs-CZ" w:bidi="cs-CZ"/>
              </w:rPr>
              <w:t>2</w:t>
            </w:r>
          </w:p>
        </w:tc>
        <w:tc>
          <w:tcPr>
            <w:tcBorders>
              <w:top w:val="single" w:sz="4"/>
              <w:left w:val="single" w:sz="4"/>
            </w:tcBorders>
            <w:shd w:val="clear" w:color="auto" w:fill="C0C0C0"/>
            <w:vAlign w:val="top"/>
          </w:tcPr>
          <w:p>
            <w:pPr>
              <w:pStyle w:val="Style15"/>
              <w:keepNext w:val="0"/>
              <w:keepLines w:val="0"/>
              <w:widowControl w:val="0"/>
              <w:shd w:val="clear" w:color="auto" w:fill="auto"/>
              <w:bidi w:val="0"/>
              <w:spacing w:before="12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cena</w:t>
            </w:r>
          </w:p>
          <w:p>
            <w:pPr>
              <w:pStyle w:val="Style15"/>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Kč/m</w:t>
            </w:r>
            <w:r>
              <w:rPr>
                <w:rFonts w:ascii="Times New Roman" w:eastAsia="Times New Roman" w:hAnsi="Times New Roman" w:cs="Times New Roman"/>
                <w:b/>
                <w:bCs/>
                <w:color w:val="000000"/>
                <w:spacing w:val="0"/>
                <w:w w:val="100"/>
                <w:position w:val="0"/>
                <w:sz w:val="18"/>
                <w:szCs w:val="18"/>
                <w:shd w:val="clear" w:color="auto" w:fill="auto"/>
                <w:vertAlign w:val="superscript"/>
                <w:lang w:val="cs-CZ" w:eastAsia="cs-CZ" w:bidi="cs-CZ"/>
              </w:rPr>
              <w:t>2</w:t>
            </w: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/rok</w:t>
            </w:r>
          </w:p>
        </w:tc>
        <w:tc>
          <w:tcPr>
            <w:tcBorders>
              <w:top w:val="single" w:sz="4"/>
              <w:left w:val="single" w:sz="4"/>
              <w:righ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celkem</w:t>
            </w:r>
          </w:p>
          <w:p>
            <w:pPr>
              <w:pStyle w:val="Style15"/>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Kč/rok</w:t>
            </w:r>
          </w:p>
        </w:tc>
      </w:tr>
      <w:tr>
        <w:trPr>
          <w:trHeight w:val="518"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Šemnice</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Šemnice</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1029</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280" w:right="0" w:firstLine="4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vodní plocha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20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96301</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0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129</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553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24</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16368</w:t>
            </w:r>
          </w:p>
        </w:tc>
      </w:tr>
      <w:tr>
        <w:trPr>
          <w:trHeight w:val="518"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Šemnice</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Šemnice</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1092</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280" w:right="0" w:firstLine="4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vodní plocha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20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13218</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0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194</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120</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24</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7536</w:t>
            </w:r>
          </w:p>
        </w:tc>
      </w:tr>
      <w:tr>
        <w:trPr>
          <w:trHeight w:val="715"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Šemnice</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Sedlečko u Karlových Var</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479</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280" w:right="0" w:firstLine="4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vodní plocha</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20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12153</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0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250</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168</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24</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10032</w:t>
            </w:r>
          </w:p>
        </w:tc>
      </w:tr>
      <w:tr>
        <w:trPr>
          <w:trHeight w:val="533"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Celkem</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0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573</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34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841</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33936</w:t>
            </w:r>
          </w:p>
        </w:tc>
      </w:tr>
    </w:tbl>
    <w:p>
      <w:pPr>
        <w:widowControl w:val="0"/>
        <w:spacing w:after="219" w:line="1" w:lineRule="exact"/>
      </w:pPr>
    </w:p>
    <w:p>
      <w:pPr>
        <w:pStyle w:val="Style7"/>
        <w:keepNext w:val="0"/>
        <w:keepLines w:val="0"/>
        <w:widowControl w:val="0"/>
        <w:shd w:val="clear" w:color="auto" w:fill="auto"/>
        <w:bidi w:val="0"/>
        <w:spacing w:before="0" w:after="220" w:line="240" w:lineRule="auto"/>
        <w:ind w:left="72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Záborový elaborát pro stavbu zpracovala společnost MDS projekt s.r.o., </w:t>
      </w:r>
      <w:r>
        <w:rPr>
          <w:rFonts w:ascii="Times New Roman" w:eastAsia="Times New Roman" w:hAnsi="Times New Roman" w:cs="Times New Roman"/>
          <w:color w:val="000000"/>
          <w:spacing w:val="0"/>
          <w:w w:val="100"/>
          <w:position w:val="0"/>
          <w:sz w:val="24"/>
          <w:szCs w:val="24"/>
          <w:shd w:val="clear" w:color="auto" w:fill="auto"/>
          <w:lang w:val="de-DE" w:eastAsia="de-DE" w:bidi="de-DE"/>
        </w:rPr>
        <w:t xml:space="preserve">Försterova </w:t>
      </w:r>
      <w:r>
        <w:rPr>
          <w:rFonts w:ascii="Times New Roman" w:eastAsia="Times New Roman" w:hAnsi="Times New Roman" w:cs="Times New Roman"/>
          <w:color w:val="000000"/>
          <w:spacing w:val="0"/>
          <w:w w:val="100"/>
          <w:position w:val="0"/>
          <w:sz w:val="24"/>
          <w:szCs w:val="24"/>
          <w:shd w:val="clear" w:color="auto" w:fill="auto"/>
          <w:lang w:val="cs-CZ" w:eastAsia="cs-CZ" w:bidi="cs-CZ"/>
        </w:rPr>
        <w:t>175, 566 01 Vysoké Mýto.</w:t>
      </w:r>
    </w:p>
    <w:p>
      <w:pPr>
        <w:pStyle w:val="Style7"/>
        <w:keepNext w:val="0"/>
        <w:keepLines w:val="0"/>
        <w:widowControl w:val="0"/>
        <w:numPr>
          <w:ilvl w:val="1"/>
          <w:numId w:val="1"/>
        </w:numPr>
        <w:shd w:val="clear" w:color="auto" w:fill="auto"/>
        <w:tabs>
          <w:tab w:pos="860" w:val="left"/>
        </w:tabs>
        <w:bidi w:val="0"/>
        <w:spacing w:before="0" w:after="180" w:line="240" w:lineRule="auto"/>
        <w:ind w:left="720" w:right="0" w:hanging="420"/>
        <w:jc w:val="both"/>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Bude provedena kompletní demontáž stávající vodorovné nosné konstrukce, úprava spodní stavby a osazení nové mostní konstrukce navazujícího typu do stávající polohy. Demolice zahrnuje ubourání úložných prahů stávajících opěr mostu a mezilehlých podpor. Oprava tak zachovává polohu spodní stavby a polohu navazujících vozovek na předpolích mostu.</w:t>
      </w:r>
    </w:p>
    <w:p>
      <w:pPr>
        <w:pStyle w:val="Style7"/>
        <w:keepNext w:val="0"/>
        <w:keepLines w:val="0"/>
        <w:widowControl w:val="0"/>
        <w:numPr>
          <w:ilvl w:val="0"/>
          <w:numId w:val="1"/>
        </w:numPr>
        <w:shd w:val="clear" w:color="auto" w:fill="auto"/>
        <w:tabs>
          <w:tab w:pos="322" w:val="left"/>
        </w:tabs>
        <w:bidi w:val="0"/>
        <w:spacing w:before="0" w:line="240" w:lineRule="auto"/>
        <w:ind w:left="0" w:right="0" w:firstLine="0"/>
        <w:jc w:val="center"/>
      </w:pPr>
      <w:bookmarkStart w:id="12" w:name="bookmark12"/>
      <w:bookmarkEnd w:id="1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Užívání pozemku k provádění stavby</w:t>
      </w:r>
    </w:p>
    <w:p>
      <w:pPr>
        <w:pStyle w:val="Style7"/>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Smlouva se sjednává na dobu určitou. Pronajímatel se zavazuje přenechat nájemci předmět nájmu k užívání, a to k účelu umístění stavby (vč. staveniště). Stavba by měla probíhat pravděpodobně v roce 2022-2023. Skutečná doba, na kterou se sjednává užívání předmětu nájmu, bude stanovena na základě písemného protokolárního zápisu s uvedením data započetí a ukončení užívání předmětu nájmu, max. však na 5 let. Nájemní poměr může být pronajímatelem prodloužen o dalších 5 kalendářních roků, požádá-li o to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nájemce pronajímatele</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nejméně 6 kalendářních měsíců před ukončením nájmu a při splnění podmínky řádného plnění smlouvy nájemcem, pokud se smluvní strany nedohodnou jinak. Nájemní poměr končí u dočasných záborů dnem protokolárního vrácení pozemků a u trvalých záborů dnem vzniku právních účinků vkladu smlouvy o zřízení VB – služebnosti k části pozemku trvale zabraného stavbou do katastru nemovitostí. V případě, že pozemek nebude trvale dotčen, končí nájemní poměr dnem jeho vrácení pronajímateli</w:t>
      </w:r>
    </w:p>
    <w:p>
      <w:pPr>
        <w:pStyle w:val="Style7"/>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14" w:name="bookmark14"/>
      <w:bookmarkEnd w:id="14"/>
      <w:r>
        <w:rPr>
          <w:rFonts w:ascii="Times New Roman" w:eastAsia="Times New Roman" w:hAnsi="Times New Roman" w:cs="Times New Roman"/>
          <w:color w:val="000000"/>
          <w:spacing w:val="0"/>
          <w:w w:val="100"/>
          <w:position w:val="0"/>
          <w:sz w:val="24"/>
          <w:szCs w:val="24"/>
          <w:shd w:val="clear" w:color="auto" w:fill="auto"/>
          <w:lang w:val="cs-CZ" w:eastAsia="cs-CZ" w:bidi="cs-CZ"/>
        </w:rPr>
        <w:t>Cena užívání shora uvedeného pozemku bude odvozena od doby skutečného záboru předmětu nájmu a je stanovena na základě zákona č. 526/1990 Sb., o cenách, v platném znění.</w:t>
      </w:r>
    </w:p>
    <w:p>
      <w:pPr>
        <w:pStyle w:val="Style12"/>
        <w:keepNext/>
        <w:keepLines/>
        <w:widowControl w:val="0"/>
        <w:shd w:val="clear" w:color="auto" w:fill="auto"/>
        <w:bidi w:val="0"/>
        <w:spacing w:before="0" w:line="240" w:lineRule="auto"/>
        <w:ind w:left="560" w:right="0" w:firstLine="20"/>
        <w:jc w:val="both"/>
      </w:pPr>
      <w:bookmarkStart w:id="15" w:name="bookmark15"/>
      <w:bookmarkStart w:id="16" w:name="bookmark16"/>
      <w:bookmarkStart w:id="17" w:name="bookmark17"/>
      <w:r>
        <w:rPr>
          <w:rFonts w:ascii="Times New Roman" w:eastAsia="Times New Roman" w:hAnsi="Times New Roman" w:cs="Times New Roman"/>
          <w:color w:val="000000"/>
          <w:spacing w:val="0"/>
          <w:w w:val="100"/>
          <w:position w:val="0"/>
          <w:sz w:val="24"/>
          <w:szCs w:val="24"/>
          <w:shd w:val="clear" w:color="auto" w:fill="auto"/>
          <w:lang w:val="cs-CZ" w:eastAsia="cs-CZ" w:bidi="cs-CZ"/>
        </w:rPr>
        <w:t>Výše nájemného za předmět nájmu o celkové výměře 1414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se stanovuje na 24 Kč/m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/rok. Celkové roční nájemné činí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33.936,- Kč + platná sazba DPH.</w:t>
      </w:r>
      <w:bookmarkEnd w:id="15"/>
      <w:bookmarkEnd w:id="16"/>
      <w:bookmarkEnd w:id="17"/>
    </w:p>
    <w:p>
      <w:pPr>
        <w:pStyle w:val="Style7"/>
        <w:keepNext w:val="0"/>
        <w:keepLines w:val="0"/>
        <w:widowControl w:val="0"/>
        <w:shd w:val="clear" w:color="auto" w:fill="auto"/>
        <w:bidi w:val="0"/>
        <w:spacing w:before="0" w:line="240" w:lineRule="auto"/>
        <w:ind w:left="560" w:right="0" w:firstLine="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Při kratším období činí nájemné 1/12 ročního nájemného i za každý započatý měsíc pronájmu příslušného roku, minimálně však 600 Kč za celou dobu nájmu.</w:t>
      </w:r>
    </w:p>
    <w:p>
      <w:pPr>
        <w:pStyle w:val="Style7"/>
        <w:keepNext w:val="0"/>
        <w:keepLines w:val="0"/>
        <w:widowControl w:val="0"/>
        <w:numPr>
          <w:ilvl w:val="1"/>
          <w:numId w:val="1"/>
        </w:numPr>
        <w:shd w:val="clear" w:color="auto" w:fill="auto"/>
        <w:tabs>
          <w:tab w:pos="558" w:val="left"/>
        </w:tabs>
        <w:bidi w:val="0"/>
        <w:spacing w:before="0" w:line="240" w:lineRule="auto"/>
        <w:ind w:left="560" w:right="0" w:hanging="560"/>
        <w:jc w:val="left"/>
      </w:pPr>
      <w:bookmarkStart w:id="18" w:name="bookmark18"/>
      <w:bookmarkEnd w:id="18"/>
      <w:r>
        <w:rPr>
          <w:rFonts w:ascii="Times New Roman" w:eastAsia="Times New Roman" w:hAnsi="Times New Roman" w:cs="Times New Roman"/>
          <w:color w:val="000000"/>
          <w:spacing w:val="0"/>
          <w:w w:val="100"/>
          <w:position w:val="0"/>
          <w:sz w:val="24"/>
          <w:szCs w:val="24"/>
          <w:shd w:val="clear" w:color="auto" w:fill="auto"/>
          <w:lang w:val="cs-CZ" w:eastAsia="cs-CZ" w:bidi="cs-CZ"/>
        </w:rPr>
        <w:t>Cenu užívání uhradí nájemce jednou splátkou na účet pronajímatele na základě daňového dokladu vystaveného pronajímatelem do 15 dnů ode dne uskutečnění zdanitelného plnění se splatností 30 dnů od data vystavení. Datum uskutečnění zdanitelného plnění je pro první rok realizace stanoven na den předání pozemku před zahájením prací. V dalších letech je datum uskutečnění zdanitelného plnění stanoven buď na den doručení vyrozumění o provedení vkladu smlouvy o zřízení věcného břemene - služebnosti k části pozemků trvale zabraných stavbou do katastru nemovitostí, nebo na 31. 12. kalendářního roku, tj. to co nastane dříve.</w:t>
      </w:r>
    </w:p>
    <w:p>
      <w:pPr>
        <w:pStyle w:val="Style7"/>
        <w:keepNext w:val="0"/>
        <w:keepLines w:val="0"/>
        <w:widowControl w:val="0"/>
        <w:shd w:val="clear" w:color="auto" w:fill="auto"/>
        <w:bidi w:val="0"/>
        <w:spacing w:before="0" w:line="240" w:lineRule="auto"/>
        <w:ind w:left="560" w:right="0" w:firstLine="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Neuhradí-li nájemce cenu shora sjednanou ve lhůtě splatnosti, bude mu účtován smluvní úrok ve výši 0,3 % z částky včas nezaplacené za každý den prodlení.</w:t>
      </w:r>
    </w:p>
    <w:p>
      <w:pPr>
        <w:pStyle w:val="Style7"/>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Po ukončení stavby bude dokončeno vzájemné majetkoprávní vypořádání podle skutečného výsledku stavebních činností.</w:t>
      </w:r>
    </w:p>
    <w:p>
      <w:pPr>
        <w:pStyle w:val="Style7"/>
        <w:keepNext w:val="0"/>
        <w:keepLines w:val="0"/>
        <w:widowControl w:val="0"/>
        <w:numPr>
          <w:ilvl w:val="1"/>
          <w:numId w:val="1"/>
        </w:numPr>
        <w:shd w:val="clear" w:color="auto" w:fill="auto"/>
        <w:tabs>
          <w:tab w:pos="558" w:val="left"/>
        </w:tabs>
        <w:bidi w:val="0"/>
        <w:spacing w:before="0" w:after="500" w:line="240" w:lineRule="auto"/>
        <w:ind w:left="560" w:right="0" w:hanging="56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se zavazuje, že v souvislosti s realizací stavby bude dodržovat podmínky stanovené ve vyjádření Povodí Ohře, s.p., č. j. POH/01952/2022-2/032100 ze dne 25. 1. 2022, do vlastnických práv a oprávněných zájmů pronajímatele bude zasahovat pouze v nezbytné míře a bude si počínat tak, aby na majetku pronajímatele nedocházelo ke škodám. Dojde-li přesto nájemcem, případně jím pověřenými třetími osobami, k zásahu do dotčené nemovité věci nad smluvně sjednaný rámec, případně ke vzniku škody na majetku pronajímatele, zavazuje se nájemce pro takový případ k uvedení dotčené nemovité věci do původního stavu a v případě vzniku majetkové újmy k její úhradě, pokud nebude dohodnuto jinak.</w:t>
      </w:r>
    </w:p>
    <w:p>
      <w:pPr>
        <w:pStyle w:val="Style7"/>
        <w:keepNext w:val="0"/>
        <w:keepLines w:val="0"/>
        <w:widowControl w:val="0"/>
        <w:numPr>
          <w:ilvl w:val="0"/>
          <w:numId w:val="1"/>
        </w:numPr>
        <w:shd w:val="clear" w:color="auto" w:fill="auto"/>
        <w:tabs>
          <w:tab w:pos="318" w:val="left"/>
        </w:tabs>
        <w:bidi w:val="0"/>
        <w:spacing w:before="0" w:line="240" w:lineRule="auto"/>
        <w:ind w:left="0" w:right="0" w:firstLine="0"/>
        <w:jc w:val="center"/>
      </w:pPr>
      <w:bookmarkStart w:id="21" w:name="bookmark21"/>
      <w:bookmarkEnd w:id="2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Ostatní ujednání</w:t>
      </w:r>
    </w:p>
    <w:p>
      <w:pPr>
        <w:pStyle w:val="Style7"/>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22" w:name="bookmark22"/>
      <w:bookmarkEnd w:id="22"/>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změny vlastníka dotčené nemovité věci se pronajímatel zavazuje převést smlouvou závazky vyplývající z této smlouvy na nového vlastníka nemovité věci. Změnu vlastnictví je původní vlastník povinen oznámit bez zbytečného odkladu nájemci.</w:t>
      </w:r>
    </w:p>
    <w:p>
      <w:pPr>
        <w:pStyle w:val="Style7"/>
        <w:keepNext w:val="0"/>
        <w:keepLines w:val="0"/>
        <w:widowControl w:val="0"/>
        <w:numPr>
          <w:ilvl w:val="1"/>
          <w:numId w:val="1"/>
        </w:numPr>
        <w:shd w:val="clear" w:color="auto" w:fill="auto"/>
        <w:tabs>
          <w:tab w:pos="549" w:val="left"/>
        </w:tabs>
        <w:bidi w:val="0"/>
        <w:spacing w:before="0" w:line="240" w:lineRule="auto"/>
        <w:ind w:left="560" w:right="0" w:hanging="560"/>
        <w:jc w:val="both"/>
      </w:pPr>
      <w:bookmarkStart w:id="23" w:name="bookmark23"/>
      <w:bookmarkEnd w:id="23"/>
      <w:r>
        <w:rPr>
          <w:rFonts w:ascii="Times New Roman" w:eastAsia="Times New Roman" w:hAnsi="Times New Roman" w:cs="Times New Roman"/>
          <w:color w:val="000000"/>
          <w:spacing w:val="0"/>
          <w:w w:val="100"/>
          <w:position w:val="0"/>
          <w:sz w:val="24"/>
          <w:szCs w:val="24"/>
          <w:shd w:val="clear" w:color="auto" w:fill="auto"/>
          <w:lang w:val="cs-CZ" w:eastAsia="cs-CZ" w:bidi="cs-CZ"/>
        </w:rPr>
        <w:t>Práva a povinnosti vyplývající z této smlouvy přecházejí i na právního nástupce nájemce.</w:t>
      </w:r>
    </w:p>
    <w:p>
      <w:pPr>
        <w:pStyle w:val="Style7"/>
        <w:keepNext w:val="0"/>
        <w:keepLines w:val="0"/>
        <w:widowControl w:val="0"/>
        <w:numPr>
          <w:ilvl w:val="1"/>
          <w:numId w:val="1"/>
        </w:numPr>
        <w:shd w:val="clear" w:color="auto" w:fill="auto"/>
        <w:tabs>
          <w:tab w:pos="549" w:val="left"/>
        </w:tabs>
        <w:bidi w:val="0"/>
        <w:spacing w:before="0" w:line="240" w:lineRule="auto"/>
        <w:ind w:left="560" w:right="0" w:hanging="560"/>
        <w:jc w:val="both"/>
      </w:pPr>
      <w:bookmarkStart w:id="24" w:name="bookmark24"/>
      <w:bookmarkEnd w:id="24"/>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se zavazuje neprovádět na předmětu nájmu, popř. jeho částech, žádné následné změny, které by mohly mít vliv na přípravu stavby, resp. její celkový charakter bez předchozího projednání a případného souhlasu s realizací ze strany nájemce.</w:t>
      </w:r>
    </w:p>
    <w:p>
      <w:pPr>
        <w:pStyle w:val="Style7"/>
        <w:keepNext w:val="0"/>
        <w:keepLines w:val="0"/>
        <w:widowControl w:val="0"/>
        <w:numPr>
          <w:ilvl w:val="1"/>
          <w:numId w:val="1"/>
        </w:numPr>
        <w:shd w:val="clear" w:color="auto" w:fill="auto"/>
        <w:tabs>
          <w:tab w:pos="549" w:val="left"/>
        </w:tabs>
        <w:bidi w:val="0"/>
        <w:spacing w:before="0" w:line="240" w:lineRule="auto"/>
        <w:ind w:left="560" w:right="0" w:hanging="560"/>
        <w:jc w:val="both"/>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prohlašuje, že tímto vydává nájemci souhlas s umístěním a zřízením stavby (vč. staveniště) na předmětu nájmu za účelem vydání příslušného stavebního povolení podle zákona č. 183/2006 Sb. o územním plánování a stavebním řádu (stavební zákon), ve znění pozdějších předpisů.</w:t>
      </w:r>
    </w:p>
    <w:p>
      <w:pPr>
        <w:pStyle w:val="Style12"/>
        <w:keepNext/>
        <w:keepLines/>
        <w:widowControl w:val="0"/>
        <w:numPr>
          <w:ilvl w:val="1"/>
          <w:numId w:val="1"/>
        </w:numPr>
        <w:shd w:val="clear" w:color="auto" w:fill="auto"/>
        <w:tabs>
          <w:tab w:pos="549" w:val="left"/>
        </w:tabs>
        <w:bidi w:val="0"/>
        <w:spacing w:before="0" w:after="0" w:line="240" w:lineRule="auto"/>
        <w:ind w:left="0" w:right="0" w:firstLine="0"/>
        <w:jc w:val="both"/>
      </w:pPr>
      <w:bookmarkStart w:id="26" w:name="bookmark26"/>
      <w:bookmarkStart w:id="27" w:name="bookmark27"/>
      <w:bookmarkStart w:id="28" w:name="bookmark28"/>
      <w:bookmarkStart w:id="29" w:name="bookmark29"/>
      <w:bookmarkEnd w:id="28"/>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může od nájemní smlouvy okamžitě odstoupit:</w:t>
      </w:r>
      <w:bookmarkEnd w:id="26"/>
      <w:bookmarkEnd w:id="27"/>
      <w:bookmarkEnd w:id="29"/>
    </w:p>
    <w:p>
      <w:pPr>
        <w:pStyle w:val="Style12"/>
        <w:keepNext/>
        <w:keepLines/>
        <w:widowControl w:val="0"/>
        <w:numPr>
          <w:ilvl w:val="0"/>
          <w:numId w:val="3"/>
        </w:numPr>
        <w:shd w:val="clear" w:color="auto" w:fill="auto"/>
        <w:tabs>
          <w:tab w:pos="1003" w:val="left"/>
        </w:tabs>
        <w:bidi w:val="0"/>
        <w:spacing w:before="0" w:after="0" w:line="240" w:lineRule="auto"/>
        <w:ind w:right="0" w:hanging="300"/>
        <w:jc w:val="both"/>
      </w:pPr>
      <w:bookmarkStart w:id="30" w:name="bookmark30"/>
      <w:bookmarkStart w:id="31" w:name="bookmark31"/>
      <w:bookmarkStart w:id="32" w:name="bookmark32"/>
      <w:bookmarkStart w:id="33" w:name="bookmark33"/>
      <w:bookmarkEnd w:id="32"/>
      <w:r>
        <w:rPr>
          <w:rFonts w:ascii="Times New Roman" w:eastAsia="Times New Roman" w:hAnsi="Times New Roman" w:cs="Times New Roman"/>
          <w:color w:val="000000"/>
          <w:spacing w:val="0"/>
          <w:w w:val="100"/>
          <w:position w:val="0"/>
          <w:sz w:val="24"/>
          <w:szCs w:val="24"/>
          <w:shd w:val="clear" w:color="auto" w:fill="auto"/>
          <w:lang w:val="cs-CZ" w:eastAsia="cs-CZ" w:bidi="cs-CZ"/>
        </w:rPr>
        <w:t>užívá-li nájemce přes písemnou výzvu předmět nájmu v rozporu se sjednaným účelem a podmínkami nájmu nebo jej užívá takovým způsobem, že pronajímateli vzniká škoda, nebo že mu hrozí škoda,</w:t>
      </w:r>
      <w:bookmarkEnd w:id="30"/>
      <w:bookmarkEnd w:id="31"/>
      <w:bookmarkEnd w:id="33"/>
    </w:p>
    <w:p>
      <w:pPr>
        <w:pStyle w:val="Style12"/>
        <w:keepNext/>
        <w:keepLines/>
        <w:widowControl w:val="0"/>
        <w:numPr>
          <w:ilvl w:val="0"/>
          <w:numId w:val="3"/>
        </w:numPr>
        <w:shd w:val="clear" w:color="auto" w:fill="auto"/>
        <w:tabs>
          <w:tab w:pos="1003" w:val="left"/>
        </w:tabs>
        <w:bidi w:val="0"/>
        <w:spacing w:before="0" w:after="580" w:line="240" w:lineRule="auto"/>
        <w:ind w:right="0" w:hanging="300"/>
        <w:jc w:val="both"/>
      </w:pPr>
      <w:bookmarkStart w:id="34" w:name="bookmark34"/>
      <w:bookmarkStart w:id="35" w:name="bookmark35"/>
      <w:bookmarkStart w:id="36" w:name="bookmark36"/>
      <w:bookmarkStart w:id="37" w:name="bookmark37"/>
      <w:bookmarkEnd w:id="36"/>
      <w:r>
        <w:rPr>
          <w:rFonts w:ascii="Times New Roman" w:eastAsia="Times New Roman" w:hAnsi="Times New Roman" w:cs="Times New Roman"/>
          <w:color w:val="000000"/>
          <w:spacing w:val="0"/>
          <w:w w:val="100"/>
          <w:position w:val="0"/>
          <w:sz w:val="24"/>
          <w:szCs w:val="24"/>
          <w:shd w:val="clear" w:color="auto" w:fill="auto"/>
          <w:lang w:val="cs-CZ" w:eastAsia="cs-CZ" w:bidi="cs-CZ"/>
        </w:rPr>
        <w:t>dojde-li k prodlení s úhradou nájemného o více jak 30 dnů po termínu splatnosti nájemného.</w:t>
      </w:r>
      <w:bookmarkEnd w:id="34"/>
      <w:bookmarkEnd w:id="35"/>
      <w:bookmarkEnd w:id="37"/>
    </w:p>
    <w:p>
      <w:pPr>
        <w:pStyle w:val="Style7"/>
        <w:keepNext w:val="0"/>
        <w:keepLines w:val="0"/>
        <w:widowControl w:val="0"/>
        <w:numPr>
          <w:ilvl w:val="0"/>
          <w:numId w:val="1"/>
        </w:numPr>
        <w:shd w:val="clear" w:color="auto" w:fill="auto"/>
        <w:tabs>
          <w:tab w:pos="322" w:val="left"/>
        </w:tabs>
        <w:bidi w:val="0"/>
        <w:spacing w:before="0" w:line="240" w:lineRule="auto"/>
        <w:ind w:left="0" w:right="0" w:firstLine="0"/>
        <w:jc w:val="center"/>
      </w:pPr>
      <w:bookmarkStart w:id="38" w:name="bookmark38"/>
      <w:bookmarkEnd w:id="3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Budoucí majetkoprávní vypořádání</w:t>
      </w:r>
    </w:p>
    <w:p>
      <w:pPr>
        <w:pStyle w:val="Style7"/>
        <w:keepNext w:val="0"/>
        <w:keepLines w:val="0"/>
        <w:widowControl w:val="0"/>
        <w:numPr>
          <w:ilvl w:val="1"/>
          <w:numId w:val="1"/>
        </w:numPr>
        <w:shd w:val="clear" w:color="auto" w:fill="auto"/>
        <w:tabs>
          <w:tab w:pos="549" w:val="left"/>
        </w:tabs>
        <w:bidi w:val="0"/>
        <w:spacing w:before="0" w:line="240" w:lineRule="auto"/>
        <w:ind w:left="560" w:right="0" w:hanging="560"/>
        <w:jc w:val="both"/>
      </w:pPr>
      <w:bookmarkStart w:id="39" w:name="bookmark39"/>
      <w:bookmarkEnd w:id="39"/>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nebude přejímat do svého majetku žádné stavby ani objekty vybudované v rámci stavby.</w:t>
      </w:r>
    </w:p>
    <w:p>
      <w:pPr>
        <w:pStyle w:val="Style7"/>
        <w:keepNext w:val="0"/>
        <w:keepLines w:val="0"/>
        <w:widowControl w:val="0"/>
        <w:numPr>
          <w:ilvl w:val="1"/>
          <w:numId w:val="1"/>
        </w:numPr>
        <w:shd w:val="clear" w:color="auto" w:fill="auto"/>
        <w:tabs>
          <w:tab w:pos="549" w:val="left"/>
        </w:tabs>
        <w:bidi w:val="0"/>
        <w:spacing w:before="0" w:line="240" w:lineRule="auto"/>
        <w:ind w:left="560" w:right="0" w:hanging="560"/>
        <w:jc w:val="both"/>
      </w:pPr>
      <w:bookmarkStart w:id="40" w:name="bookmark40"/>
      <w:bookmarkEnd w:id="40"/>
      <w:r>
        <w:rPr>
          <w:rFonts w:ascii="Times New Roman" w:eastAsia="Times New Roman" w:hAnsi="Times New Roman" w:cs="Times New Roman"/>
          <w:color w:val="000000"/>
          <w:spacing w:val="0"/>
          <w:w w:val="100"/>
          <w:position w:val="0"/>
          <w:sz w:val="24"/>
          <w:szCs w:val="24"/>
          <w:shd w:val="clear" w:color="auto" w:fill="auto"/>
          <w:lang w:val="cs-CZ" w:eastAsia="cs-CZ" w:bidi="cs-CZ"/>
        </w:rPr>
        <w:t>Po dokončení stavby bude na náklady nájemce celá situace zaměřena geometrickým plánem a tím určena přesná výměra části pozemku, která bude předmětem smlouvy o zřízení VB – služebnosti umístění stavby a služebnosti cesty a stezky.</w:t>
      </w:r>
    </w:p>
    <w:p>
      <w:pPr>
        <w:pStyle w:val="Style7"/>
        <w:keepNext w:val="0"/>
        <w:keepLines w:val="0"/>
        <w:widowControl w:val="0"/>
        <w:numPr>
          <w:ilvl w:val="1"/>
          <w:numId w:val="1"/>
        </w:numPr>
        <w:shd w:val="clear" w:color="auto" w:fill="auto"/>
        <w:tabs>
          <w:tab w:pos="549" w:val="left"/>
        </w:tabs>
        <w:bidi w:val="0"/>
        <w:spacing w:before="0" w:line="240" w:lineRule="auto"/>
        <w:ind w:left="560" w:right="0" w:hanging="560"/>
        <w:jc w:val="both"/>
      </w:pPr>
      <w:bookmarkStart w:id="41" w:name="bookmark41"/>
      <w:bookmarkEnd w:id="41"/>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Smluvní strany se dohodly, že nejpozději do 3 měsíců od data vydání příslušného kolaudačního souhlasu ke stavbě uzavřou smlouvu o zřízení služebnosti,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 to na dobu životnosti stavby.</w:t>
      </w:r>
    </w:p>
    <w:p>
      <w:pPr>
        <w:pStyle w:val="Style7"/>
        <w:keepNext w:val="0"/>
        <w:keepLines w:val="0"/>
        <w:widowControl w:val="0"/>
        <w:numPr>
          <w:ilvl w:val="1"/>
          <w:numId w:val="1"/>
        </w:numPr>
        <w:shd w:val="clear" w:color="auto" w:fill="auto"/>
        <w:tabs>
          <w:tab w:pos="549" w:val="left"/>
        </w:tabs>
        <w:bidi w:val="0"/>
        <w:spacing w:before="0" w:line="240" w:lineRule="auto"/>
        <w:ind w:left="560" w:right="0" w:hanging="560"/>
        <w:jc w:val="both"/>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se zavazuje, že do 30 dnů ode dne, kdy obdrží geometrický plán a návrh smlouvy o zřízení služebnosti ve smyslu ustanovení § 1274 a následných občanského zákoníku, uzavře s nájemcem smlouvu o zřízení služebnosti. Ve smlouvě o zřízení služebnosti zřídí pronajímatel nájemci na pozemku p. č. 1029 a 1092 v k. ú. Šemnice, p. č. 479 v k. ú. Sedlečko u Karlových Var služebnost spočívající v právu umístit stavbu mostu a v právu vstupu nájemce na tento pozemek v souvislosti se zřízením, provozem, opravami a údržbou stavby. Obsah práva služebnosti bude dále upřesněn v samotné smlouvě o zřízení služebnosti.</w:t>
      </w:r>
    </w:p>
    <w:p>
      <w:pPr>
        <w:pStyle w:val="Style7"/>
        <w:keepNext w:val="0"/>
        <w:keepLines w:val="0"/>
        <w:widowControl w:val="0"/>
        <w:numPr>
          <w:ilvl w:val="1"/>
          <w:numId w:val="1"/>
        </w:numPr>
        <w:shd w:val="clear" w:color="auto" w:fill="auto"/>
        <w:tabs>
          <w:tab w:pos="549" w:val="left"/>
        </w:tabs>
        <w:bidi w:val="0"/>
        <w:spacing w:before="0" w:line="240" w:lineRule="auto"/>
        <w:ind w:left="560" w:right="0" w:hanging="560"/>
        <w:jc w:val="both"/>
      </w:pPr>
      <w:bookmarkStart w:id="43" w:name="bookmark43"/>
      <w:bookmarkEnd w:id="4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Věcné břemeno – služebnost bude zřízena za jednorázovou úplatu. Výše jednorázové úhrady za zřízení výše popsaných práv odpovídajících věcnému břemeni na předmětném pozemku, kterou se budoucí oprávněná zavazuje uhradit, je stanovena dle předpokládaného rozsahu omezení uvedeného v odst. 5.1. čl. 5. Rozsah stavby na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42.975 Kč + platná sazba DPH </w:t>
      </w:r>
      <w:r>
        <w:rPr>
          <w:rFonts w:ascii="Times New Roman" w:eastAsia="Times New Roman" w:hAnsi="Times New Roman" w:cs="Times New Roman"/>
          <w:color w:val="000000"/>
          <w:spacing w:val="0"/>
          <w:w w:val="100"/>
          <w:position w:val="0"/>
          <w:sz w:val="24"/>
          <w:szCs w:val="24"/>
          <w:shd w:val="clear" w:color="auto" w:fill="auto"/>
          <w:lang w:val="cs-CZ" w:eastAsia="cs-CZ" w:bidi="cs-CZ"/>
        </w:rPr>
        <w:t>(75 Kč/m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 platná sazba DPH). Výše konečné částky bude upřesněna dle skutečného zaměření stavby. Cena je stanovena jako cena smluvní.</w:t>
      </w:r>
    </w:p>
    <w:p>
      <w:pPr>
        <w:pStyle w:val="Style7"/>
        <w:keepNext w:val="0"/>
        <w:keepLines w:val="0"/>
        <w:widowControl w:val="0"/>
        <w:numPr>
          <w:ilvl w:val="1"/>
          <w:numId w:val="1"/>
        </w:numPr>
        <w:shd w:val="clear" w:color="auto" w:fill="auto"/>
        <w:tabs>
          <w:tab w:pos="549" w:val="left"/>
        </w:tabs>
        <w:bidi w:val="0"/>
        <w:spacing w:before="0" w:line="240" w:lineRule="auto"/>
        <w:ind w:left="560" w:right="0" w:hanging="560"/>
        <w:jc w:val="both"/>
      </w:pPr>
      <w:bookmarkStart w:id="44" w:name="bookmark44"/>
      <w:bookmarkEnd w:id="44"/>
      <w:r>
        <w:rPr>
          <w:rFonts w:ascii="Times New Roman" w:eastAsia="Times New Roman" w:hAnsi="Times New Roman" w:cs="Times New Roman"/>
          <w:color w:val="000000"/>
          <w:spacing w:val="0"/>
          <w:w w:val="100"/>
          <w:position w:val="0"/>
          <w:sz w:val="24"/>
          <w:szCs w:val="24"/>
          <w:shd w:val="clear" w:color="auto" w:fill="auto"/>
          <w:lang w:val="cs-CZ" w:eastAsia="cs-CZ" w:bidi="cs-CZ"/>
        </w:rPr>
        <w:t>Dohodnutá částka bude uhrazena na základě daňového dokladu, který pronajímatel vystaví do 15 dnů ode dne uskutečnění zdanitelného plnění. Dnem uskutečnění zdanitelného plnění je den poskytnutí služby, tj. den vzniku věcného břemene nebo den vystavení daňového dokladu podle toho, který den nastane dříve. Splatnost bude stanovena na 30 dnů od data vystavení daňového dokladu. Neuhradí-li nájemce částku ve lhůtě splatnosti, bude mu účtován smluvní úrok ve výši 0,3 % z částky včas nezaplacené za každý den prodlení.</w:t>
      </w:r>
    </w:p>
    <w:p>
      <w:pPr>
        <w:pStyle w:val="Style7"/>
        <w:keepNext w:val="0"/>
        <w:keepLines w:val="0"/>
        <w:widowControl w:val="0"/>
        <w:numPr>
          <w:ilvl w:val="1"/>
          <w:numId w:val="1"/>
        </w:numPr>
        <w:shd w:val="clear" w:color="auto" w:fill="auto"/>
        <w:tabs>
          <w:tab w:pos="566" w:val="left"/>
        </w:tabs>
        <w:bidi w:val="0"/>
        <w:spacing w:before="0" w:after="500" w:line="240" w:lineRule="auto"/>
        <w:ind w:left="580" w:right="0" w:hanging="580"/>
        <w:jc w:val="both"/>
      </w:pPr>
      <w:bookmarkStart w:id="45" w:name="bookmark45"/>
      <w:bookmarkEnd w:id="45"/>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se zavazuje odstranit na výzvu pronajímatele na své náklady stavbu v případě ukončení užívání, funkčnosti či ztráty účelu stavby, pro kterou bude služebnost zřízena. Při odstraňování stavby se zavazuje co nejvíce šetřit majetek pronajímatele a poskytne pronajímateli součinnost při výmazu věcného břemena – služebnosti z katastru nemovitostí.</w:t>
      </w:r>
    </w:p>
    <w:p>
      <w:pPr>
        <w:pStyle w:val="Style7"/>
        <w:keepNext w:val="0"/>
        <w:keepLines w:val="0"/>
        <w:widowControl w:val="0"/>
        <w:numPr>
          <w:ilvl w:val="0"/>
          <w:numId w:val="1"/>
        </w:numPr>
        <w:shd w:val="clear" w:color="auto" w:fill="auto"/>
        <w:tabs>
          <w:tab w:pos="320" w:val="left"/>
        </w:tabs>
        <w:bidi w:val="0"/>
        <w:spacing w:before="0" w:after="220" w:line="240" w:lineRule="auto"/>
        <w:ind w:left="0" w:right="0" w:firstLine="0"/>
        <w:jc w:val="center"/>
      </w:pPr>
      <w:bookmarkStart w:id="46" w:name="bookmark46"/>
      <w:bookmarkEnd w:id="46"/>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Compliance doložka</w:t>
      </w:r>
    </w:p>
    <w:p>
      <w:pPr>
        <w:pStyle w:val="Style7"/>
        <w:keepNext w:val="0"/>
        <w:keepLines w:val="0"/>
        <w:widowControl w:val="0"/>
        <w:numPr>
          <w:ilvl w:val="1"/>
          <w:numId w:val="1"/>
        </w:numPr>
        <w:shd w:val="clear" w:color="auto" w:fill="auto"/>
        <w:tabs>
          <w:tab w:pos="566" w:val="left"/>
        </w:tabs>
        <w:bidi w:val="0"/>
        <w:spacing w:before="0" w:line="240" w:lineRule="auto"/>
        <w:ind w:left="580" w:right="0" w:hanging="580"/>
        <w:jc w:val="both"/>
      </w:pPr>
      <w:bookmarkStart w:id="47" w:name="bookmark47"/>
      <w:bookmarkEnd w:id="4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numPr>
          <w:ilvl w:val="1"/>
          <w:numId w:val="1"/>
        </w:numPr>
        <w:shd w:val="clear" w:color="auto" w:fill="auto"/>
        <w:tabs>
          <w:tab w:pos="566" w:val="left"/>
        </w:tabs>
        <w:bidi w:val="0"/>
        <w:spacing w:before="0" w:line="240" w:lineRule="auto"/>
        <w:ind w:left="580" w:right="0" w:hanging="580"/>
        <w:jc w:val="both"/>
      </w:pPr>
      <w:bookmarkStart w:id="48" w:name="bookmark48"/>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numPr>
          <w:ilvl w:val="1"/>
          <w:numId w:val="1"/>
        </w:numPr>
        <w:shd w:val="clear" w:color="auto" w:fill="auto"/>
        <w:tabs>
          <w:tab w:pos="566" w:val="left"/>
        </w:tabs>
        <w:bidi w:val="0"/>
        <w:spacing w:before="0" w:line="240" w:lineRule="auto"/>
        <w:ind w:left="580" w:right="0" w:hanging="580"/>
        <w:jc w:val="both"/>
      </w:pPr>
      <w:bookmarkStart w:id="49" w:name="bookmark49"/>
      <w:bookmarkEnd w:id="49"/>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Nájemce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http://www.poh.cz/protikorupcni-a-</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compliance-program/d-1346/p1=1458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7"/>
        <w:keepNext w:val="0"/>
        <w:keepLines w:val="0"/>
        <w:widowControl w:val="0"/>
        <w:numPr>
          <w:ilvl w:val="1"/>
          <w:numId w:val="1"/>
        </w:numPr>
        <w:shd w:val="clear" w:color="auto" w:fill="auto"/>
        <w:tabs>
          <w:tab w:pos="566" w:val="left"/>
        </w:tabs>
        <w:bidi w:val="0"/>
        <w:spacing w:before="0" w:after="500" w:line="240" w:lineRule="auto"/>
        <w:ind w:left="580" w:right="0" w:hanging="580"/>
        <w:jc w:val="both"/>
      </w:pPr>
      <w:bookmarkStart w:id="50" w:name="bookmark50"/>
      <w:bookmarkEnd w:id="50"/>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7"/>
        <w:keepNext w:val="0"/>
        <w:keepLines w:val="0"/>
        <w:widowControl w:val="0"/>
        <w:numPr>
          <w:ilvl w:val="0"/>
          <w:numId w:val="1"/>
        </w:numPr>
        <w:shd w:val="clear" w:color="auto" w:fill="auto"/>
        <w:tabs>
          <w:tab w:pos="442" w:val="left"/>
        </w:tabs>
        <w:bidi w:val="0"/>
        <w:spacing w:before="0" w:after="220" w:line="240" w:lineRule="auto"/>
        <w:ind w:left="0" w:right="0" w:firstLine="0"/>
        <w:jc w:val="center"/>
      </w:pPr>
      <w:bookmarkStart w:id="51" w:name="bookmark51"/>
      <w:bookmarkEnd w:id="5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Ochrana a zpracování osobní údajů</w:t>
      </w:r>
    </w:p>
    <w:p>
      <w:pPr>
        <w:pStyle w:val="Style7"/>
        <w:keepNext w:val="0"/>
        <w:keepLines w:val="0"/>
        <w:widowControl w:val="0"/>
        <w:shd w:val="clear" w:color="auto" w:fill="auto"/>
        <w:bidi w:val="0"/>
        <w:spacing w:before="0" w:after="50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http://www.poh.cz/informace-o-zpracovani-osobnich-udaju/d-1369/p1=1459</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7"/>
        <w:keepNext w:val="0"/>
        <w:keepLines w:val="0"/>
        <w:widowControl w:val="0"/>
        <w:numPr>
          <w:ilvl w:val="0"/>
          <w:numId w:val="1"/>
        </w:numPr>
        <w:shd w:val="clear" w:color="auto" w:fill="auto"/>
        <w:tabs>
          <w:tab w:pos="442" w:val="left"/>
        </w:tabs>
        <w:bidi w:val="0"/>
        <w:spacing w:before="0" w:line="240" w:lineRule="auto"/>
        <w:ind w:left="0" w:right="0" w:firstLine="0"/>
        <w:jc w:val="center"/>
      </w:pPr>
      <w:bookmarkStart w:id="52" w:name="bookmark52"/>
      <w:bookmarkEnd w:id="5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Závěrečná ustanovení</w:t>
      </w:r>
    </w:p>
    <w:p>
      <w:pPr>
        <w:pStyle w:val="Style7"/>
        <w:keepNext w:val="0"/>
        <w:keepLines w:val="0"/>
        <w:widowControl w:val="0"/>
        <w:numPr>
          <w:ilvl w:val="1"/>
          <w:numId w:val="1"/>
        </w:numPr>
        <w:shd w:val="clear" w:color="auto" w:fill="auto"/>
        <w:tabs>
          <w:tab w:pos="620" w:val="left"/>
        </w:tabs>
        <w:bidi w:val="0"/>
        <w:spacing w:before="0" w:line="240" w:lineRule="auto"/>
        <w:ind w:left="580" w:right="0" w:hanging="580"/>
        <w:jc w:val="both"/>
      </w:pPr>
      <w:bookmarkStart w:id="53" w:name="bookmark53"/>
      <w:bookmarkEnd w:id="53"/>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byla uzavřena podle zákona č. 89/2012 Sb., občanský zákoník, ve znění pozdějších předpisů. Smlouva je vyhotovena v pěti stejnopisech, z nichž pronajímatel obdrží tři vyhotovení a nájemce dvě vyhotovení.</w:t>
      </w:r>
    </w:p>
    <w:p>
      <w:pPr>
        <w:pStyle w:val="Style7"/>
        <w:keepNext w:val="0"/>
        <w:keepLines w:val="0"/>
        <w:widowControl w:val="0"/>
        <w:numPr>
          <w:ilvl w:val="1"/>
          <w:numId w:val="1"/>
        </w:numPr>
        <w:shd w:val="clear" w:color="auto" w:fill="auto"/>
        <w:tabs>
          <w:tab w:pos="620" w:val="left"/>
        </w:tabs>
        <w:bidi w:val="0"/>
        <w:spacing w:before="0" w:line="240" w:lineRule="auto"/>
        <w:ind w:left="580" w:right="0" w:hanging="580"/>
        <w:jc w:val="both"/>
      </w:pPr>
      <w:bookmarkStart w:id="54" w:name="bookmark54"/>
      <w:bookmarkEnd w:id="54"/>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w:t>
        <w:br w:type="page"/>
      </w:r>
      <w:r>
        <w:rPr>
          <w:rFonts w:ascii="Times New Roman" w:eastAsia="Times New Roman" w:hAnsi="Times New Roman" w:cs="Times New Roman"/>
          <w:color w:val="000000"/>
          <w:spacing w:val="0"/>
          <w:w w:val="100"/>
          <w:position w:val="0"/>
          <w:sz w:val="24"/>
          <w:szCs w:val="24"/>
          <w:shd w:val="clear" w:color="auto" w:fill="auto"/>
          <w:lang w:val="cs-CZ" w:eastAsia="cs-CZ" w:bidi="cs-CZ"/>
        </w:rPr>
        <w:t>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w:t>
      </w:r>
    </w:p>
    <w:p>
      <w:pPr>
        <w:pStyle w:val="Style7"/>
        <w:keepNext w:val="0"/>
        <w:keepLines w:val="0"/>
        <w:widowControl w:val="0"/>
        <w:numPr>
          <w:ilvl w:val="1"/>
          <w:numId w:val="1"/>
        </w:numPr>
        <w:shd w:val="clear" w:color="auto" w:fill="auto"/>
        <w:tabs>
          <w:tab w:pos="680" w:val="left"/>
        </w:tabs>
        <w:bidi w:val="0"/>
        <w:spacing w:before="0" w:line="240" w:lineRule="auto"/>
        <w:ind w:left="0" w:right="0" w:firstLine="0"/>
        <w:jc w:val="left"/>
      </w:pPr>
      <w:bookmarkStart w:id="55" w:name="bookmark55"/>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7"/>
        <w:keepNext w:val="0"/>
        <w:keepLines w:val="0"/>
        <w:widowControl w:val="0"/>
        <w:numPr>
          <w:ilvl w:val="1"/>
          <w:numId w:val="1"/>
        </w:numPr>
        <w:shd w:val="clear" w:color="auto" w:fill="auto"/>
        <w:tabs>
          <w:tab w:pos="680" w:val="left"/>
        </w:tabs>
        <w:bidi w:val="0"/>
        <w:spacing w:before="0" w:line="240" w:lineRule="auto"/>
        <w:ind w:left="580" w:right="0" w:hanging="580"/>
        <w:jc w:val="left"/>
      </w:pPr>
      <w:bookmarkStart w:id="56" w:name="bookmark56"/>
      <w:bookmarkEnd w:id="56"/>
      <w:r>
        <w:rPr>
          <w:rFonts w:ascii="Times New Roman" w:eastAsia="Times New Roman" w:hAnsi="Times New Roman" w:cs="Times New Roman"/>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7"/>
        <w:keepNext w:val="0"/>
        <w:keepLines w:val="0"/>
        <w:widowControl w:val="0"/>
        <w:numPr>
          <w:ilvl w:val="1"/>
          <w:numId w:val="1"/>
        </w:numPr>
        <w:shd w:val="clear" w:color="auto" w:fill="auto"/>
        <w:tabs>
          <w:tab w:pos="680" w:val="left"/>
        </w:tabs>
        <w:bidi w:val="0"/>
        <w:spacing w:before="0" w:line="240" w:lineRule="auto"/>
        <w:ind w:left="0" w:right="0" w:firstLine="0"/>
        <w:jc w:val="left"/>
      </w:pPr>
      <w:bookmarkStart w:id="57" w:name="bookmark57"/>
      <w:bookmarkEnd w:id="5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7"/>
        <w:keepNext w:val="0"/>
        <w:keepLines w:val="0"/>
        <w:widowControl w:val="0"/>
        <w:numPr>
          <w:ilvl w:val="1"/>
          <w:numId w:val="1"/>
        </w:numPr>
        <w:shd w:val="clear" w:color="auto" w:fill="auto"/>
        <w:tabs>
          <w:tab w:pos="680" w:val="left"/>
        </w:tabs>
        <w:bidi w:val="0"/>
        <w:spacing w:before="0" w:after="180" w:line="240" w:lineRule="auto"/>
        <w:ind w:left="580" w:right="0" w:hanging="580"/>
        <w:jc w:val="left"/>
      </w:pPr>
      <w:bookmarkStart w:id="58" w:name="bookmark58"/>
      <w:bookmarkEnd w:id="58"/>
      <w:r>
        <w:rPr>
          <w:rFonts w:ascii="Times New Roman" w:eastAsia="Times New Roman" w:hAnsi="Times New Roman" w:cs="Times New Roman"/>
          <w:color w:val="000000"/>
          <w:spacing w:val="0"/>
          <w:w w:val="100"/>
          <w:position w:val="0"/>
          <w:sz w:val="24"/>
          <w:szCs w:val="24"/>
          <w:shd w:val="clear" w:color="auto" w:fill="auto"/>
          <w:lang w:val="cs-CZ" w:eastAsia="cs-CZ" w:bidi="cs-CZ"/>
        </w:rPr>
        <w:t>Dodatky a změny ke smlouvě musí být učiněny písemnou formou. Ústní ujednání jsou neplatná.</w:t>
      </w:r>
    </w:p>
    <w:p>
      <w:pPr>
        <w:pStyle w:val="Style7"/>
        <w:keepNext w:val="0"/>
        <w:keepLines w:val="0"/>
        <w:widowControl w:val="0"/>
        <w:numPr>
          <w:ilvl w:val="1"/>
          <w:numId w:val="1"/>
        </w:numPr>
        <w:shd w:val="clear" w:color="auto" w:fill="auto"/>
        <w:tabs>
          <w:tab w:pos="680" w:val="left"/>
        </w:tabs>
        <w:bidi w:val="0"/>
        <w:spacing w:before="0" w:after="480" w:line="240" w:lineRule="auto"/>
        <w:ind w:left="580" w:right="0" w:hanging="580"/>
        <w:jc w:val="both"/>
      </w:pPr>
      <w:bookmarkStart w:id="59" w:name="bookmark59"/>
      <w:bookmarkEnd w:id="59"/>
      <w:r>
        <w:rPr>
          <w:rFonts w:ascii="Times New Roman" w:eastAsia="Times New Roman" w:hAnsi="Times New Roman" w:cs="Times New Roman"/>
          <w:color w:val="000000"/>
          <w:spacing w:val="0"/>
          <w:w w:val="100"/>
          <w:position w:val="0"/>
          <w:sz w:val="24"/>
          <w:szCs w:val="24"/>
          <w:shd w:val="clear" w:color="auto" w:fill="auto"/>
          <w:lang w:val="cs-CZ" w:eastAsia="cs-CZ" w:bidi="cs-CZ"/>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Příloha:</w:t>
      </w:r>
    </w:p>
    <w:p>
      <w:pPr>
        <w:pStyle w:val="Style7"/>
        <w:keepNext w:val="0"/>
        <w:keepLines w:val="0"/>
        <w:widowControl w:val="0"/>
        <w:shd w:val="clear" w:color="auto" w:fill="auto"/>
        <w:bidi w:val="0"/>
        <w:spacing w:before="0" w:after="0" w:line="240" w:lineRule="auto"/>
        <w:ind w:left="0" w:right="0" w:firstLine="0"/>
        <w:jc w:val="both"/>
        <w:rPr>
          <w:sz w:val="22"/>
          <w:szCs w:val="22"/>
        </w:rPr>
        <w:sectPr>
          <w:footerReference w:type="default" r:id="rId5"/>
          <w:footnotePr>
            <w:pos w:val="pageBottom"/>
            <w:numFmt w:val="decimal"/>
            <w:numRestart w:val="continuous"/>
          </w:footnotePr>
          <w:pgSz w:w="11909" w:h="16838"/>
          <w:pgMar w:top="1070" w:left="1282" w:right="1275" w:bottom="1087" w:header="642" w:footer="3"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22"/>
          <w:szCs w:val="22"/>
          <w:shd w:val="clear" w:color="auto" w:fill="auto"/>
          <w:lang w:val="cs-CZ" w:eastAsia="cs-CZ" w:bidi="cs-CZ"/>
        </w:rPr>
        <w:t>vyjádření č.j. POH/01952/2021-2/032100 seznam dotčených pozemků situace dotčených pozemků</w:t>
      </w:r>
    </w:p>
    <w:p>
      <w:pPr>
        <w:widowControl w:val="0"/>
        <w:spacing w:line="240" w:lineRule="exact"/>
        <w:rPr>
          <w:sz w:val="19"/>
          <w:szCs w:val="19"/>
        </w:rPr>
      </w:pPr>
    </w:p>
    <w:p>
      <w:pPr>
        <w:widowControl w:val="0"/>
        <w:spacing w:before="100" w:after="10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4413"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V Chomutově dne …………….……..</w:t>
      </w:r>
    </w:p>
    <w:p>
      <w:pPr>
        <w:pStyle w:val="Style7"/>
        <w:keepNext w:val="0"/>
        <w:keepLines w:val="0"/>
        <w:widowControl w:val="0"/>
        <w:shd w:val="clear" w:color="auto" w:fill="auto"/>
        <w:bidi w:val="0"/>
        <w:spacing w:before="0" w:after="0" w:line="240" w:lineRule="auto"/>
        <w:ind w:left="0" w:right="0" w:firstLine="0"/>
        <w:jc w:val="left"/>
        <w:rPr>
          <w:sz w:val="22"/>
          <w:szCs w:val="22"/>
        </w:rPr>
        <w:sectPr>
          <w:footnotePr>
            <w:pos w:val="pageBottom"/>
            <w:numFmt w:val="decimal"/>
            <w:numRestart w:val="continuous"/>
          </w:footnotePr>
          <w:type w:val="continuous"/>
          <w:pgSz w:w="11909" w:h="16838"/>
          <w:pgMar w:top="1080" w:left="1500" w:right="2335" w:bottom="4413" w:header="0" w:footer="3" w:gutter="0"/>
          <w:cols w:num="2" w:space="720" w:equalWidth="0">
            <w:col w:w="3432" w:space="1574"/>
            <w:col w:w="3067"/>
          </w:cols>
          <w:noEndnote/>
          <w:rtlGutter w:val="0"/>
          <w:docGrid w:linePitch="360"/>
        </w:sectPr>
      </w:pPr>
      <w:r>
        <w:rPr>
          <w:rFonts w:ascii="Times New Roman" w:eastAsia="Times New Roman" w:hAnsi="Times New Roman" w:cs="Times New Roman"/>
          <w:color w:val="000000"/>
          <w:spacing w:val="0"/>
          <w:w w:val="100"/>
          <w:position w:val="0"/>
          <w:sz w:val="22"/>
          <w:szCs w:val="22"/>
          <w:shd w:val="clear" w:color="auto" w:fill="auto"/>
          <w:lang w:val="cs-CZ" w:eastAsia="cs-CZ" w:bidi="cs-CZ"/>
        </w:rPr>
        <w:t>V Sokolově dne ……………..…..</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1" w:after="11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4413"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center"/>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w:t>
        <w:br/>
      </w:r>
      <w:r>
        <w:rPr>
          <w:rFonts w:ascii="Times New Roman" w:eastAsia="Times New Roman" w:hAnsi="Times New Roman" w:cs="Times New Roman"/>
          <w:b/>
          <w:bCs/>
          <w:i/>
          <w:iCs/>
          <w:color w:val="000000"/>
          <w:spacing w:val="0"/>
          <w:w w:val="100"/>
          <w:position w:val="0"/>
          <w:sz w:val="22"/>
          <w:szCs w:val="22"/>
          <w:shd w:val="clear" w:color="auto" w:fill="auto"/>
          <w:lang w:val="cs-CZ" w:eastAsia="cs-CZ" w:bidi="cs-CZ"/>
        </w:rPr>
        <w:t>za pronajímatele</w:t>
      </w:r>
    </w:p>
    <w:p>
      <w:pPr>
        <w:pStyle w:val="Style7"/>
        <w:keepNext w:val="0"/>
        <w:keepLines w:val="0"/>
        <w:widowControl w:val="0"/>
        <w:shd w:val="clear" w:color="auto" w:fill="auto"/>
        <w:bidi w:val="0"/>
        <w:spacing w:before="0" w:after="0" w:line="240" w:lineRule="auto"/>
        <w:ind w:left="0" w:right="0" w:firstLine="0"/>
        <w:jc w:val="center"/>
        <w:rPr>
          <w:sz w:val="22"/>
          <w:szCs w:val="22"/>
        </w:rPr>
        <w:sectPr>
          <w:footnotePr>
            <w:pos w:val="pageBottom"/>
            <w:numFmt w:val="decimal"/>
            <w:numRestart w:val="continuous"/>
          </w:footnotePr>
          <w:type w:val="continuous"/>
          <w:pgSz w:w="11909" w:h="16838"/>
          <w:pgMar w:top="1080" w:left="2080" w:right="2008" w:bottom="4413" w:header="0" w:footer="3" w:gutter="0"/>
          <w:cols w:num="2" w:space="1982"/>
          <w:noEndnote/>
          <w:rtlGutter w:val="0"/>
          <w:docGrid w:linePitch="360"/>
        </w:sectPr>
      </w:pPr>
      <w:r>
        <w:rPr>
          <w:rFonts w:ascii="Times New Roman" w:eastAsia="Times New Roman" w:hAnsi="Times New Roman" w:cs="Times New Roman"/>
          <w:color w:val="000000"/>
          <w:spacing w:val="0"/>
          <w:w w:val="100"/>
          <w:position w:val="0"/>
          <w:sz w:val="22"/>
          <w:szCs w:val="22"/>
          <w:shd w:val="clear" w:color="auto" w:fill="auto"/>
          <w:lang w:val="cs-CZ" w:eastAsia="cs-CZ" w:bidi="cs-CZ"/>
        </w:rPr>
        <w:t>…………………………………</w:t>
        <w:br/>
      </w:r>
      <w:r>
        <w:rPr>
          <w:rFonts w:ascii="Times New Roman" w:eastAsia="Times New Roman" w:hAnsi="Times New Roman" w:cs="Times New Roman"/>
          <w:b/>
          <w:bCs/>
          <w:i/>
          <w:iCs/>
          <w:color w:val="000000"/>
          <w:spacing w:val="0"/>
          <w:w w:val="100"/>
          <w:position w:val="0"/>
          <w:sz w:val="22"/>
          <w:szCs w:val="22"/>
          <w:shd w:val="clear" w:color="auto" w:fill="auto"/>
          <w:lang w:val="cs-CZ" w:eastAsia="cs-CZ" w:bidi="cs-CZ"/>
        </w:rPr>
        <w:t>za nájemce</w:t>
      </w:r>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08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1475740</wp:posOffset>
                </wp:positionH>
                <wp:positionV relativeFrom="paragraph">
                  <wp:posOffset>12700</wp:posOffset>
                </wp:positionV>
                <wp:extent cx="1542415" cy="225425"/>
                <wp:wrapSquare wrapText="bothSides"/>
                <wp:docPr id="3" name="Shape 3"/>
                <a:graphic xmlns:a="http://schemas.openxmlformats.org/drawingml/2006/main">
                  <a:graphicData uri="http://schemas.microsoft.com/office/word/2010/wordprocessingShape">
                    <wps:wsp>
                      <wps:cNvSpPr txBox="1"/>
                      <wps:spPr>
                        <a:xfrm>
                          <a:ext cx="1542415" cy="2254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Povodí Ohře, státní podnik</w:t>
                            </w:r>
                          </w:p>
                        </w:txbxContent>
                      </wps:txbx>
                      <wps:bodyPr wrap="none" lIns="0" tIns="0" rIns="0" bIns="0">
                        <a:noAutoFit/>
                      </wps:bodyPr>
                    </wps:wsp>
                  </a:graphicData>
                </a:graphic>
              </wp:anchor>
            </w:drawing>
          </mc:Choice>
          <mc:Fallback>
            <w:pict>
              <v:shape id="_x0000_s1029" type="#_x0000_t202" style="position:absolute;margin-left:116.2pt;margin-top:1.pt;width:121.45pt;height:17.75pt;z-index:-12582937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Povodí Ohře, státní podnik</w:t>
                      </w:r>
                    </w:p>
                  </w:txbxContent>
                </v:textbox>
                <w10:wrap type="square" anchorx="page"/>
              </v:shape>
            </w:pict>
          </mc:Fallback>
        </mc:AlternateContent>
      </w:r>
    </w:p>
    <w:p>
      <w:pPr>
        <w:pStyle w:val="Style7"/>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Krajská správa a údržba silnic</w:t>
        <w:br/>
        <w:t>Karlovarského kraje,</w:t>
        <w:br/>
        <w:t>příspěvková organizace</w:t>
      </w:r>
    </w:p>
    <w:sectPr>
      <w:footnotePr>
        <w:pos w:val="pageBottom"/>
        <w:numFmt w:val="decimal"/>
        <w:numRestart w:val="continuous"/>
      </w:footnotePr>
      <w:type w:val="continuous"/>
      <w:pgSz w:w="11909" w:h="16838"/>
      <w:pgMar w:top="1080" w:left="4754" w:right="1384" w:bottom="108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5681980</wp:posOffset>
              </wp:positionH>
              <wp:positionV relativeFrom="page">
                <wp:posOffset>10065385</wp:posOffset>
              </wp:positionV>
              <wp:extent cx="996950" cy="170815"/>
              <wp:wrapNone/>
              <wp:docPr id="1" name="Shape 1"/>
              <a:graphic xmlns:a="http://schemas.openxmlformats.org/drawingml/2006/main">
                <a:graphicData uri="http://schemas.microsoft.com/office/word/2010/wordprocessingShape">
                  <wps:wsp>
                    <wps:cNvSpPr txBox="1"/>
                    <wps:spPr>
                      <a:xfrm>
                        <a:ext cx="99695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(celkem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40000000000003pt;margin-top:792.55000000000007pt;width:78.5pt;height:13.4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(celkem 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bCs/>
      <w:i w:val="0"/>
      <w:iCs w:val="0"/>
      <w:smallCaps w:val="0"/>
      <w:strike w:val="0"/>
      <w:sz w:val="32"/>
      <w:szCs w:val="3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b w:val="0"/>
      <w:bCs w:val="0"/>
      <w:i w:val="0"/>
      <w:iCs w:val="0"/>
      <w:smallCaps w:val="0"/>
      <w:strike w:val="0"/>
      <w:u w:val="none"/>
    </w:rPr>
  </w:style>
  <w:style w:type="character" w:customStyle="1" w:styleId="CharStyle13">
    <w:name w:val="Char Style 13"/>
    <w:basedOn w:val="DefaultParagraphFont"/>
    <w:link w:val="Style12"/>
    <w:rPr>
      <w:b w:val="0"/>
      <w:bCs w:val="0"/>
      <w:i w:val="0"/>
      <w:iCs w:val="0"/>
      <w:smallCaps w:val="0"/>
      <w:strike w:val="0"/>
      <w:u w:val="none"/>
    </w:rPr>
  </w:style>
  <w:style w:type="character" w:customStyle="1" w:styleId="CharStyle16">
    <w:name w:val="Char Style 16"/>
    <w:basedOn w:val="DefaultParagraphFont"/>
    <w:link w:val="Style15"/>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before="380" w:after="300"/>
      <w:jc w:val="center"/>
    </w:pPr>
    <w:rPr>
      <w:b/>
      <w:bCs/>
      <w:i w:val="0"/>
      <w:iCs w:val="0"/>
      <w:smallCaps w:val="0"/>
      <w:strike w:val="0"/>
      <w:sz w:val="32"/>
      <w:szCs w:val="3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b w:val="0"/>
      <w:bCs w:val="0"/>
      <w:i w:val="0"/>
      <w:iCs w:val="0"/>
      <w:smallCaps w:val="0"/>
      <w:strike w:val="0"/>
      <w:u w:val="none"/>
    </w:rPr>
  </w:style>
  <w:style w:type="paragraph" w:customStyle="1" w:styleId="Style12">
    <w:name w:val="Style 12"/>
    <w:basedOn w:val="Normal"/>
    <w:link w:val="CharStyle13"/>
    <w:pPr>
      <w:widowControl w:val="0"/>
      <w:shd w:val="clear" w:color="auto" w:fill="FFFFFF"/>
      <w:spacing w:after="60"/>
      <w:ind w:left="1020" w:hanging="150"/>
      <w:outlineLvl w:val="0"/>
    </w:pPr>
    <w:rPr>
      <w:b w:val="0"/>
      <w:bCs w:val="0"/>
      <w:i w:val="0"/>
      <w:iCs w:val="0"/>
      <w:smallCaps w:val="0"/>
      <w:strike w:val="0"/>
      <w:u w:val="none"/>
    </w:rPr>
  </w:style>
  <w:style w:type="paragraph" w:customStyle="1" w:styleId="Style15">
    <w:name w:val="Style 15"/>
    <w:basedOn w:val="Normal"/>
    <w:link w:val="CharStyle16"/>
    <w:pPr>
      <w:widowControl w:val="0"/>
      <w:shd w:val="clear" w:color="auto" w:fill="FFFFFF"/>
      <w:spacing w:after="60"/>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 U P N Í    S M L O U V A</dc:title>
  <dc:subject/>
  <dc:creator>OEM Installed</dc:creator>
  <cp:keywords/>
</cp:coreProperties>
</file>