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97E4" w14:textId="480D430A" w:rsidR="002E1E15" w:rsidRDefault="00C17560">
      <w:pPr>
        <w:spacing w:after="0" w:line="439" w:lineRule="auto"/>
        <w:ind w:left="14" w:right="816" w:firstLine="10"/>
        <w:jc w:val="left"/>
        <w:rPr>
          <w:sz w:val="28"/>
          <w:u w:val="single" w:color="000000"/>
        </w:rPr>
      </w:pPr>
      <w:r w:rsidRPr="002E1E15">
        <w:rPr>
          <w:sz w:val="28"/>
        </w:rPr>
        <w:t>KUPNÍ SMLOUVA</w:t>
      </w:r>
      <w:r w:rsidR="002E1E15" w:rsidRPr="002E1E15">
        <w:rPr>
          <w:sz w:val="28"/>
        </w:rPr>
        <w:t xml:space="preserve">     </w:t>
      </w:r>
      <w:r w:rsidRPr="002E1E15">
        <w:rPr>
          <w:sz w:val="28"/>
        </w:rPr>
        <w:t xml:space="preserve"> </w:t>
      </w:r>
      <w:proofErr w:type="gramStart"/>
      <w:r w:rsidRPr="002E1E15">
        <w:rPr>
          <w:sz w:val="28"/>
        </w:rPr>
        <w:t>číslo :</w:t>
      </w:r>
      <w:proofErr w:type="gramEnd"/>
      <w:r w:rsidRPr="002E1E15">
        <w:rPr>
          <w:sz w:val="28"/>
        </w:rPr>
        <w:t xml:space="preserve"> KS26077</w:t>
      </w:r>
      <w:r>
        <w:rPr>
          <w:sz w:val="28"/>
        </w:rPr>
        <w:t xml:space="preserve"> </w:t>
      </w:r>
      <w:r w:rsidR="002E1E15">
        <w:rPr>
          <w:sz w:val="28"/>
        </w:rPr>
        <w:t xml:space="preserve">                                 </w:t>
      </w:r>
    </w:p>
    <w:p w14:paraId="40BC7FA2" w14:textId="1D9EBB27" w:rsidR="00EA5BDB" w:rsidRDefault="00C17560">
      <w:pPr>
        <w:spacing w:after="0" w:line="439" w:lineRule="auto"/>
        <w:ind w:left="14" w:right="816" w:firstLine="10"/>
        <w:jc w:val="left"/>
        <w:rPr>
          <w:sz w:val="28"/>
        </w:rPr>
      </w:pPr>
      <w:r>
        <w:rPr>
          <w:sz w:val="28"/>
        </w:rPr>
        <w:t xml:space="preserve">o prodeji technologického zařízení </w:t>
      </w:r>
      <w:r w:rsidR="002E1E15">
        <w:rPr>
          <w:sz w:val="28"/>
        </w:rPr>
        <w:t xml:space="preserve">                                    </w:t>
      </w:r>
    </w:p>
    <w:p w14:paraId="3CF1EEF0" w14:textId="0649D085" w:rsidR="002E1E15" w:rsidRDefault="002E1E15">
      <w:pPr>
        <w:spacing w:after="0" w:line="439" w:lineRule="auto"/>
        <w:ind w:left="14" w:right="816" w:firstLine="10"/>
        <w:jc w:val="left"/>
      </w:pPr>
      <w:r>
        <w:rPr>
          <w:sz w:val="28"/>
        </w:rPr>
        <w:t>______________________________________________________</w:t>
      </w:r>
    </w:p>
    <w:p w14:paraId="1A793D19" w14:textId="77777777" w:rsidR="00EA5BDB" w:rsidRPr="002E1E15" w:rsidRDefault="00C17560">
      <w:pPr>
        <w:spacing w:after="350" w:line="259" w:lineRule="auto"/>
        <w:ind w:left="-43" w:right="0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0E626269" wp14:editId="47439FC5">
                <wp:extent cx="3810518" cy="168287"/>
                <wp:effectExtent l="0" t="0" r="0" b="0"/>
                <wp:docPr id="12992" name="Group 12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518" cy="168287"/>
                          <a:chOff x="33528" y="50835"/>
                          <a:chExt cx="3810518" cy="168287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33528" y="54880"/>
                            <a:ext cx="449976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0BC31" w14:textId="3596352B" w:rsidR="002E1E15" w:rsidRDefault="002E1E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</w:t>
                              </w:r>
                              <w:r w:rsidR="00C17560">
                                <w:t>odl</w:t>
                              </w:r>
                              <w:r>
                                <w:t xml:space="preserve">e </w:t>
                              </w:r>
                            </w:p>
                            <w:p w14:paraId="544296FE" w14:textId="77777777" w:rsidR="002E1E15" w:rsidRDefault="002E1E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  <w:p w14:paraId="471E0906" w14:textId="77777777" w:rsidR="002E1E15" w:rsidRDefault="002E1E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  <w:p w14:paraId="35DA2A90" w14:textId="77777777" w:rsidR="002E1E15" w:rsidRDefault="002E1E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  <w:p w14:paraId="645EBFB1" w14:textId="0D9FB493" w:rsidR="00EA5BDB" w:rsidRDefault="00C1756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38531" y="50835"/>
                            <a:ext cx="863468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B41A7" w14:textId="77777777" w:rsidR="00EA5BDB" w:rsidRDefault="00C1756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objednávky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408176" y="54880"/>
                            <a:ext cx="604022" cy="15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40072" w14:textId="77777777" w:rsidR="00EA5BDB" w:rsidRDefault="00C1756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65/2026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240024" y="60977"/>
                            <a:ext cx="604022" cy="15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D0C4C" w14:textId="77777777" w:rsidR="00EA5BDB" w:rsidRDefault="00C1756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vyřizuje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26269" id="Group 12992" o:spid="_x0000_s1026" style="width:300.05pt;height:13.25pt;mso-position-horizontal-relative:char;mso-position-vertical-relative:line" coordorigin="335,508" coordsize="38105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">
                <v:rect id="Rectangle 38" o:spid="_x0000_s1027" style="position:absolute;left:335;top:548;width:4500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110BC31" w14:textId="3596352B" w:rsidR="002E1E15" w:rsidRDefault="002E1E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</w:t>
                        </w:r>
                        <w:r w:rsidR="00C17560">
                          <w:t>odl</w:t>
                        </w:r>
                        <w:r>
                          <w:t xml:space="preserve">e </w:t>
                        </w:r>
                      </w:p>
                      <w:p w14:paraId="544296FE" w14:textId="77777777" w:rsidR="002E1E15" w:rsidRDefault="002E1E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  <w:p w14:paraId="471E0906" w14:textId="77777777" w:rsidR="002E1E15" w:rsidRDefault="002E1E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  <w:p w14:paraId="35DA2A90" w14:textId="77777777" w:rsidR="002E1E15" w:rsidRDefault="002E1E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  <w:p w14:paraId="645EBFB1" w14:textId="0D9FB493" w:rsidR="00EA5BDB" w:rsidRDefault="00C1756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28" style="position:absolute;left:4385;top:508;width:8634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6DB41A7" w14:textId="77777777" w:rsidR="00EA5BDB" w:rsidRDefault="00C1756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objednávky </w:t>
                        </w:r>
                      </w:p>
                    </w:txbxContent>
                  </v:textbox>
                </v:rect>
                <v:rect id="Rectangle 49" o:spid="_x0000_s1029" style="position:absolute;left:14081;top:548;width:604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3940072" w14:textId="77777777" w:rsidR="00EA5BDB" w:rsidRDefault="00C1756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65/2026</w:t>
                        </w:r>
                      </w:p>
                    </w:txbxContent>
                  </v:textbox>
                </v:rect>
                <v:rect id="Rectangle 36" o:spid="_x0000_s1030" style="position:absolute;left:32400;top:609;width:604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B8D0C4C" w14:textId="77777777" w:rsidR="00EA5BDB" w:rsidRDefault="00C1756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vyřizuje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6946" w:type="dxa"/>
        <w:tblInd w:w="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3725"/>
        <w:gridCol w:w="1051"/>
      </w:tblGrid>
      <w:tr w:rsidR="00EA5BDB" w:rsidRPr="002E1E15" w14:paraId="26E6C0BB" w14:textId="77777777">
        <w:trPr>
          <w:trHeight w:val="233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3829BA5B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Společnost :</w:t>
            </w:r>
            <w:proofErr w:type="gramEnd"/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33DEF978" w14:textId="77777777" w:rsidR="00EA5BDB" w:rsidRPr="002E1E15" w:rsidRDefault="00C17560">
            <w:pPr>
              <w:spacing w:after="0" w:line="259" w:lineRule="auto"/>
              <w:ind w:left="1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BRIKLIS, spol s r.o.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0C154438" w14:textId="77777777" w:rsidR="00EA5BDB" w:rsidRPr="002E1E15" w:rsidRDefault="00EA5B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BDB" w:rsidRPr="002E1E15" w14:paraId="7D089066" w14:textId="77777777">
        <w:trPr>
          <w:trHeight w:val="279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7D7C9C19" w14:textId="5E828411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se sídlem •</w:t>
            </w:r>
            <w:r w:rsidR="002E1E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307D66F1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cz-391 75 MALŠICE 335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5E2E8C4" w14:textId="77777777" w:rsidR="00EA5BDB" w:rsidRPr="002E1E15" w:rsidRDefault="00EA5B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BDB" w:rsidRPr="002E1E15" w14:paraId="0C23F637" w14:textId="77777777">
        <w:trPr>
          <w:trHeight w:val="280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4C989A28" w14:textId="0AAC5625" w:rsidR="00EA5BDB" w:rsidRPr="002E1E15" w:rsidRDefault="002E1E15">
            <w:pPr>
              <w:spacing w:after="0" w:line="259" w:lineRule="auto"/>
              <w:ind w:left="1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Ič</w:t>
            </w:r>
            <w:proofErr w:type="spellEnd"/>
            <w:r w:rsidR="00C17560" w:rsidRPr="002E1E1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155EC92D" w14:textId="77777777" w:rsidR="00EA5BDB" w:rsidRPr="002E1E15" w:rsidRDefault="00C17560">
            <w:pPr>
              <w:tabs>
                <w:tab w:val="center" w:pos="2988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43833497</w:t>
            </w:r>
            <w:r w:rsidRPr="002E1E15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Dič</w:t>
            </w:r>
            <w:proofErr w:type="spellEnd"/>
            <w:r w:rsidRPr="002E1E15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0587240" w14:textId="77777777" w:rsidR="00EA5BDB" w:rsidRPr="002E1E15" w:rsidRDefault="00C1756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CZ43833497</w:t>
            </w:r>
          </w:p>
        </w:tc>
      </w:tr>
      <w:tr w:rsidR="00EA5BDB" w:rsidRPr="002E1E15" w14:paraId="6FDD4940" w14:textId="77777777">
        <w:trPr>
          <w:trHeight w:val="241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5AA96449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zastoupená •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2F792939" w14:textId="77777777" w:rsidR="00EA5BDB" w:rsidRPr="002E1E15" w:rsidRDefault="00C17560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Ing. Miroslavem </w:t>
            </w: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Medkem -jednatelem</w:t>
            </w:r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62F4E57" w14:textId="77777777" w:rsidR="00EA5BDB" w:rsidRPr="002E1E15" w:rsidRDefault="00EA5B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65578D" w14:textId="77777777" w:rsidR="002E1E15" w:rsidRDefault="00C17560">
      <w:pPr>
        <w:spacing w:after="52" w:line="258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zapsaná v obchodním rejstříku vedeném Krajským soudem v Českých Budějovicích, oddíl C, vložka 755 (dále jen </w:t>
      </w:r>
      <w:r w:rsidRPr="002E1E15">
        <w:rPr>
          <w:rFonts w:ascii="Arial" w:hAnsi="Arial" w:cs="Arial"/>
          <w:sz w:val="18"/>
          <w:szCs w:val="18"/>
          <w:vertAlign w:val="superscript"/>
        </w:rPr>
        <w:t xml:space="preserve">It </w:t>
      </w:r>
      <w:r w:rsidRPr="002E1E15">
        <w:rPr>
          <w:rFonts w:ascii="Arial" w:hAnsi="Arial" w:cs="Arial"/>
          <w:sz w:val="18"/>
          <w:szCs w:val="18"/>
        </w:rPr>
        <w:t>prodávající")</w:t>
      </w:r>
    </w:p>
    <w:p w14:paraId="495C592E" w14:textId="77777777" w:rsidR="002E1E15" w:rsidRDefault="002E1E15">
      <w:pPr>
        <w:spacing w:after="52" w:line="258" w:lineRule="auto"/>
        <w:ind w:firstLine="0"/>
        <w:jc w:val="left"/>
        <w:rPr>
          <w:rFonts w:ascii="Arial" w:hAnsi="Arial" w:cs="Arial"/>
          <w:sz w:val="18"/>
          <w:szCs w:val="18"/>
        </w:rPr>
      </w:pPr>
    </w:p>
    <w:p w14:paraId="175020CD" w14:textId="7FDC8161" w:rsidR="00EA5BDB" w:rsidRDefault="00C17560">
      <w:pPr>
        <w:spacing w:after="52" w:line="258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 </w:t>
      </w:r>
      <w:r w:rsidRPr="002E1E1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9BC9CBA" wp14:editId="13D55621">
            <wp:extent cx="6096" cy="6098"/>
            <wp:effectExtent l="0" t="0" r="0" b="0"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1E15">
        <w:rPr>
          <w:rFonts w:ascii="Arial" w:hAnsi="Arial" w:cs="Arial"/>
          <w:sz w:val="18"/>
          <w:szCs w:val="18"/>
        </w:rPr>
        <w:t>a</w:t>
      </w:r>
    </w:p>
    <w:p w14:paraId="0BA7F1B2" w14:textId="77777777" w:rsidR="002E1E15" w:rsidRPr="002E1E15" w:rsidRDefault="002E1E15">
      <w:pPr>
        <w:spacing w:after="52" w:line="258" w:lineRule="auto"/>
        <w:ind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253" w:type="dxa"/>
        <w:tblInd w:w="5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5083"/>
      </w:tblGrid>
      <w:tr w:rsidR="00EA5BDB" w:rsidRPr="002E1E15" w14:paraId="7224FF84" w14:textId="77777777">
        <w:trPr>
          <w:trHeight w:val="254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78071862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Společnost :</w:t>
            </w:r>
            <w:proofErr w:type="gramEnd"/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14:paraId="433F657B" w14:textId="77777777" w:rsidR="00EA5BDB" w:rsidRPr="002E1E15" w:rsidRDefault="00C1756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Střední škola polytechnická, České Budějovice, Nerudova 59</w:t>
            </w:r>
          </w:p>
        </w:tc>
      </w:tr>
      <w:tr w:rsidR="00EA5BDB" w:rsidRPr="002E1E15" w14:paraId="7676F4B0" w14:textId="77777777">
        <w:trPr>
          <w:trHeight w:val="1099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106B5102" w14:textId="77777777" w:rsidR="00EA5BDB" w:rsidRPr="002E1E15" w:rsidRDefault="00C17560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se sídlem •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14:paraId="000F7C7E" w14:textId="77777777" w:rsidR="00EA5BDB" w:rsidRPr="002E1E15" w:rsidRDefault="00C17560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se sídlem: Nerudova 859/59</w:t>
            </w:r>
          </w:p>
          <w:p w14:paraId="2EF4CCAA" w14:textId="77777777" w:rsidR="00217244" w:rsidRDefault="00C17560" w:rsidP="002E1E15">
            <w:pPr>
              <w:tabs>
                <w:tab w:val="center" w:pos="1668"/>
              </w:tabs>
              <w:spacing w:after="454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370 04 </w:t>
            </w:r>
            <w:r w:rsidRPr="002E1E15">
              <w:rPr>
                <w:rFonts w:ascii="Arial" w:hAnsi="Arial" w:cs="Arial"/>
                <w:sz w:val="18"/>
                <w:szCs w:val="18"/>
              </w:rPr>
              <w:tab/>
              <w:t>České Budějovice</w:t>
            </w:r>
            <w:r w:rsidR="002172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791067" w14:textId="61803E09" w:rsidR="00EA5BDB" w:rsidRPr="002E1E15" w:rsidRDefault="002E1E15" w:rsidP="002E1E15">
            <w:pPr>
              <w:tabs>
                <w:tab w:val="center" w:pos="1668"/>
              </w:tabs>
              <w:spacing w:after="454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17244">
              <w:rPr>
                <w:rFonts w:ascii="Arial" w:hAnsi="Arial" w:cs="Arial"/>
                <w:sz w:val="18"/>
                <w:szCs w:val="18"/>
              </w:rPr>
              <w:t xml:space="preserve">  00</w:t>
            </w:r>
            <w:r w:rsidR="00C17560" w:rsidRPr="002E1E15">
              <w:rPr>
                <w:rFonts w:ascii="Arial" w:hAnsi="Arial" w:cs="Arial"/>
                <w:sz w:val="18"/>
                <w:szCs w:val="18"/>
              </w:rPr>
              <w:t>582336</w:t>
            </w:r>
            <w:proofErr w:type="gramEnd"/>
            <w:r w:rsidR="00C17560" w:rsidRPr="002E1E15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="00C17560" w:rsidRPr="002E1E15">
              <w:rPr>
                <w:rFonts w:ascii="Arial" w:hAnsi="Arial" w:cs="Arial"/>
                <w:sz w:val="18"/>
                <w:szCs w:val="18"/>
              </w:rPr>
              <w:t>Dič</w:t>
            </w:r>
            <w:proofErr w:type="spellEnd"/>
            <w:r w:rsidR="00C17560" w:rsidRPr="002E1E15">
              <w:rPr>
                <w:rFonts w:ascii="Arial" w:hAnsi="Arial" w:cs="Arial"/>
                <w:sz w:val="18"/>
                <w:szCs w:val="18"/>
              </w:rPr>
              <w:t xml:space="preserve"> :</w:t>
            </w:r>
            <w:r w:rsidR="00C17560" w:rsidRPr="002E1E15">
              <w:rPr>
                <w:rFonts w:ascii="Arial" w:hAnsi="Arial" w:cs="Arial"/>
                <w:sz w:val="18"/>
                <w:szCs w:val="18"/>
              </w:rPr>
              <w:tab/>
              <w:t>CZ00582336</w:t>
            </w:r>
          </w:p>
        </w:tc>
      </w:tr>
      <w:tr w:rsidR="00EA5BDB" w:rsidRPr="002E1E15" w14:paraId="522F26AE" w14:textId="77777777">
        <w:trPr>
          <w:trHeight w:val="232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4C9609C2" w14:textId="77777777" w:rsidR="00EA5BDB" w:rsidRPr="002E1E15" w:rsidRDefault="00C17560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zastoupená </w:t>
            </w: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A55D932" wp14:editId="4A7A4F9F">
                  <wp:extent cx="24384" cy="30489"/>
                  <wp:effectExtent l="0" t="0" r="0" b="0"/>
                  <wp:docPr id="1479" name="Picture 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14D555C" wp14:editId="1ED09905">
                  <wp:extent cx="24384" cy="30488"/>
                  <wp:effectExtent l="0" t="0" r="0" b="0"/>
                  <wp:docPr id="1480" name="Picture 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14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14:paraId="33014134" w14:textId="77777777" w:rsidR="00EA5BDB" w:rsidRPr="002E1E15" w:rsidRDefault="00C17560">
            <w:pPr>
              <w:spacing w:after="0" w:line="259" w:lineRule="auto"/>
              <w:ind w:left="1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Ing. Luboš Kubát, ředitel školy</w:t>
            </w:r>
          </w:p>
        </w:tc>
      </w:tr>
    </w:tbl>
    <w:p w14:paraId="75EBC34A" w14:textId="1D8E2327" w:rsidR="00EA5BDB" w:rsidRDefault="00C17560">
      <w:pPr>
        <w:spacing w:after="294"/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(dále jen </w:t>
      </w:r>
      <w:proofErr w:type="spellStart"/>
      <w:proofErr w:type="gramStart"/>
      <w:r w:rsidRPr="002E1E15">
        <w:rPr>
          <w:rFonts w:ascii="Arial" w:hAnsi="Arial" w:cs="Arial"/>
          <w:sz w:val="18"/>
          <w:szCs w:val="18"/>
          <w:vertAlign w:val="superscript"/>
        </w:rPr>
        <w:t>I</w:t>
      </w:r>
      <w:r w:rsidRPr="002E1E15">
        <w:rPr>
          <w:rFonts w:ascii="Arial" w:hAnsi="Arial" w:cs="Arial"/>
          <w:sz w:val="18"/>
          <w:szCs w:val="18"/>
        </w:rPr>
        <w:t>'kupující</w:t>
      </w:r>
      <w:r w:rsidRPr="002E1E15">
        <w:rPr>
          <w:rFonts w:ascii="Arial" w:hAnsi="Arial" w:cs="Arial"/>
          <w:sz w:val="18"/>
          <w:szCs w:val="18"/>
          <w:vertAlign w:val="superscript"/>
        </w:rPr>
        <w:t>ť</w:t>
      </w:r>
      <w:proofErr w:type="spellEnd"/>
      <w:r w:rsidRPr="002E1E1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E1E15">
        <w:rPr>
          <w:rFonts w:ascii="Arial" w:hAnsi="Arial" w:cs="Arial"/>
          <w:sz w:val="18"/>
          <w:szCs w:val="18"/>
        </w:rPr>
        <w:t>)</w:t>
      </w:r>
      <w:proofErr w:type="gramEnd"/>
    </w:p>
    <w:p w14:paraId="70AFE52A" w14:textId="1BDDEB03" w:rsidR="00EA5BDB" w:rsidRDefault="00217244" w:rsidP="00217244">
      <w:pPr>
        <w:spacing w:after="41"/>
        <w:ind w:left="0" w:right="1944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C17560" w:rsidRPr="002E1E15">
        <w:rPr>
          <w:rFonts w:ascii="Arial" w:hAnsi="Arial" w:cs="Arial"/>
          <w:sz w:val="18"/>
          <w:szCs w:val="18"/>
        </w:rPr>
        <w:t xml:space="preserve">uzavírají dle </w:t>
      </w:r>
      <w:proofErr w:type="spellStart"/>
      <w:r w:rsidR="00C17560" w:rsidRPr="002E1E15"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>. §</w:t>
      </w:r>
      <w:r w:rsidR="00C17560" w:rsidRPr="002E1E15">
        <w:rPr>
          <w:rFonts w:ascii="Arial" w:hAnsi="Arial" w:cs="Arial"/>
          <w:sz w:val="18"/>
          <w:szCs w:val="18"/>
        </w:rPr>
        <w:t xml:space="preserve"> 2079 a násl. občanského zákoníku tuto kupní</w:t>
      </w:r>
      <w:r>
        <w:rPr>
          <w:rFonts w:ascii="Arial" w:hAnsi="Arial" w:cs="Arial"/>
          <w:sz w:val="18"/>
          <w:szCs w:val="18"/>
        </w:rPr>
        <w:t xml:space="preserve"> s</w:t>
      </w:r>
      <w:r w:rsidR="00C17560" w:rsidRPr="002E1E15">
        <w:rPr>
          <w:rFonts w:ascii="Arial" w:hAnsi="Arial" w:cs="Arial"/>
          <w:sz w:val="18"/>
          <w:szCs w:val="18"/>
        </w:rPr>
        <w:t>mlouvu</w:t>
      </w:r>
      <w:r w:rsidR="00C17560" w:rsidRPr="002E1E15">
        <w:rPr>
          <w:rFonts w:ascii="Arial" w:hAnsi="Arial" w:cs="Arial"/>
          <w:sz w:val="18"/>
          <w:szCs w:val="18"/>
        </w:rPr>
        <w:t>:</w:t>
      </w:r>
    </w:p>
    <w:p w14:paraId="72FE72AB" w14:textId="77777777" w:rsidR="00217244" w:rsidRPr="002E1E15" w:rsidRDefault="00217244" w:rsidP="00217244">
      <w:pPr>
        <w:spacing w:after="41"/>
        <w:ind w:left="0" w:right="1944" w:firstLine="0"/>
        <w:rPr>
          <w:rFonts w:ascii="Arial" w:hAnsi="Arial" w:cs="Arial"/>
          <w:sz w:val="18"/>
          <w:szCs w:val="18"/>
        </w:rPr>
      </w:pPr>
    </w:p>
    <w:p w14:paraId="26F7830E" w14:textId="77777777" w:rsidR="00EA5BDB" w:rsidRPr="002E1E15" w:rsidRDefault="00C17560">
      <w:pPr>
        <w:spacing w:after="173"/>
        <w:ind w:left="2179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l. Předmět smlouvy</w:t>
      </w:r>
    </w:p>
    <w:p w14:paraId="006B813D" w14:textId="77777777" w:rsidR="00EA5BDB" w:rsidRPr="002E1E15" w:rsidRDefault="00C17560">
      <w:pPr>
        <w:spacing w:after="262" w:line="222" w:lineRule="auto"/>
        <w:ind w:left="-15" w:right="499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Předmětem prodeje je technologické výrobní zařízení pro výrobu briket, které zpracovává odpad z truhlářské výroby, s vlhkostí max. </w:t>
      </w:r>
      <w:proofErr w:type="gramStart"/>
      <w:r w:rsidRPr="002E1E15">
        <w:rPr>
          <w:rFonts w:ascii="Arial" w:hAnsi="Arial" w:cs="Arial"/>
          <w:sz w:val="18"/>
          <w:szCs w:val="18"/>
        </w:rPr>
        <w:t>12%</w:t>
      </w:r>
      <w:proofErr w:type="gramEnd"/>
      <w:r w:rsidRPr="002E1E15">
        <w:rPr>
          <w:rFonts w:ascii="Arial" w:hAnsi="Arial" w:cs="Arial"/>
          <w:sz w:val="18"/>
          <w:szCs w:val="18"/>
        </w:rPr>
        <w:t xml:space="preserve"> a velikostí do 10 mm v jednom směru bez příměsi dřevotřísky, sololitu a znečišťujících příměsí se sypkou hmotností minimálně 70 kg/m</w:t>
      </w:r>
      <w:r w:rsidRPr="002E1E15">
        <w:rPr>
          <w:rFonts w:ascii="Arial" w:hAnsi="Arial" w:cs="Arial"/>
          <w:sz w:val="18"/>
          <w:szCs w:val="18"/>
          <w:vertAlign w:val="superscript"/>
        </w:rPr>
        <w:t>3</w:t>
      </w:r>
      <w:r w:rsidRPr="002E1E1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05FF114" wp14:editId="4BB0479C">
            <wp:extent cx="15240" cy="18293"/>
            <wp:effectExtent l="0" t="0" r="0" b="0"/>
            <wp:docPr id="1531" name="Picture 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Picture 15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9A9C6" w14:textId="77777777" w:rsidR="00EA5BDB" w:rsidRDefault="00C17560">
      <w:pPr>
        <w:spacing w:after="36"/>
        <w:ind w:left="0" w:right="466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Kupující se zavazuje, že zpracovávaný odpad odpovídá testovanému referenčnímu vzorku, který byl zkušebně lisován nebo odpadu uvedenému </w:t>
      </w:r>
      <w:proofErr w:type="spellStart"/>
      <w:proofErr w:type="gramStart"/>
      <w:r w:rsidRPr="002E1E15">
        <w:rPr>
          <w:rFonts w:ascii="Arial" w:hAnsi="Arial" w:cs="Arial"/>
          <w:sz w:val="18"/>
          <w:szCs w:val="18"/>
        </w:rPr>
        <w:t>výše.Dále</w:t>
      </w:r>
      <w:proofErr w:type="spellEnd"/>
      <w:proofErr w:type="gramEnd"/>
      <w:r w:rsidRPr="002E1E15">
        <w:rPr>
          <w:rFonts w:ascii="Arial" w:hAnsi="Arial" w:cs="Arial"/>
          <w:sz w:val="18"/>
          <w:szCs w:val="18"/>
        </w:rPr>
        <w:t xml:space="preserve"> se zavazuje, že bude provozovat lis podle návodu na obsluhu, se kterým seznámí obsluhu zařízení. Jinak nebude poskytnuta záruka za funkčnost a výkon lisu.</w:t>
      </w:r>
    </w:p>
    <w:p w14:paraId="7FE005CE" w14:textId="77777777" w:rsidR="00217244" w:rsidRPr="002E1E15" w:rsidRDefault="00217244">
      <w:pPr>
        <w:spacing w:after="36"/>
        <w:ind w:left="0" w:right="466"/>
        <w:rPr>
          <w:rFonts w:ascii="Arial" w:hAnsi="Arial" w:cs="Arial"/>
          <w:sz w:val="18"/>
          <w:szCs w:val="18"/>
        </w:rPr>
      </w:pPr>
    </w:p>
    <w:tbl>
      <w:tblPr>
        <w:tblStyle w:val="TableGrid"/>
        <w:tblW w:w="4661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2487"/>
      </w:tblGrid>
      <w:tr w:rsidR="00EA5BDB" w:rsidRPr="002E1E15" w14:paraId="29947999" w14:textId="77777777">
        <w:trPr>
          <w:trHeight w:val="228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2002D5A4" w14:textId="77777777" w:rsidR="00EA5BDB" w:rsidRPr="002E1E15" w:rsidRDefault="00C17560">
            <w:pPr>
              <w:spacing w:after="0" w:line="259" w:lineRule="auto"/>
              <w:ind w:left="1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Předmět plnění </w:t>
            </w: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4B8001E" wp14:editId="61E94D92">
                  <wp:extent cx="18288" cy="24391"/>
                  <wp:effectExtent l="0" t="0" r="0" b="0"/>
                  <wp:docPr id="1482" name="Picture 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14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E51CF9A" wp14:editId="33962090">
                  <wp:extent cx="18288" cy="18294"/>
                  <wp:effectExtent l="0" t="0" r="0" b="0"/>
                  <wp:docPr id="1483" name="Picture 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7CAC92D" w14:textId="77777777" w:rsidR="00EA5BDB" w:rsidRPr="002E1E15" w:rsidRDefault="00C17560">
            <w:pPr>
              <w:spacing w:after="0" w:line="259" w:lineRule="auto"/>
              <w:ind w:left="10" w:right="0" w:firstLine="0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Briketovací lis </w:t>
            </w:r>
            <w:proofErr w:type="spellStart"/>
            <w:r w:rsidRPr="002E1E15">
              <w:rPr>
                <w:rFonts w:ascii="Arial" w:hAnsi="Arial" w:cs="Arial"/>
                <w:sz w:val="18"/>
                <w:szCs w:val="18"/>
              </w:rPr>
              <w:t>BrikStar</w:t>
            </w:r>
            <w:proofErr w:type="spellEnd"/>
            <w:r w:rsidRPr="002E1E15">
              <w:rPr>
                <w:rFonts w:ascii="Arial" w:hAnsi="Arial" w:cs="Arial"/>
                <w:sz w:val="18"/>
                <w:szCs w:val="18"/>
              </w:rPr>
              <w:t xml:space="preserve"> EK 20</w:t>
            </w:r>
          </w:p>
        </w:tc>
      </w:tr>
      <w:tr w:rsidR="00EA5BDB" w:rsidRPr="002E1E15" w14:paraId="70D8FD39" w14:textId="77777777">
        <w:trPr>
          <w:trHeight w:val="273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4009A98A" w14:textId="77777777" w:rsidR="00EA5BDB" w:rsidRPr="002E1E15" w:rsidRDefault="00C17560">
            <w:pPr>
              <w:spacing w:after="0" w:line="259" w:lineRule="auto"/>
              <w:ind w:left="1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rok </w:t>
            </w: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výroby :</w:t>
            </w:r>
            <w:proofErr w:type="gramEnd"/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4DB9ED7F" w14:textId="77777777" w:rsidR="00EA5BDB" w:rsidRPr="002E1E15" w:rsidRDefault="00C17560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EA5BDB" w:rsidRPr="002E1E15" w14:paraId="057CD892" w14:textId="77777777">
        <w:trPr>
          <w:trHeight w:val="228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4F77569D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výrobní číslo </w:t>
            </w: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16BF115" wp14:editId="450C7205">
                  <wp:extent cx="18288" cy="15245"/>
                  <wp:effectExtent l="0" t="0" r="0" b="0"/>
                  <wp:docPr id="1484" name="Picture 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14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97EF6EC" wp14:editId="66D36BB0">
                  <wp:extent cx="18288" cy="15245"/>
                  <wp:effectExtent l="0" t="0" r="0" b="0"/>
                  <wp:docPr id="1485" name="Picture 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04C9A912" w14:textId="77777777" w:rsidR="00EA5BDB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0431-020</w:t>
            </w:r>
          </w:p>
          <w:p w14:paraId="73BECBCE" w14:textId="77777777" w:rsidR="00217244" w:rsidRDefault="0021724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04295E2" w14:textId="77777777" w:rsidR="00217244" w:rsidRPr="002E1E15" w:rsidRDefault="0021724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8D07DF" w14:textId="77777777" w:rsidR="00EA5BDB" w:rsidRDefault="00C17560">
      <w:pPr>
        <w:ind w:left="0" w:right="658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Briketovací lis může pracovat při teplotách okolí nad +5 </w:t>
      </w:r>
      <w:proofErr w:type="gramStart"/>
      <w:r w:rsidRPr="002E1E15">
        <w:rPr>
          <w:rFonts w:ascii="Arial" w:hAnsi="Arial" w:cs="Arial"/>
          <w:sz w:val="18"/>
          <w:szCs w:val="18"/>
          <w:vertAlign w:val="superscript"/>
        </w:rPr>
        <w:t>0</w:t>
      </w:r>
      <w:r w:rsidRPr="002E1E15">
        <w:rPr>
          <w:rFonts w:ascii="Arial" w:hAnsi="Arial" w:cs="Arial"/>
          <w:sz w:val="18"/>
          <w:szCs w:val="18"/>
        </w:rPr>
        <w:t>C</w:t>
      </w:r>
      <w:proofErr w:type="gramEnd"/>
      <w:r w:rsidRPr="002E1E15">
        <w:rPr>
          <w:rFonts w:ascii="Arial" w:hAnsi="Arial" w:cs="Arial"/>
          <w:sz w:val="18"/>
          <w:szCs w:val="18"/>
        </w:rPr>
        <w:t>. V případě poklesu teplot pod tuto hodnotu musí odběratel zajistit zateplení lisu např. oddělením a umístěním nádrže do zateplených prostor nebo zakoupením speciálního hydraulického oleje do nižších teplot.</w:t>
      </w:r>
    </w:p>
    <w:p w14:paraId="2B3B400B" w14:textId="77777777" w:rsidR="00217244" w:rsidRDefault="00217244">
      <w:pPr>
        <w:ind w:left="0" w:right="658"/>
        <w:rPr>
          <w:rFonts w:ascii="Arial" w:hAnsi="Arial" w:cs="Arial"/>
          <w:sz w:val="18"/>
          <w:szCs w:val="18"/>
        </w:rPr>
      </w:pPr>
    </w:p>
    <w:p w14:paraId="051351CC" w14:textId="77777777" w:rsidR="00217244" w:rsidRPr="002E1E15" w:rsidRDefault="00217244">
      <w:pPr>
        <w:ind w:left="0" w:right="658"/>
        <w:rPr>
          <w:rFonts w:ascii="Arial" w:hAnsi="Arial" w:cs="Arial"/>
          <w:sz w:val="18"/>
          <w:szCs w:val="18"/>
        </w:rPr>
      </w:pPr>
    </w:p>
    <w:p w14:paraId="3A73BDA5" w14:textId="77777777" w:rsidR="00EA5BDB" w:rsidRPr="002E1E15" w:rsidRDefault="00C17560">
      <w:pPr>
        <w:spacing w:after="255" w:line="258" w:lineRule="auto"/>
        <w:ind w:left="62" w:right="456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lastRenderedPageBreak/>
        <w:t xml:space="preserve">Odběratel zajistí umístění stroje dle ČSN 73 5105 (800 mm široký volný prostor v okolí </w:t>
      </w:r>
      <w:proofErr w:type="gramStart"/>
      <w:r w:rsidRPr="002E1E15">
        <w:rPr>
          <w:rFonts w:ascii="Arial" w:hAnsi="Arial" w:cs="Arial"/>
          <w:sz w:val="18"/>
          <w:szCs w:val="18"/>
        </w:rPr>
        <w:t>stroje )</w:t>
      </w:r>
      <w:proofErr w:type="gramEnd"/>
      <w:r w:rsidRPr="002E1E15">
        <w:rPr>
          <w:rFonts w:ascii="Arial" w:hAnsi="Arial" w:cs="Arial"/>
          <w:sz w:val="18"/>
          <w:szCs w:val="18"/>
        </w:rPr>
        <w:t xml:space="preserve"> a povede záznam o provozu lisu. Dále </w:t>
      </w:r>
      <w:proofErr w:type="spellStart"/>
      <w:r w:rsidRPr="002E1E15">
        <w:rPr>
          <w:rFonts w:ascii="Arial" w:hAnsi="Arial" w:cs="Arial"/>
          <w:sz w:val="18"/>
          <w:szCs w:val="18"/>
        </w:rPr>
        <w:t>ociběratel</w:t>
      </w:r>
      <w:proofErr w:type="spellEnd"/>
      <w:r w:rsidRPr="002E1E15">
        <w:rPr>
          <w:rFonts w:ascii="Arial" w:hAnsi="Arial" w:cs="Arial"/>
          <w:sz w:val="18"/>
          <w:szCs w:val="18"/>
        </w:rPr>
        <w:t xml:space="preserve"> zajistí připojení k elektrické soustavě o napětí minimálně 230/400 V, jinak nebude poskytnuta záruka. Přívodní kabel není součástí dodávky.</w:t>
      </w:r>
    </w:p>
    <w:p w14:paraId="053F2F4C" w14:textId="77777777" w:rsidR="00EA5BDB" w:rsidRPr="002E1E15" w:rsidRDefault="00C17560">
      <w:pPr>
        <w:spacing w:after="532"/>
        <w:ind w:left="71" w:right="696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Prodávající prohlašuje, že technologické výrobní zařízení výše popsané nemá vady omezující kupujícího v jeho provozování a kupující prohlašuje, že se řádně seznámí s jeho stavem a </w:t>
      </w:r>
      <w:proofErr w:type="gramStart"/>
      <w:r w:rsidRPr="002E1E15">
        <w:rPr>
          <w:rFonts w:ascii="Arial" w:hAnsi="Arial" w:cs="Arial"/>
          <w:sz w:val="18"/>
          <w:szCs w:val="18"/>
        </w:rPr>
        <w:t>ovládáním ,</w:t>
      </w:r>
      <w:proofErr w:type="gramEnd"/>
      <w:r w:rsidRPr="002E1E15">
        <w:rPr>
          <w:rFonts w:ascii="Arial" w:hAnsi="Arial" w:cs="Arial"/>
          <w:sz w:val="18"/>
          <w:szCs w:val="18"/>
        </w:rPr>
        <w:t xml:space="preserve"> které bude dodržovat, Kupující se zavazuje dodané zboží, odpovídající popisu předmětu smlouvy převzít a zaplatit kupní cenu.</w:t>
      </w:r>
    </w:p>
    <w:p w14:paraId="64062D9B" w14:textId="77777777" w:rsidR="00EA5BDB" w:rsidRDefault="00C17560">
      <w:pPr>
        <w:spacing w:after="0" w:line="259" w:lineRule="auto"/>
        <w:ind w:left="2232" w:right="0" w:firstLine="0"/>
        <w:jc w:val="left"/>
        <w:rPr>
          <w:rFonts w:ascii="Arial" w:hAnsi="Arial" w:cs="Arial"/>
          <w:sz w:val="18"/>
          <w:szCs w:val="18"/>
        </w:rPr>
      </w:pPr>
      <w:proofErr w:type="spellStart"/>
      <w:r w:rsidRPr="002E1E15">
        <w:rPr>
          <w:rFonts w:ascii="Arial" w:hAnsi="Arial" w:cs="Arial"/>
          <w:sz w:val="18"/>
          <w:szCs w:val="18"/>
        </w:rPr>
        <w:t>Il</w:t>
      </w:r>
      <w:proofErr w:type="spellEnd"/>
      <w:r w:rsidRPr="002E1E15">
        <w:rPr>
          <w:rFonts w:ascii="Arial" w:hAnsi="Arial" w:cs="Arial"/>
          <w:sz w:val="18"/>
          <w:szCs w:val="18"/>
        </w:rPr>
        <w:t>. Kupní cena</w:t>
      </w:r>
    </w:p>
    <w:p w14:paraId="60EBF984" w14:textId="77777777" w:rsidR="00217244" w:rsidRPr="002E1E15" w:rsidRDefault="00217244">
      <w:pPr>
        <w:spacing w:after="0" w:line="259" w:lineRule="auto"/>
        <w:ind w:left="2232" w:righ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8376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2309"/>
        <w:gridCol w:w="1848"/>
        <w:gridCol w:w="1176"/>
      </w:tblGrid>
      <w:tr w:rsidR="00EA5BDB" w:rsidRPr="002E1E15" w14:paraId="5F25956A" w14:textId="77777777">
        <w:trPr>
          <w:trHeight w:val="761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C107996" w14:textId="77777777" w:rsidR="00EA5BDB" w:rsidRPr="002E1E15" w:rsidRDefault="00C17560">
            <w:pPr>
              <w:spacing w:after="28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Podle obchodní nabídky č. </w:t>
            </w: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7D7225E" wp14:editId="734E4B69">
                  <wp:extent cx="24384" cy="18293"/>
                  <wp:effectExtent l="0" t="0" r="0" b="0"/>
                  <wp:docPr id="3521" name="Picture 3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" name="Picture 35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DAFDE21" wp14:editId="7EE94983">
                  <wp:extent cx="24384" cy="18293"/>
                  <wp:effectExtent l="0" t="0" r="0" b="0"/>
                  <wp:docPr id="3522" name="Picture 3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2" name="Picture 35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54701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Briketovací lis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6E51F78F" w14:textId="77777777" w:rsidR="00EA5BDB" w:rsidRPr="002E1E15" w:rsidRDefault="00C17560">
            <w:pPr>
              <w:spacing w:after="0" w:line="259" w:lineRule="auto"/>
              <w:ind w:left="48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ON26C0169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59930F13" w14:textId="77777777" w:rsidR="00EA5BDB" w:rsidRPr="002E1E15" w:rsidRDefault="00EA5B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9B63BEB" w14:textId="77777777" w:rsidR="00EA5BDB" w:rsidRPr="002E1E15" w:rsidRDefault="00EA5B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BDB" w:rsidRPr="002E1E15" w14:paraId="6E3CF441" w14:textId="77777777">
        <w:trPr>
          <w:trHeight w:val="243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FE1E4D7" w14:textId="77777777" w:rsidR="00EA5BDB" w:rsidRPr="002E1E15" w:rsidRDefault="00C17560">
            <w:pPr>
              <w:spacing w:after="0" w:line="259" w:lineRule="auto"/>
              <w:ind w:left="0" w:right="72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6B62944" wp14:editId="2559E727">
                  <wp:extent cx="24384" cy="24391"/>
                  <wp:effectExtent l="0" t="0" r="0" b="0"/>
                  <wp:docPr id="3523" name="Picture 3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" name="Picture 35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E1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1E15">
              <w:rPr>
                <w:rFonts w:ascii="Arial" w:hAnsi="Arial" w:cs="Arial"/>
                <w:sz w:val="18"/>
                <w:szCs w:val="18"/>
              </w:rPr>
              <w:t>BrikStar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5814E412" w14:textId="77777777" w:rsidR="00EA5BDB" w:rsidRPr="002E1E15" w:rsidRDefault="00EA5BD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347E69D2" w14:textId="77777777" w:rsidR="00EA5BDB" w:rsidRPr="002E1E15" w:rsidRDefault="00C17560">
            <w:pPr>
              <w:spacing w:after="0" w:line="259" w:lineRule="auto"/>
              <w:ind w:left="36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0AE6A9D" w14:textId="0D592707" w:rsidR="00EA5BDB" w:rsidRPr="002E1E15" w:rsidRDefault="00217244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188000,00 Kč</w:t>
            </w:r>
          </w:p>
        </w:tc>
      </w:tr>
    </w:tbl>
    <w:p w14:paraId="33735F1F" w14:textId="77777777" w:rsidR="00EA5BDB" w:rsidRPr="002E1E15" w:rsidRDefault="00C17560">
      <w:pPr>
        <w:spacing w:after="299" w:line="259" w:lineRule="auto"/>
        <w:ind w:left="1296" w:right="0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EK 20</w:t>
      </w:r>
    </w:p>
    <w:p w14:paraId="6C14E553" w14:textId="77777777" w:rsidR="00EA5BDB" w:rsidRPr="002E1E15" w:rsidRDefault="00C17560">
      <w:pPr>
        <w:spacing w:after="139"/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Standa </w:t>
      </w:r>
      <w:proofErr w:type="spellStart"/>
      <w:r w:rsidRPr="002E1E15">
        <w:rPr>
          <w:rFonts w:ascii="Arial" w:hAnsi="Arial" w:cs="Arial"/>
          <w:sz w:val="18"/>
          <w:szCs w:val="18"/>
        </w:rPr>
        <w:t>rdní</w:t>
      </w:r>
      <w:proofErr w:type="spellEnd"/>
      <w:r w:rsidRPr="002E1E15">
        <w:rPr>
          <w:rFonts w:ascii="Arial" w:hAnsi="Arial" w:cs="Arial"/>
          <w:sz w:val="18"/>
          <w:szCs w:val="18"/>
        </w:rPr>
        <w:t xml:space="preserve"> vybavení</w:t>
      </w:r>
    </w:p>
    <w:p w14:paraId="78AEA2C6" w14:textId="77777777" w:rsidR="00EA5BDB" w:rsidRPr="002E1E15" w:rsidRDefault="00C17560">
      <w:pPr>
        <w:tabs>
          <w:tab w:val="center" w:pos="2568"/>
          <w:tab w:val="center" w:pos="5832"/>
          <w:tab w:val="right" w:pos="8530"/>
        </w:tabs>
        <w:spacing w:after="172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ab/>
        <w:t>Násypka lisu o objemu 0,6 m3</w:t>
      </w:r>
      <w:r w:rsidRPr="002E1E15">
        <w:rPr>
          <w:rFonts w:ascii="Arial" w:hAnsi="Arial" w:cs="Arial"/>
          <w:sz w:val="18"/>
          <w:szCs w:val="18"/>
        </w:rPr>
        <w:tab/>
      </w:r>
      <w:r w:rsidRPr="002E1E15">
        <w:rPr>
          <w:rFonts w:ascii="Arial" w:hAnsi="Arial" w:cs="Arial"/>
          <w:sz w:val="18"/>
          <w:szCs w:val="18"/>
        </w:rPr>
        <w:t>1</w:t>
      </w:r>
      <w:r w:rsidRPr="002E1E15">
        <w:rPr>
          <w:rFonts w:ascii="Arial" w:hAnsi="Arial" w:cs="Arial"/>
          <w:sz w:val="18"/>
          <w:szCs w:val="18"/>
        </w:rPr>
        <w:tab/>
      </w:r>
      <w:r w:rsidRPr="002E1E15">
        <w:rPr>
          <w:rFonts w:ascii="Arial" w:hAnsi="Arial" w:cs="Arial"/>
          <w:sz w:val="18"/>
          <w:szCs w:val="18"/>
        </w:rPr>
        <w:t>0,00 Kč</w:t>
      </w:r>
    </w:p>
    <w:p w14:paraId="5EA78F6C" w14:textId="77777777" w:rsidR="00EA5BDB" w:rsidRPr="002E1E15" w:rsidRDefault="00C17560">
      <w:pPr>
        <w:spacing w:after="112"/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Ostatní specifikace stroje</w:t>
      </w:r>
    </w:p>
    <w:p w14:paraId="5D36080F" w14:textId="77777777" w:rsidR="00EA5BDB" w:rsidRPr="002E1E15" w:rsidRDefault="00C17560">
      <w:pPr>
        <w:tabs>
          <w:tab w:val="center" w:pos="1793"/>
          <w:tab w:val="center" w:pos="5834"/>
          <w:tab w:val="right" w:pos="8530"/>
        </w:tabs>
        <w:spacing w:after="229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050587A8" wp14:editId="4031EC42">
            <wp:simplePos x="0" y="0"/>
            <wp:positionH relativeFrom="page">
              <wp:posOffset>1987296</wp:posOffset>
            </wp:positionH>
            <wp:positionV relativeFrom="page">
              <wp:posOffset>9692356</wp:posOffset>
            </wp:positionV>
            <wp:extent cx="6096" cy="3049"/>
            <wp:effectExtent l="0" t="0" r="0" b="0"/>
            <wp:wrapTopAndBottom/>
            <wp:docPr id="3525" name="Picture 3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" name="Picture 35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1E15">
        <w:rPr>
          <w:rFonts w:ascii="Arial" w:hAnsi="Arial" w:cs="Arial"/>
          <w:sz w:val="18"/>
          <w:szCs w:val="18"/>
        </w:rPr>
        <w:tab/>
        <w:t>Doprava CZ</w:t>
      </w:r>
      <w:r w:rsidRPr="002E1E15">
        <w:rPr>
          <w:rFonts w:ascii="Arial" w:hAnsi="Arial" w:cs="Arial"/>
          <w:sz w:val="18"/>
          <w:szCs w:val="18"/>
        </w:rPr>
        <w:tab/>
      </w:r>
      <w:r w:rsidRPr="002E1E15">
        <w:rPr>
          <w:rFonts w:ascii="Arial" w:hAnsi="Arial" w:cs="Arial"/>
          <w:sz w:val="18"/>
          <w:szCs w:val="18"/>
        </w:rPr>
        <w:t>1</w:t>
      </w:r>
      <w:r w:rsidRPr="002E1E15">
        <w:rPr>
          <w:rFonts w:ascii="Arial" w:hAnsi="Arial" w:cs="Arial"/>
          <w:sz w:val="18"/>
          <w:szCs w:val="18"/>
        </w:rPr>
        <w:tab/>
      </w:r>
      <w:r w:rsidRPr="002E1E15">
        <w:rPr>
          <w:rFonts w:ascii="Arial" w:hAnsi="Arial" w:cs="Arial"/>
          <w:sz w:val="18"/>
          <w:szCs w:val="18"/>
        </w:rPr>
        <w:t>0,00 Kč</w:t>
      </w:r>
    </w:p>
    <w:p w14:paraId="7CE021E1" w14:textId="033193CC" w:rsidR="00EA5BDB" w:rsidRPr="002E1E15" w:rsidRDefault="00C17560">
      <w:pPr>
        <w:tabs>
          <w:tab w:val="right" w:pos="8530"/>
        </w:tabs>
        <w:spacing w:after="36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Cena celkem bez DPH</w:t>
      </w:r>
      <w:r w:rsidRPr="002E1E15">
        <w:rPr>
          <w:rFonts w:ascii="Arial" w:hAnsi="Arial" w:cs="Arial"/>
          <w:sz w:val="18"/>
          <w:szCs w:val="18"/>
        </w:rPr>
        <w:tab/>
        <w:t>188</w:t>
      </w:r>
      <w:r w:rsidR="00217244">
        <w:rPr>
          <w:rFonts w:ascii="Arial" w:hAnsi="Arial" w:cs="Arial"/>
          <w:sz w:val="18"/>
          <w:szCs w:val="18"/>
        </w:rPr>
        <w:t>000,00</w:t>
      </w:r>
      <w:r w:rsidRPr="002E1E15">
        <w:rPr>
          <w:rFonts w:ascii="Arial" w:hAnsi="Arial" w:cs="Arial"/>
          <w:sz w:val="18"/>
          <w:szCs w:val="18"/>
        </w:rPr>
        <w:t xml:space="preserve"> Kč</w:t>
      </w:r>
    </w:p>
    <w:p w14:paraId="3D80AD4C" w14:textId="77777777" w:rsidR="00EA5BDB" w:rsidRPr="002E1E15" w:rsidRDefault="00C17560">
      <w:pPr>
        <w:tabs>
          <w:tab w:val="right" w:pos="8530"/>
        </w:tabs>
        <w:spacing w:after="61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DPH </w:t>
      </w:r>
      <w:proofErr w:type="gramStart"/>
      <w:r w:rsidRPr="002E1E15">
        <w:rPr>
          <w:rFonts w:ascii="Arial" w:hAnsi="Arial" w:cs="Arial"/>
          <w:sz w:val="18"/>
          <w:szCs w:val="18"/>
        </w:rPr>
        <w:t>21%</w:t>
      </w:r>
      <w:proofErr w:type="gramEnd"/>
      <w:r w:rsidRPr="002E1E15">
        <w:rPr>
          <w:rFonts w:ascii="Arial" w:hAnsi="Arial" w:cs="Arial"/>
          <w:sz w:val="18"/>
          <w:szCs w:val="18"/>
        </w:rPr>
        <w:tab/>
        <w:t>39 480,00 Kč</w:t>
      </w:r>
    </w:p>
    <w:p w14:paraId="0C85207E" w14:textId="77777777" w:rsidR="00EA5BDB" w:rsidRPr="002E1E15" w:rsidRDefault="00C17560">
      <w:pPr>
        <w:tabs>
          <w:tab w:val="right" w:pos="8530"/>
        </w:tabs>
        <w:spacing w:after="273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CELKEM včetně DPH</w:t>
      </w:r>
      <w:r w:rsidRPr="002E1E15">
        <w:rPr>
          <w:rFonts w:ascii="Arial" w:hAnsi="Arial" w:cs="Arial"/>
          <w:sz w:val="18"/>
          <w:szCs w:val="18"/>
        </w:rPr>
        <w:tab/>
        <w:t>227 480,00 Kč</w:t>
      </w:r>
    </w:p>
    <w:p w14:paraId="6A3C3A1E" w14:textId="77777777" w:rsidR="00EA5BDB" w:rsidRPr="002E1E15" w:rsidRDefault="00C17560">
      <w:pPr>
        <w:spacing w:after="325"/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Smluvní strany se dohodly na této kupní </w:t>
      </w:r>
      <w:proofErr w:type="gramStart"/>
      <w:r w:rsidRPr="002E1E15">
        <w:rPr>
          <w:rFonts w:ascii="Arial" w:hAnsi="Arial" w:cs="Arial"/>
          <w:sz w:val="18"/>
          <w:szCs w:val="18"/>
        </w:rPr>
        <w:t>ceně :</w:t>
      </w:r>
      <w:proofErr w:type="gramEnd"/>
      <w:r w:rsidRPr="002E1E15">
        <w:rPr>
          <w:rFonts w:ascii="Arial" w:hAnsi="Arial" w:cs="Arial"/>
          <w:sz w:val="18"/>
          <w:szCs w:val="18"/>
        </w:rPr>
        <w:t xml:space="preserve"> 227 480,00 Kč</w:t>
      </w:r>
    </w:p>
    <w:p w14:paraId="238E8185" w14:textId="77777777" w:rsidR="00EA5BDB" w:rsidRPr="002E1E15" w:rsidRDefault="00C17560">
      <w:pPr>
        <w:spacing w:after="244"/>
        <w:ind w:left="2246" w:right="0"/>
        <w:rPr>
          <w:rFonts w:ascii="Arial" w:hAnsi="Arial" w:cs="Arial"/>
          <w:sz w:val="18"/>
          <w:szCs w:val="18"/>
        </w:rPr>
      </w:pPr>
      <w:proofErr w:type="spellStart"/>
      <w:r w:rsidRPr="002E1E15">
        <w:rPr>
          <w:rFonts w:ascii="Arial" w:hAnsi="Arial" w:cs="Arial"/>
          <w:sz w:val="18"/>
          <w:szCs w:val="18"/>
        </w:rPr>
        <w:t>Ill</w:t>
      </w:r>
      <w:proofErr w:type="spellEnd"/>
      <w:r w:rsidRPr="002E1E15">
        <w:rPr>
          <w:rFonts w:ascii="Arial" w:hAnsi="Arial" w:cs="Arial"/>
          <w:sz w:val="18"/>
          <w:szCs w:val="18"/>
        </w:rPr>
        <w:t>. Fakturace</w:t>
      </w:r>
    </w:p>
    <w:p w14:paraId="2D0B7F05" w14:textId="77777777" w:rsidR="00EA5BDB" w:rsidRPr="002E1E15" w:rsidRDefault="00C17560">
      <w:pPr>
        <w:ind w:left="71" w:right="0"/>
        <w:rPr>
          <w:rFonts w:ascii="Arial" w:hAnsi="Arial" w:cs="Arial"/>
          <w:sz w:val="18"/>
          <w:szCs w:val="18"/>
        </w:rPr>
      </w:pPr>
      <w:proofErr w:type="gramStart"/>
      <w:r w:rsidRPr="002E1E15">
        <w:rPr>
          <w:rFonts w:ascii="Arial" w:hAnsi="Arial" w:cs="Arial"/>
          <w:sz w:val="18"/>
          <w:szCs w:val="18"/>
        </w:rPr>
        <w:t>l(</w:t>
      </w:r>
      <w:proofErr w:type="spellStart"/>
      <w:proofErr w:type="gramEnd"/>
      <w:r w:rsidRPr="002E1E15">
        <w:rPr>
          <w:rFonts w:ascii="Arial" w:hAnsi="Arial" w:cs="Arial"/>
          <w:sz w:val="18"/>
          <w:szCs w:val="18"/>
        </w:rPr>
        <w:t>upující</w:t>
      </w:r>
      <w:proofErr w:type="spellEnd"/>
      <w:r w:rsidRPr="002E1E15">
        <w:rPr>
          <w:rFonts w:ascii="Arial" w:hAnsi="Arial" w:cs="Arial"/>
          <w:sz w:val="18"/>
          <w:szCs w:val="18"/>
        </w:rPr>
        <w:t xml:space="preserve"> uhradí prodávajícímu převodním příkazem nebo v hotovosti kupní cenu takto :</w:t>
      </w:r>
    </w:p>
    <w:p w14:paraId="2D14A308" w14:textId="77777777" w:rsidR="00EA5BDB" w:rsidRPr="002E1E15" w:rsidRDefault="00C17560">
      <w:pPr>
        <w:ind w:left="1133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0 % celkové kupní ceny při podpisu této smlouvy</w:t>
      </w:r>
    </w:p>
    <w:p w14:paraId="0BBF36F0" w14:textId="77777777" w:rsidR="00EA5BDB" w:rsidRPr="002E1E15" w:rsidRDefault="00C17560">
      <w:pPr>
        <w:ind w:left="926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100 % celkové kupní ceny před dodáním zařízení</w:t>
      </w:r>
    </w:p>
    <w:p w14:paraId="41AB3E2C" w14:textId="77777777" w:rsidR="00EA5BDB" w:rsidRPr="002E1E15" w:rsidRDefault="00C17560">
      <w:pPr>
        <w:spacing w:after="284"/>
        <w:ind w:left="1310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Zálohová faktura se splatností před expedicí</w:t>
      </w:r>
    </w:p>
    <w:p w14:paraId="617D0589" w14:textId="77777777" w:rsidR="00EA5BDB" w:rsidRPr="002E1E15" w:rsidRDefault="00C17560">
      <w:pPr>
        <w:spacing w:after="470"/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Kupující obdrží od prodávajícího daňový doklad po zaplacení každé faktury. Daňový doklad musí mít všechny náležitosti. DPH bude vyznačeno zvláštní částkou. Závazek kupujícího zaplatit kupní cenu (zálohou) je splněn zaplacením v hotovosti nebo připsáním fakturované částky ve lhůtě splatnosti na účet prodávajícího. V případě prodlení kupujícího se zaplacením celkové kupní ceny je kupující povinen zaplatit smluvní úrok z prodlení ve výši 10 % </w:t>
      </w:r>
      <w:proofErr w:type="spellStart"/>
      <w:r w:rsidRPr="002E1E15">
        <w:rPr>
          <w:rFonts w:ascii="Arial" w:hAnsi="Arial" w:cs="Arial"/>
          <w:sz w:val="18"/>
          <w:szCs w:val="18"/>
        </w:rPr>
        <w:t>p.a</w:t>
      </w:r>
      <w:proofErr w:type="spellEnd"/>
      <w:r w:rsidRPr="002E1E15">
        <w:rPr>
          <w:rFonts w:ascii="Arial" w:hAnsi="Arial" w:cs="Arial"/>
          <w:sz w:val="18"/>
          <w:szCs w:val="18"/>
        </w:rPr>
        <w:t>. z dlužné částky.</w:t>
      </w:r>
    </w:p>
    <w:p w14:paraId="144A33A9" w14:textId="77777777" w:rsidR="00EA5BDB" w:rsidRDefault="00C17560">
      <w:pPr>
        <w:pStyle w:val="Nadpis1"/>
        <w:ind w:left="2246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IV. Dodací podmínky</w:t>
      </w:r>
    </w:p>
    <w:p w14:paraId="2FAC3B3C" w14:textId="77777777" w:rsidR="00217244" w:rsidRPr="00217244" w:rsidRDefault="00217244" w:rsidP="00217244"/>
    <w:tbl>
      <w:tblPr>
        <w:tblStyle w:val="TableGrid"/>
        <w:tblW w:w="4829" w:type="dxa"/>
        <w:tblInd w:w="62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2645"/>
      </w:tblGrid>
      <w:tr w:rsidR="00EA5BDB" w:rsidRPr="002E1E15" w14:paraId="67EA7B8F" w14:textId="77777777">
        <w:trPr>
          <w:trHeight w:val="223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7DAC9A88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Termín </w:t>
            </w: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dodání :</w:t>
            </w:r>
            <w:proofErr w:type="gramEnd"/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14:paraId="61B13FD3" w14:textId="77777777" w:rsidR="00EA5BDB" w:rsidRPr="002E1E15" w:rsidRDefault="00C1756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1 - 2</w:t>
            </w:r>
            <w:proofErr w:type="gramEnd"/>
            <w:r w:rsidRPr="002E1E15">
              <w:rPr>
                <w:rFonts w:ascii="Arial" w:hAnsi="Arial" w:cs="Arial"/>
                <w:sz w:val="18"/>
                <w:szCs w:val="18"/>
              </w:rPr>
              <w:t xml:space="preserve"> týdny od podpisu smlouvy</w:t>
            </w:r>
          </w:p>
        </w:tc>
      </w:tr>
      <w:tr w:rsidR="00EA5BDB" w:rsidRPr="002E1E15" w14:paraId="49AB8BD8" w14:textId="77777777">
        <w:trPr>
          <w:trHeight w:val="283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29930B18" w14:textId="77777777" w:rsidR="00EA5BDB" w:rsidRPr="002E1E15" w:rsidRDefault="00C17560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Způsob </w:t>
            </w: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dopravy :</w:t>
            </w:r>
            <w:proofErr w:type="gramEnd"/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14:paraId="091D7203" w14:textId="77777777" w:rsidR="00EA5BDB" w:rsidRPr="002E1E15" w:rsidRDefault="00C17560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DAP České Budějovice</w:t>
            </w:r>
          </w:p>
        </w:tc>
      </w:tr>
      <w:tr w:rsidR="00EA5BDB" w:rsidRPr="002E1E15" w14:paraId="733399A8" w14:textId="77777777">
        <w:trPr>
          <w:trHeight w:val="228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5520C47F" w14:textId="77777777" w:rsidR="00EA5BDB" w:rsidRPr="002E1E15" w:rsidRDefault="00C17560">
            <w:pPr>
              <w:spacing w:after="0" w:line="259" w:lineRule="auto"/>
              <w:ind w:left="1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 xml:space="preserve">Adresa místa </w:t>
            </w: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dodání :</w:t>
            </w:r>
            <w:proofErr w:type="gramEnd"/>
            <w:r w:rsidRPr="002E1E1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6416A9B" wp14:editId="26A392DA">
                  <wp:extent cx="6096" cy="3048"/>
                  <wp:effectExtent l="0" t="0" r="0" b="0"/>
                  <wp:docPr id="3524" name="Picture 3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" name="Picture 35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14:paraId="49E4971A" w14:textId="77777777" w:rsidR="00EA5BDB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E1E15">
              <w:rPr>
                <w:rFonts w:ascii="Arial" w:hAnsi="Arial" w:cs="Arial"/>
                <w:sz w:val="18"/>
                <w:szCs w:val="18"/>
              </w:rPr>
              <w:t>viz kupující</w:t>
            </w:r>
          </w:p>
          <w:p w14:paraId="603A14A2" w14:textId="77777777" w:rsidR="00217244" w:rsidRDefault="0021724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51F0C9C" w14:textId="77777777" w:rsidR="00217244" w:rsidRPr="002E1E15" w:rsidRDefault="0021724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9AABD5" w14:textId="77777777" w:rsidR="00EA5BDB" w:rsidRPr="002E1E15" w:rsidRDefault="00C17560">
      <w:pPr>
        <w:spacing w:after="255" w:line="258" w:lineRule="auto"/>
        <w:ind w:left="62" w:right="230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Odsouhlasený termín dodání se posouvá, pokud zákazník nezaplatí zálohu v domluvené době splatnosti. Termín dodání se počítá ode dne, kdy se odsouhlasí technické provedení nebo výkresová dokumentace. Pokud v době realizace zakázky odběratel požaduje úpravy nezahrnuté v nabídce, termín dodání se posouvá o potřebný čas k provedení požadovaných úprav.</w:t>
      </w:r>
    </w:p>
    <w:p w14:paraId="51BED023" w14:textId="77777777" w:rsidR="00EA5BDB" w:rsidRPr="002E1E15" w:rsidRDefault="00C17560">
      <w:pPr>
        <w:spacing w:after="284"/>
        <w:ind w:left="71" w:right="47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lastRenderedPageBreak/>
        <w:t>Společně s dodáním zboží se prodávající zavazuje předat kupujícímu veškeré doklady potřebné k převzetí a k užívání zboží. Nebezpečí škody způsobené na zboží (tj. ztráty, poškození, zničení či znehodnocení zboží) přechází na kupujícího splněním dodávky zboží.</w:t>
      </w:r>
    </w:p>
    <w:p w14:paraId="2043ACAD" w14:textId="77777777" w:rsidR="00EA5BDB" w:rsidRPr="002E1E15" w:rsidRDefault="00C17560">
      <w:pPr>
        <w:spacing w:after="563"/>
        <w:ind w:left="71" w:right="73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Do úplného zaplacení kupní ceny zůstává zařízení v majetku prodávajícího. Vlastnické právo ke zboží přechází na kupujícího úplným zaplacením kupní ceny na účet prodávajícího dle ustanovení S 2132 občanského zákoníku.</w:t>
      </w:r>
    </w:p>
    <w:p w14:paraId="5F443A25" w14:textId="77777777" w:rsidR="00EA5BDB" w:rsidRDefault="00C17560">
      <w:pPr>
        <w:ind w:left="2237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V. Předání zařízení do </w:t>
      </w:r>
      <w:proofErr w:type="gramStart"/>
      <w:r w:rsidRPr="002E1E15">
        <w:rPr>
          <w:rFonts w:ascii="Arial" w:hAnsi="Arial" w:cs="Arial"/>
          <w:sz w:val="18"/>
          <w:szCs w:val="18"/>
        </w:rPr>
        <w:t>užívání :</w:t>
      </w:r>
      <w:proofErr w:type="gramEnd"/>
    </w:p>
    <w:p w14:paraId="5939B880" w14:textId="77777777" w:rsidR="00217244" w:rsidRPr="002E1E15" w:rsidRDefault="00217244">
      <w:pPr>
        <w:ind w:left="2237" w:right="0"/>
        <w:rPr>
          <w:rFonts w:ascii="Arial" w:hAnsi="Arial" w:cs="Arial"/>
          <w:sz w:val="18"/>
          <w:szCs w:val="18"/>
        </w:rPr>
      </w:pPr>
    </w:p>
    <w:p w14:paraId="57777A5A" w14:textId="77777777" w:rsidR="00EA5BDB" w:rsidRPr="002E1E15" w:rsidRDefault="00C17560">
      <w:pPr>
        <w:spacing w:after="265"/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Pro manipulaci při skládání je potřebný vysokozdvižný vozík s dva metry dlouhými </w:t>
      </w:r>
      <w:proofErr w:type="spellStart"/>
      <w:r w:rsidRPr="002E1E15">
        <w:rPr>
          <w:rFonts w:ascii="Arial" w:hAnsi="Arial" w:cs="Arial"/>
          <w:sz w:val="18"/>
          <w:szCs w:val="18"/>
        </w:rPr>
        <w:t>lyžinami</w:t>
      </w:r>
      <w:proofErr w:type="spellEnd"/>
      <w:r w:rsidRPr="002E1E15">
        <w:rPr>
          <w:rFonts w:ascii="Arial" w:hAnsi="Arial" w:cs="Arial"/>
          <w:sz w:val="18"/>
          <w:szCs w:val="18"/>
        </w:rPr>
        <w:t>.</w:t>
      </w:r>
    </w:p>
    <w:p w14:paraId="1D9DB187" w14:textId="77777777" w:rsidR="00EA5BDB" w:rsidRPr="002E1E15" w:rsidRDefault="00C17560">
      <w:pPr>
        <w:spacing w:after="278"/>
        <w:ind w:left="71" w:right="187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Dodavatel zařízení provede zaškolení pracovníků údržby zařízení při jeho předání. Odběratel zajistí pro tento účel zodpovědné pracovníky oboru strojní zámečník a </w:t>
      </w:r>
      <w:proofErr w:type="spellStart"/>
      <w:r w:rsidRPr="002E1E15">
        <w:rPr>
          <w:rFonts w:ascii="Arial" w:hAnsi="Arial" w:cs="Arial"/>
          <w:sz w:val="18"/>
          <w:szCs w:val="18"/>
        </w:rPr>
        <w:t>elektroúdržbář</w:t>
      </w:r>
      <w:proofErr w:type="spellEnd"/>
      <w:r w:rsidRPr="002E1E15">
        <w:rPr>
          <w:rFonts w:ascii="Arial" w:hAnsi="Arial" w:cs="Arial"/>
          <w:sz w:val="18"/>
          <w:szCs w:val="18"/>
        </w:rPr>
        <w:t>.</w:t>
      </w:r>
    </w:p>
    <w:p w14:paraId="45B051EC" w14:textId="77777777" w:rsidR="00EA5BDB" w:rsidRPr="002E1E15" w:rsidRDefault="00C17560">
      <w:pPr>
        <w:spacing w:after="545"/>
        <w:ind w:left="71" w:right="245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Předávání briketovacího lisu a zaškolení se provádí bezplatně u dodavatele před jeho expedicí </w:t>
      </w:r>
      <w:r w:rsidRPr="002E1E1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C45872A" wp14:editId="425F4B85">
            <wp:extent cx="27432" cy="30489"/>
            <wp:effectExtent l="0" t="0" r="0" b="0"/>
            <wp:docPr id="5968" name="Picture 5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" name="Picture 59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1E15">
        <w:rPr>
          <w:rFonts w:ascii="Arial" w:hAnsi="Arial" w:cs="Arial"/>
          <w:sz w:val="18"/>
          <w:szCs w:val="18"/>
        </w:rPr>
        <w:t>Při dodání zařízení sběrnou službou se zaškolení provádí pouze po objednání kupujícím.</w:t>
      </w:r>
    </w:p>
    <w:p w14:paraId="1843A853" w14:textId="77777777" w:rsidR="00EA5BDB" w:rsidRDefault="00C17560">
      <w:pPr>
        <w:spacing w:after="212" w:line="259" w:lineRule="auto"/>
        <w:ind w:left="187" w:right="0" w:firstLine="0"/>
        <w:jc w:val="center"/>
        <w:rPr>
          <w:rFonts w:ascii="Arial" w:hAnsi="Arial" w:cs="Arial"/>
          <w:sz w:val="18"/>
          <w:szCs w:val="18"/>
        </w:rPr>
      </w:pPr>
      <w:proofErr w:type="spellStart"/>
      <w:r w:rsidRPr="002E1E15">
        <w:rPr>
          <w:rFonts w:ascii="Arial" w:hAnsi="Arial" w:cs="Arial"/>
          <w:sz w:val="18"/>
          <w:szCs w:val="18"/>
        </w:rPr>
        <w:t>Vl</w:t>
      </w:r>
      <w:proofErr w:type="spellEnd"/>
      <w:r w:rsidRPr="002E1E15">
        <w:rPr>
          <w:rFonts w:ascii="Arial" w:hAnsi="Arial" w:cs="Arial"/>
          <w:sz w:val="18"/>
          <w:szCs w:val="18"/>
        </w:rPr>
        <w:t>. Odpovědnost za vady a prohlášení o záruce</w:t>
      </w:r>
    </w:p>
    <w:p w14:paraId="769D269B" w14:textId="77777777" w:rsidR="00EA5BDB" w:rsidRPr="002E1E15" w:rsidRDefault="00C17560">
      <w:pPr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Dodavatel poskytuje záruku na jakost po dobu 12 měsíců.</w:t>
      </w:r>
    </w:p>
    <w:p w14:paraId="05DEF9D4" w14:textId="77777777" w:rsidR="00EA5BDB" w:rsidRPr="002E1E15" w:rsidRDefault="00C17560">
      <w:pPr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Záruka se nevztahuje na poškození briketovacího lisu při lisování nevhodného materiálu, který obsahuje např. odřezky dřeva, kovové předměty, materiál s větší vlhkostí než </w:t>
      </w:r>
      <w:proofErr w:type="gramStart"/>
      <w:r w:rsidRPr="002E1E15">
        <w:rPr>
          <w:rFonts w:ascii="Arial" w:hAnsi="Arial" w:cs="Arial"/>
          <w:sz w:val="18"/>
          <w:szCs w:val="18"/>
        </w:rPr>
        <w:t>15%</w:t>
      </w:r>
      <w:proofErr w:type="gramEnd"/>
      <w:r w:rsidRPr="002E1E15">
        <w:rPr>
          <w:rFonts w:ascii="Arial" w:hAnsi="Arial" w:cs="Arial"/>
          <w:sz w:val="18"/>
          <w:szCs w:val="18"/>
        </w:rPr>
        <w:t xml:space="preserve"> atd.</w:t>
      </w:r>
    </w:p>
    <w:p w14:paraId="5622F4AF" w14:textId="77777777" w:rsidR="00EA5BDB" w:rsidRDefault="00C17560">
      <w:pPr>
        <w:spacing w:after="98"/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V záruční době provede dodavatel výměnu vadných dílů bezplatně po písemném nahlášení závady oddělení servisu.</w:t>
      </w:r>
    </w:p>
    <w:p w14:paraId="74F32DA1" w14:textId="77777777" w:rsidR="00217244" w:rsidRPr="002E1E15" w:rsidRDefault="00217244">
      <w:pPr>
        <w:spacing w:after="98"/>
        <w:ind w:left="71" w:right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7301" w:type="dxa"/>
        <w:tblInd w:w="86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213"/>
        <w:gridCol w:w="2491"/>
      </w:tblGrid>
      <w:tr w:rsidR="00EA5BDB" w:rsidRPr="002E1E15" w14:paraId="521771AC" w14:textId="77777777">
        <w:trPr>
          <w:trHeight w:val="427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1611C008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Fax :</w:t>
            </w:r>
            <w:proofErr w:type="gramEnd"/>
            <w:r w:rsidRPr="002E1E15">
              <w:rPr>
                <w:rFonts w:ascii="Arial" w:hAnsi="Arial" w:cs="Arial"/>
                <w:sz w:val="18"/>
                <w:szCs w:val="18"/>
              </w:rPr>
              <w:t xml:space="preserve"> 381 278 325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4200C04F" w14:textId="77777777" w:rsidR="00EA5BDB" w:rsidRPr="002E1E15" w:rsidRDefault="00C1756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Telefon :</w:t>
            </w:r>
            <w:proofErr w:type="gramEnd"/>
            <w:r w:rsidRPr="002E1E15">
              <w:rPr>
                <w:rFonts w:ascii="Arial" w:hAnsi="Arial" w:cs="Arial"/>
                <w:sz w:val="18"/>
                <w:szCs w:val="18"/>
              </w:rPr>
              <w:t xml:space="preserve"> 381 278 401</w:t>
            </w:r>
          </w:p>
          <w:p w14:paraId="742D1EF0" w14:textId="0F62FA51" w:rsidR="00217244" w:rsidRDefault="00217244" w:rsidP="00C17560">
            <w:pPr>
              <w:spacing w:after="0" w:line="259" w:lineRule="auto"/>
              <w:ind w:left="19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1DE6287" w14:textId="47A27A3E" w:rsidR="00C17560" w:rsidRPr="002E1E15" w:rsidRDefault="00C17560" w:rsidP="00C17560">
            <w:pPr>
              <w:spacing w:after="0" w:line="259" w:lineRule="auto"/>
              <w:ind w:left="19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B76A7FD" w14:textId="77777777" w:rsidR="00EA5BDB" w:rsidRPr="002E1E15" w:rsidRDefault="00C17560">
            <w:pPr>
              <w:spacing w:after="0" w:line="259" w:lineRule="auto"/>
              <w:ind w:left="0" w:righ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E1E15">
              <w:rPr>
                <w:rFonts w:ascii="Arial" w:hAnsi="Arial" w:cs="Arial"/>
                <w:sz w:val="18"/>
                <w:szCs w:val="18"/>
              </w:rPr>
              <w:t>Email :</w:t>
            </w:r>
            <w:proofErr w:type="gramEnd"/>
            <w:r w:rsidRPr="002E1E15">
              <w:rPr>
                <w:rFonts w:ascii="Arial" w:hAnsi="Arial" w:cs="Arial"/>
                <w:sz w:val="18"/>
                <w:szCs w:val="18"/>
              </w:rPr>
              <w:t xml:space="preserve"> servis@briklis.cz</w:t>
            </w:r>
          </w:p>
        </w:tc>
      </w:tr>
    </w:tbl>
    <w:p w14:paraId="6870A860" w14:textId="77777777" w:rsidR="00EA5BDB" w:rsidRPr="002E1E15" w:rsidRDefault="00C17560">
      <w:pPr>
        <w:spacing w:after="255" w:line="258" w:lineRule="auto"/>
        <w:ind w:left="62" w:right="86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 xml:space="preserve">Prodávající odpovídá za vady v množství, jakosti a provedení, které má zboží v okamžiku přechodu nebezpečí škody na kupujícího podle této smlouvy. Kupující je povinen prohlédnout zboží co nejdříve po přechodu nebezpečí škody na zboží a reklamovat zjevné vady zboží ihned a skryté vady bez zbytečného odkladu bezprostředně poté, co je zjistil. Pro zjištění oprávněnosti </w:t>
      </w:r>
      <w:proofErr w:type="spellStart"/>
      <w:r w:rsidRPr="002E1E15">
        <w:rPr>
          <w:rFonts w:ascii="Arial" w:hAnsi="Arial" w:cs="Arial"/>
          <w:sz w:val="18"/>
          <w:szCs w:val="18"/>
        </w:rPr>
        <w:t>reldamace</w:t>
      </w:r>
      <w:proofErr w:type="spellEnd"/>
      <w:r w:rsidRPr="002E1E15">
        <w:rPr>
          <w:rFonts w:ascii="Arial" w:hAnsi="Arial" w:cs="Arial"/>
          <w:sz w:val="18"/>
          <w:szCs w:val="18"/>
        </w:rPr>
        <w:t xml:space="preserve"> se požaduje nechat zařízení ve stavu vady. V reklamaci kupující uvede, jak se vada projevuje a jakým způsobem navrhuje reklamaci vyřídit. V případě oprávněné reklamace poskytne prodávající bezvadné </w:t>
      </w:r>
      <w:proofErr w:type="spellStart"/>
      <w:r w:rsidRPr="002E1E15">
        <w:rPr>
          <w:rFonts w:ascii="Arial" w:hAnsi="Arial" w:cs="Arial"/>
          <w:sz w:val="18"/>
          <w:szCs w:val="18"/>
        </w:rPr>
        <w:t>pinění</w:t>
      </w:r>
      <w:proofErr w:type="spellEnd"/>
      <w:r w:rsidRPr="002E1E15">
        <w:rPr>
          <w:rFonts w:ascii="Arial" w:hAnsi="Arial" w:cs="Arial"/>
          <w:sz w:val="18"/>
          <w:szCs w:val="18"/>
        </w:rPr>
        <w:t>.</w:t>
      </w:r>
    </w:p>
    <w:p w14:paraId="44F8635C" w14:textId="77777777" w:rsidR="00EA5BDB" w:rsidRPr="002E1E15" w:rsidRDefault="00C17560">
      <w:pPr>
        <w:ind w:left="71" w:right="13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Vady způsobené neodbornou obsluhou budou odstraněny na náklady kupujícího v termínech dle dohody mezi stranami. Záruka se nevztahuje na poruchy způsobené neodborným zacházením, provozem v nevhodných podmínkách a na díly s kratší dobou opotřebení uvedených v návodu na obsluhu.</w:t>
      </w:r>
    </w:p>
    <w:p w14:paraId="08089D43" w14:textId="77777777" w:rsidR="00EA5BDB" w:rsidRPr="002E1E15" w:rsidRDefault="00C17560">
      <w:pPr>
        <w:pStyle w:val="Nadpis1"/>
        <w:spacing w:after="251"/>
        <w:ind w:left="2246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VII. Závěrečné ustanovení</w:t>
      </w:r>
    </w:p>
    <w:p w14:paraId="4D85C8D7" w14:textId="77777777" w:rsidR="00EA5BDB" w:rsidRPr="002E1E15" w:rsidRDefault="00C17560">
      <w:pPr>
        <w:spacing w:after="289" w:line="258" w:lineRule="auto"/>
        <w:ind w:left="62" w:right="86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Smlouva nabývá účinnosti dnem podpisu oprávněnými zástupci obou smluvních stran. Případné změny a doplňky této smlouvy jsou platné pouze tehdy, pokud byly sjednány písemně a potvrzeny oběma stranami.</w:t>
      </w:r>
    </w:p>
    <w:p w14:paraId="2076AE1C" w14:textId="77777777" w:rsidR="00EA5BDB" w:rsidRPr="002E1E15" w:rsidRDefault="00C17560">
      <w:pPr>
        <w:spacing w:after="309" w:line="258" w:lineRule="auto"/>
        <w:ind w:left="62" w:right="466" w:firstLine="0"/>
        <w:jc w:val="left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Smlouva je vyhotovena ve dvou vyhotoveních, z nichž každá strana obdrží po jednom. Smluvní strany dále prohlašují, že si smlouvu přečetly a že s jejím obsahem bezvýhradně souhlasí. Na důkaz tohoto připojují své vlastnoruční podpisy.</w:t>
      </w:r>
    </w:p>
    <w:p w14:paraId="04021F06" w14:textId="77777777" w:rsidR="00EA5BDB" w:rsidRPr="002E1E15" w:rsidRDefault="00C17560">
      <w:pPr>
        <w:spacing w:after="1165"/>
        <w:ind w:left="71" w:right="0"/>
        <w:rPr>
          <w:rFonts w:ascii="Arial" w:hAnsi="Arial" w:cs="Arial"/>
          <w:sz w:val="18"/>
          <w:szCs w:val="18"/>
        </w:rPr>
      </w:pPr>
      <w:r w:rsidRPr="002E1E15">
        <w:rPr>
          <w:rFonts w:ascii="Arial" w:hAnsi="Arial" w:cs="Arial"/>
          <w:sz w:val="18"/>
          <w:szCs w:val="18"/>
        </w:rPr>
        <w:t>V Malšicích, dne 05.05.2026</w:t>
      </w:r>
    </w:p>
    <w:sectPr w:rsidR="00EA5BDB" w:rsidRPr="002E1E15">
      <w:pgSz w:w="11904" w:h="16829"/>
      <w:pgMar w:top="1678" w:right="2131" w:bottom="1536" w:left="12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DB"/>
    <w:rsid w:val="00217244"/>
    <w:rsid w:val="002E1E15"/>
    <w:rsid w:val="00326714"/>
    <w:rsid w:val="00C17560"/>
    <w:rsid w:val="00EA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83FE"/>
  <w15:docId w15:val="{79DA226F-18D2-4DBA-A504-26F190C9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52" w:lineRule="auto"/>
      <w:ind w:left="-5" w:right="830" w:firstLine="4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6" w:line="259" w:lineRule="auto"/>
      <w:ind w:left="2261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7EE7-8B6C-4894-AA44-97DD844F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Muchková</dc:creator>
  <cp:keywords/>
  <cp:lastModifiedBy>Iveta Muchková</cp:lastModifiedBy>
  <cp:revision>2</cp:revision>
  <dcterms:created xsi:type="dcterms:W3CDTF">2026-05-12T06:52:00Z</dcterms:created>
  <dcterms:modified xsi:type="dcterms:W3CDTF">2026-05-12T06:52:00Z</dcterms:modified>
</cp:coreProperties>
</file>