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Dodatek č.1 k SOD č. 367/2026</w:t>
      </w:r>
      <w:bookmarkEnd w:id="0"/>
      <w:bookmarkEnd w:id="1"/>
      <w:bookmarkEnd w:id="2"/>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smlouva je uzavřena dle ust. § 2586 a násl. zákona č. 89/2012 Sb., občanského zákoníku,</w:t>
        <w:br/>
        <w:t>ve znění pozdějších předpisů</w:t>
      </w:r>
    </w:p>
    <w:p>
      <w:pPr>
        <w:pStyle w:val="Style6"/>
        <w:keepNext/>
        <w:keepLines/>
        <w:widowControl w:val="0"/>
        <w:shd w:val="clear" w:color="auto" w:fill="auto"/>
        <w:bidi w:val="0"/>
        <w:spacing w:before="0"/>
        <w:ind w:left="0" w:right="0" w:firstLine="0"/>
        <w:jc w:val="cente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VT Ohře-dolní KV-likvidace invazních rostlin 2026</w:t>
      </w:r>
      <w:bookmarkEnd w:id="3"/>
      <w:bookmarkEnd w:id="4"/>
      <w:bookmarkEnd w:id="5"/>
    </w:p>
    <w:p>
      <w:pPr>
        <w:pStyle w:val="Style8"/>
        <w:keepNext w:val="0"/>
        <w:keepLines w:val="0"/>
        <w:widowControl w:val="0"/>
        <w:shd w:val="clear" w:color="auto" w:fill="auto"/>
        <w:bidi w:val="0"/>
        <w:spacing w:before="0" w:after="0" w:line="26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Smluvní strany</w:t>
      </w:r>
    </w:p>
    <w:tbl>
      <w:tblPr>
        <w:tblOverlap w:val="never"/>
        <w:jc w:val="center"/>
        <w:tblLayout w:type="fixed"/>
      </w:tblPr>
      <w:tblGrid>
        <w:gridCol w:w="4142"/>
        <w:gridCol w:w="4982"/>
      </w:tblGrid>
      <w:tr>
        <w:trPr>
          <w:trHeight w:val="1790"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11"/>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generální ředitel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 Karlovy Vary</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 technické skupiny Karlovy Vary tel.: , e-mail:</w:t>
            </w:r>
          </w:p>
        </w:tc>
      </w:tr>
      <w:tr>
        <w:trPr>
          <w:trHeight w:val="50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biolog závodu Karlovy Vary tel.:, e-mail:</w:t>
            </w:r>
          </w:p>
        </w:tc>
      </w:tr>
      <w:tr>
        <w:trPr>
          <w:trHeight w:val="109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after="159" w:line="1" w:lineRule="exact"/>
      </w:pP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center"/>
        <w:tblLayout w:type="fixed"/>
      </w:tblPr>
      <w:tblGrid>
        <w:gridCol w:w="4142"/>
        <w:gridCol w:w="4982"/>
      </w:tblGrid>
      <w:tr>
        <w:trPr>
          <w:trHeight w:val="1920" w:hRule="exact"/>
        </w:trPr>
        <w:tc>
          <w:tcPr>
            <w:tcBorders/>
            <w:shd w:val="clear" w:color="auto" w:fill="FFFFFF"/>
            <w:vAlign w:val="top"/>
          </w:tcPr>
          <w:p>
            <w:pPr>
              <w:pStyle w:val="Style11"/>
              <w:keepNext w:val="0"/>
              <w:keepLines w:val="0"/>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Sídlo:</w:t>
            </w:r>
          </w:p>
          <w:p>
            <w:pPr>
              <w:pStyle w:val="Style1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oprávněn k podpisu smlouvy: oprávněn jednat o věcech smluvních: oprávněn(i) jednat o věcech technických: osoba odpovědná za provedení díla:</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Marles s.r.o. </w:t>
            </w:r>
            <w:r>
              <w:rPr>
                <w:color w:val="000000"/>
                <w:spacing w:val="0"/>
                <w:w w:val="100"/>
                <w:position w:val="0"/>
                <w:shd w:val="clear" w:color="auto" w:fill="auto"/>
                <w:lang w:val="cs-CZ" w:eastAsia="cs-CZ" w:bidi="cs-CZ"/>
              </w:rPr>
              <w:t>č.p. 123, 331 52 Mrtník , jednatel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jednatel</w:t>
            </w:r>
          </w:p>
          <w:p>
            <w:pPr>
              <w:pStyle w:val="Style11"/>
              <w:keepNext w:val="0"/>
              <w:keepLines w:val="0"/>
              <w:widowControl w:val="0"/>
              <w:shd w:val="clear" w:color="auto" w:fill="auto"/>
              <w:bidi w:val="0"/>
              <w:spacing w:before="0" w:after="0" w:line="276" w:lineRule="auto"/>
              <w:ind w:left="0" w:right="0" w:firstLine="840"/>
              <w:jc w:val="left"/>
            </w:pPr>
            <w:r>
              <w:rPr>
                <w:color w:val="000000"/>
                <w:spacing w:val="0"/>
                <w:w w:val="100"/>
                <w:position w:val="0"/>
                <w:shd w:val="clear" w:color="auto" w:fill="auto"/>
                <w:lang w:val="cs-CZ" w:eastAsia="cs-CZ" w:bidi="cs-CZ"/>
              </w:rPr>
              <w:t>tel.: e-mail:</w:t>
            </w:r>
          </w:p>
        </w:tc>
      </w:tr>
      <w:tr>
        <w:trPr>
          <w:trHeight w:val="1157"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29116724</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CZ29116724</w:t>
            </w:r>
          </w:p>
        </w:tc>
      </w:tr>
    </w:tbl>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zápis v obchodním rejstříku: vedený u Krajského soudu v Plzni, oddíl C, vložka 26094 (dále jen „zhotovitel“)</w:t>
      </w:r>
    </w:p>
    <w:p>
      <w:pPr>
        <w:pStyle w:val="Style15"/>
        <w:keepNext/>
        <w:keepLines/>
        <w:widowControl w:val="0"/>
        <w:shd w:val="clear" w:color="auto" w:fill="auto"/>
        <w:bidi w:val="0"/>
        <w:spacing w:before="0" w:after="20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I.</w:t>
      </w:r>
      <w:bookmarkEnd w:id="6"/>
      <w:bookmarkEnd w:id="7"/>
      <w:bookmarkEnd w:id="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základě skutečností, které se vyskytly v průběhu zakázky, přičemž jejich zajištění je podmínkou pro řádné dokončení díla, se smluvní strany dohodly ve smyslu příslušných smluvních ustanovení na uzavření tohoto dodatku. Tato změna závazku ze smlouvy nemění celkovou povahu veřejné zakázky. Změna byla projednána a odsouhlasena zástupci smluvních stran.</w:t>
      </w:r>
    </w:p>
    <w:p>
      <w:pPr>
        <w:pStyle w:val="Style15"/>
        <w:keepNext/>
        <w:keepLines/>
        <w:widowControl w:val="0"/>
        <w:shd w:val="clear" w:color="auto" w:fill="auto"/>
        <w:bidi w:val="0"/>
        <w:spacing w:before="0" w:line="240" w:lineRule="auto"/>
        <w:ind w:left="4420" w:right="0" w:firstLine="0"/>
        <w:jc w:val="both"/>
      </w:pPr>
      <w:bookmarkStart w:id="10" w:name="bookmark10"/>
      <w:bookmarkStart w:id="11" w:name="bookmark11"/>
      <w:bookmarkStart w:id="9" w:name="bookmark9"/>
      <w:r>
        <w:rPr>
          <w:color w:val="000000"/>
          <w:spacing w:val="0"/>
          <w:w w:val="100"/>
          <w:position w:val="0"/>
          <w:shd w:val="clear" w:color="auto" w:fill="auto"/>
          <w:lang w:val="cs-CZ" w:eastAsia="cs-CZ" w:bidi="cs-CZ"/>
        </w:rPr>
        <w:t>II.</w:t>
      </w:r>
      <w:bookmarkEnd w:id="10"/>
      <w:bookmarkEnd w:id="11"/>
      <w:bookmarkEnd w:id="9"/>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Předmětem Dodatku č. 1 smlouvy č. 367/2026 je oprava původního označení ř. km, kterým je určeno kde má být prováděno dílo. Administrativním pochybením došlo k písařské chybě, a proto se nesprávně uvedený text „VT Ohře-dolní úsek ř.km 155,618-176,050“ </w:t>
      </w:r>
      <w:r>
        <w:rPr>
          <w:b/>
          <w:bCs/>
          <w:color w:val="000000"/>
          <w:spacing w:val="0"/>
          <w:w w:val="100"/>
          <w:position w:val="0"/>
          <w:shd w:val="clear" w:color="auto" w:fill="auto"/>
          <w:lang w:val="cs-CZ" w:eastAsia="cs-CZ" w:bidi="cs-CZ"/>
        </w:rPr>
        <w:t>v celém textu smlouvy včetně jejích příloh opravuje na správný text „VT Ohře dolní ř. km 140,600 - 176,050“.</w:t>
      </w:r>
    </w:p>
    <w:p>
      <w:pPr>
        <w:pStyle w:val="Style15"/>
        <w:keepNext/>
        <w:keepLines/>
        <w:widowControl w:val="0"/>
        <w:shd w:val="clear" w:color="auto" w:fill="auto"/>
        <w:bidi w:val="0"/>
        <w:spacing w:before="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III.</w:t>
      </w:r>
      <w:bookmarkEnd w:id="12"/>
      <w:bookmarkEnd w:id="13"/>
      <w:bookmarkEnd w:id="14"/>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se tímto dodatkem mění text čl. I. odst. 3. smlouvy, a to tak, že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původní text: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rámci realizace akce zhotovitel provede na VT Ohře-dolní úsek likvidaci bolševníku velkolepého, křídlatek, netýkavky žláznaté mechanickou metodou. VT Ohře-dolní ř. km 155,618-176,050, zasažená plocha 14,95 ha (0,0055 ha bolševník velkolepý; 8,06 ha křídlatek; 6,88 ha netýkavka žláznatá) a kontrolovaná plocha je 213,44 ha.“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Nově zní: </w:t>
      </w:r>
      <w:r>
        <w:rPr>
          <w:b/>
          <w:bCs/>
          <w:color w:val="000000"/>
          <w:spacing w:val="0"/>
          <w:w w:val="100"/>
          <w:position w:val="0"/>
          <w:shd w:val="clear" w:color="auto" w:fill="auto"/>
          <w:lang w:val="cs-CZ" w:eastAsia="cs-CZ" w:bidi="cs-CZ"/>
        </w:rPr>
        <w:t>„V rámci realizace akce zhotovitel provede na VT Ohře-dolní úsek likvidaci bolševníku velkolepého, křídlatek, netýkavky žláznaté mechanickou metodou. VT Ohře-dolní ř. km 140,600 – 176,050. Likvidace invazních rostlin bude v úseku ř. km 142,700 – 176,050 prováděna na obou březích vodního toku Ohře a v úseku ř. km 140,600 – 142,700 bude likvidace invazních rostlin prováděna pouze na levém břehu vodního toku Ohře. Zasažená plocha 14,95 ha (0,0055 ha bolševník velkolepý; 8,06 ha křídlatek; 6,88 ha netýkavka žláznatá) a kontrolovaná plocha je 213,44 ha.“</w:t>
      </w:r>
    </w:p>
    <w:p>
      <w:pPr>
        <w:pStyle w:val="Style15"/>
        <w:keepNext/>
        <w:keepLines/>
        <w:widowControl w:val="0"/>
        <w:shd w:val="clear" w:color="auto" w:fill="auto"/>
        <w:bidi w:val="0"/>
        <w:spacing w:before="0" w:line="240" w:lineRule="auto"/>
        <w:ind w:left="0" w:right="0" w:firstLine="0"/>
        <w:jc w:val="center"/>
      </w:pPr>
      <w:bookmarkStart w:id="15" w:name="bookmark15"/>
      <w:bookmarkStart w:id="16" w:name="bookmark16"/>
      <w:bookmarkStart w:id="17" w:name="bookmark17"/>
      <w:r>
        <w:rPr>
          <w:color w:val="000000"/>
          <w:spacing w:val="0"/>
          <w:w w:val="100"/>
          <w:position w:val="0"/>
          <w:shd w:val="clear" w:color="auto" w:fill="auto"/>
          <w:lang w:val="cs-CZ" w:eastAsia="cs-CZ" w:bidi="cs-CZ"/>
        </w:rPr>
        <w:t>IV.</w:t>
      </w:r>
      <w:bookmarkEnd w:id="15"/>
      <w:bookmarkEnd w:id="16"/>
      <w:bookmarkEnd w:id="1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Ostatní ujednání smlouvy o dílo č. 367/2026 se nemění. Smluvní strany nepovažují žádné ustanovení smlouvy za obchodní tajemství.</w:t>
      </w:r>
    </w:p>
    <w:p>
      <w:pPr>
        <w:pStyle w:val="Style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Dodatek ke smlouvě je vyhotoven ve dvou vyhotoveních, z nichž každé má platnost originálu. Tento</w:t>
        <w:br w:type="page"/>
      </w:r>
      <w:r>
        <w:rPr>
          <w:color w:val="000000"/>
          <w:spacing w:val="0"/>
          <w:w w:val="100"/>
          <w:position w:val="0"/>
          <w:shd w:val="clear" w:color="auto" w:fill="auto"/>
          <w:lang w:val="cs-CZ" w:eastAsia="cs-CZ" w:bidi="cs-CZ"/>
        </w:rPr>
        <w:t>dodatek ke smlouvě nabývá platnosti dnem jeho podpisu poslední ze smluvních stran a účinnosti zveřejněním v Registru smluv, pokud této účinnosti dle příslušných ustanovení dodatku ke smlouvě nenabude později.</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1909" w:h="16838"/>
          <w:pgMar w:top="1528" w:left="1388" w:right="1382" w:bottom="1594" w:header="1100" w:footer="1166"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4034155</wp:posOffset>
                </wp:positionH>
                <wp:positionV relativeFrom="paragraph">
                  <wp:posOffset>12700</wp:posOffset>
                </wp:positionV>
                <wp:extent cx="1487170" cy="228600"/>
                <wp:wrapSquare wrapText="left"/>
                <wp:docPr id="1" name="Shape 1"/>
                <a:graphic xmlns:a="http://schemas.openxmlformats.org/drawingml/2006/main">
                  <a:graphicData uri="http://schemas.microsoft.com/office/word/2010/wordprocessingShape">
                    <wps:wsp>
                      <wps:cNvSpPr txBox="1"/>
                      <wps:spPr>
                        <a:xfrm>
                          <a:ext cx="148717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Mrtníku dne 4.5.2026</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7.65000000000003pt;margin-top:1.pt;width:117.10000000000001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Mrtníku dne 4.5.2026</w:t>
                      </w:r>
                    </w:p>
                  </w:txbxContent>
                </v:textbox>
                <w10:wrap type="square" side="left" anchorx="page"/>
              </v:shape>
            </w:pict>
          </mc:Fallback>
        </mc:AlternateContent>
      </w:r>
      <w:r>
        <w:rPr>
          <w:color w:val="000000"/>
          <w:spacing w:val="0"/>
          <w:w w:val="100"/>
          <w:position w:val="0"/>
          <w:shd w:val="clear" w:color="auto" w:fill="auto"/>
          <w:lang w:val="cs-CZ" w:eastAsia="cs-CZ" w:bidi="cs-CZ"/>
        </w:rPr>
        <w:t>V Karlových Varech dne 11.5.2026</w:t>
      </w: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934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2421" w:bottom="9347" w:header="0" w:footer="3" w:gutter="0"/>
          <w:cols w:num="2" w:space="171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4034155</wp:posOffset>
                </wp:positionH>
                <wp:positionV relativeFrom="paragraph">
                  <wp:posOffset>12700</wp:posOffset>
                </wp:positionV>
                <wp:extent cx="804545" cy="387350"/>
                <wp:wrapSquare wrapText="bothSides"/>
                <wp:docPr id="3" name="Shape 3"/>
                <a:graphic xmlns:a="http://schemas.openxmlformats.org/drawingml/2006/main">
                  <a:graphicData uri="http://schemas.microsoft.com/office/word/2010/wordprocessingShape">
                    <wps:wsp>
                      <wps:cNvSpPr txBox="1"/>
                      <wps:spPr>
                        <a:xfrm>
                          <a:ext cx="80454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 Marles s.r.o.</w:t>
                            </w:r>
                          </w:p>
                        </w:txbxContent>
                      </wps:txbx>
                      <wps:bodyPr lIns="0" tIns="0" rIns="0" bIns="0">
                        <a:noAutoFit/>
                      </wps:bodyPr>
                    </wps:wsp>
                  </a:graphicData>
                </a:graphic>
              </wp:anchor>
            </w:drawing>
          </mc:Choice>
          <mc:Fallback>
            <w:pict>
              <v:shape id="_x0000_s1029" type="#_x0000_t202" style="position:absolute;margin-left:317.65000000000003pt;margin-top:1.pt;width:63.350000000000001pt;height:30.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 Marles s.r.o.</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363" w:left="1394" w:right="5560" w:bottom="1363"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rFonts w:ascii="Arial" w:eastAsia="Arial" w:hAnsi="Arial" w:cs="Arial"/>
      <w:b/>
      <w:bCs/>
      <w:i w:val="0"/>
      <w:iCs w:val="0"/>
      <w:smallCaps w:val="0"/>
      <w:strike w:val="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4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spacing w:after="440" w:line="221" w:lineRule="auto"/>
      <w:jc w:val="center"/>
      <w:outlineLvl w:val="1"/>
    </w:pPr>
    <w:rPr>
      <w:rFonts w:ascii="Arial" w:eastAsia="Arial" w:hAnsi="Arial" w:cs="Arial"/>
      <w:b/>
      <w:bCs/>
      <w:i w:val="0"/>
      <w:iCs w:val="0"/>
      <w:smallCaps w:val="0"/>
      <w:strike w:val="0"/>
      <w:u w:val="none"/>
    </w:rPr>
  </w:style>
  <w:style w:type="paragraph" w:customStyle="1" w:styleId="Style8">
    <w:name w:val="Style 8"/>
    <w:basedOn w:val="Normal"/>
    <w:link w:val="CharStyle9"/>
    <w:pPr>
      <w:widowControl w:val="0"/>
      <w:shd w:val="clear" w:color="auto" w:fill="FFFFFF"/>
      <w:spacing w:line="480" w:lineRule="auto"/>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44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44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Bc. Nikola Chudáčiková</dc:creator>
  <cp:keywords/>
</cp:coreProperties>
</file>