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A2" w:rsidRPr="00877963" w:rsidRDefault="00341919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  <w:bookmarkStart w:id="0" w:name="_GoBack"/>
      <w:bookmarkEnd w:id="0"/>
      <w:r w:rsidRPr="00877963">
        <w:rPr>
          <w:rFonts w:asciiTheme="majorHAnsi" w:hAnsiTheme="majorHAnsi"/>
          <w:b/>
          <w:sz w:val="22"/>
          <w:szCs w:val="22"/>
          <w:u w:val="single"/>
        </w:rPr>
        <w:t>KURZ</w:t>
      </w:r>
    </w:p>
    <w:p w:rsidR="009F5DA2" w:rsidRPr="00877963" w:rsidRDefault="009F5DA2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877963">
        <w:rPr>
          <w:rFonts w:asciiTheme="majorHAnsi" w:hAnsiTheme="majorHAnsi"/>
          <w:sz w:val="22"/>
          <w:szCs w:val="22"/>
        </w:rPr>
        <w:t>Výuka bude probíhat v 5-6 hodinových blocích v odpoledních hodinách v pevně stanovený den následovně (1 hodina = 45 minut):</w:t>
      </w:r>
    </w:p>
    <w:p w:rsidR="009F5DA2" w:rsidRPr="00877963" w:rsidRDefault="009F5DA2" w:rsidP="00C47BE9">
      <w:pPr>
        <w:pStyle w:val="Odstavecseseznamem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Teorie v 5 ti hodinových blocích v odpoledních hodinách</w:t>
      </w:r>
    </w:p>
    <w:p w:rsidR="009F5DA2" w:rsidRPr="00877963" w:rsidRDefault="009F5DA2" w:rsidP="00C47BE9">
      <w:pPr>
        <w:pStyle w:val="Odstavecseseznamem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Laboratoře v 5 ti hodinových blocích </w:t>
      </w:r>
    </w:p>
    <w:p w:rsidR="009F5DA2" w:rsidRPr="00877963" w:rsidRDefault="009F5DA2" w:rsidP="00C47BE9">
      <w:pPr>
        <w:pStyle w:val="Odstavecseseznamem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  <w:b/>
          <w:color w:val="000000" w:themeColor="text1"/>
          <w:u w:val="single"/>
        </w:rPr>
        <w:t>91 hodin teoretické výuky</w:t>
      </w:r>
      <w:r w:rsidR="00487881" w:rsidRPr="00877963">
        <w:rPr>
          <w:rFonts w:asciiTheme="majorHAnsi" w:hAnsiTheme="majorHAnsi"/>
        </w:rPr>
        <w:t xml:space="preserve"> </w:t>
      </w:r>
      <w:r w:rsidRPr="00877963">
        <w:rPr>
          <w:rFonts w:asciiTheme="majorHAnsi" w:hAnsiTheme="majorHAnsi"/>
        </w:rPr>
        <w:t>v</w:t>
      </w:r>
      <w:r w:rsidR="00487881" w:rsidRPr="00877963">
        <w:rPr>
          <w:rFonts w:asciiTheme="majorHAnsi" w:hAnsiTheme="majorHAnsi"/>
        </w:rPr>
        <w:t> </w:t>
      </w:r>
      <w:r w:rsidRPr="00877963">
        <w:rPr>
          <w:rFonts w:asciiTheme="majorHAnsi" w:hAnsiTheme="majorHAnsi"/>
        </w:rPr>
        <w:t>prostor</w:t>
      </w:r>
      <w:r w:rsidR="00487881" w:rsidRPr="00877963">
        <w:rPr>
          <w:rFonts w:asciiTheme="majorHAnsi" w:hAnsiTheme="majorHAnsi"/>
        </w:rPr>
        <w:t>ech objednatele</w:t>
      </w:r>
      <w:r w:rsidRPr="00877963">
        <w:rPr>
          <w:rFonts w:asciiTheme="majorHAnsi" w:hAnsiTheme="majorHAnsi"/>
        </w:rPr>
        <w:t xml:space="preserve"> </w:t>
      </w:r>
    </w:p>
    <w:p w:rsidR="009F5DA2" w:rsidRPr="00877963" w:rsidRDefault="00027107" w:rsidP="00C47BE9">
      <w:pPr>
        <w:pStyle w:val="Odstavecseseznamem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  <w:b/>
          <w:color w:val="000000" w:themeColor="text1"/>
          <w:u w:val="single"/>
        </w:rPr>
      </w:pPr>
      <w:r w:rsidRPr="00877963">
        <w:rPr>
          <w:rFonts w:asciiTheme="majorHAnsi" w:hAnsiTheme="majorHAnsi"/>
          <w:b/>
          <w:color w:val="000000" w:themeColor="text1"/>
          <w:u w:val="single"/>
        </w:rPr>
        <w:t>42</w:t>
      </w:r>
      <w:r w:rsidR="009F5DA2" w:rsidRPr="00877963">
        <w:rPr>
          <w:rFonts w:asciiTheme="majorHAnsi" w:hAnsiTheme="majorHAnsi"/>
          <w:b/>
          <w:color w:val="000000" w:themeColor="text1"/>
          <w:u w:val="single"/>
        </w:rPr>
        <w:t xml:space="preserve"> hodin praktické výuky </w:t>
      </w:r>
      <w:r w:rsidR="009F5DA2" w:rsidRPr="00877963">
        <w:rPr>
          <w:rFonts w:asciiTheme="majorHAnsi" w:hAnsiTheme="majorHAnsi"/>
        </w:rPr>
        <w:t xml:space="preserve">v laboratořích školy – toxikologie a bezpečnost práce; odebírání vzorků a preparace; vyhodnocování </w:t>
      </w:r>
    </w:p>
    <w:p w:rsidR="009F5DA2" w:rsidRPr="00877963" w:rsidRDefault="009F5DA2" w:rsidP="00C47BE9">
      <w:pPr>
        <w:pStyle w:val="Odstavecseseznamem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  <w:b/>
          <w:color w:val="000000" w:themeColor="text1"/>
          <w:u w:val="single"/>
        </w:rPr>
      </w:pPr>
      <w:r w:rsidRPr="00877963">
        <w:rPr>
          <w:rFonts w:asciiTheme="majorHAnsi" w:hAnsiTheme="majorHAnsi"/>
          <w:b/>
          <w:color w:val="000000" w:themeColor="text1"/>
          <w:u w:val="single"/>
        </w:rPr>
        <w:t xml:space="preserve">6 hodin teoretické a praktické závěrečné zkoušky </w:t>
      </w:r>
    </w:p>
    <w:p w:rsidR="00C47BE9" w:rsidRDefault="00C47BE9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877963">
        <w:rPr>
          <w:rFonts w:asciiTheme="majorHAnsi" w:hAnsiTheme="majorHAnsi"/>
          <w:b/>
          <w:sz w:val="22"/>
          <w:szCs w:val="22"/>
          <w:u w:val="single"/>
        </w:rPr>
        <w:t xml:space="preserve">Co bude obsahem rekvalifikačního kursu? </w:t>
      </w: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877963">
        <w:rPr>
          <w:rFonts w:asciiTheme="majorHAnsi" w:hAnsiTheme="majorHAnsi"/>
          <w:b/>
          <w:sz w:val="22"/>
          <w:szCs w:val="22"/>
        </w:rPr>
        <w:t>Cílem</w:t>
      </w:r>
      <w:r w:rsidRPr="00877963">
        <w:rPr>
          <w:rFonts w:asciiTheme="majorHAnsi" w:hAnsiTheme="majorHAnsi"/>
          <w:sz w:val="22"/>
          <w:szCs w:val="22"/>
        </w:rPr>
        <w:t xml:space="preserve"> rekvalifikačního kursu je </w:t>
      </w:r>
      <w:r w:rsidRPr="00877963">
        <w:rPr>
          <w:rFonts w:asciiTheme="majorHAnsi" w:hAnsiTheme="majorHAnsi"/>
          <w:b/>
          <w:sz w:val="22"/>
          <w:szCs w:val="22"/>
        </w:rPr>
        <w:t>získání kvalifikace v oboru chemie</w:t>
      </w:r>
      <w:r w:rsidRPr="00877963">
        <w:rPr>
          <w:rFonts w:asciiTheme="majorHAnsi" w:hAnsiTheme="majorHAnsi"/>
          <w:sz w:val="22"/>
          <w:szCs w:val="22"/>
        </w:rPr>
        <w:t xml:space="preserve"> v úrovni výučního listu (nenahrazuje výuční list, ale </w:t>
      </w:r>
      <w:r w:rsidRPr="00877963">
        <w:rPr>
          <w:rFonts w:asciiTheme="majorHAnsi" w:hAnsiTheme="majorHAnsi"/>
          <w:b/>
          <w:sz w:val="22"/>
          <w:szCs w:val="22"/>
        </w:rPr>
        <w:t xml:space="preserve">doplňuje </w:t>
      </w:r>
      <w:r w:rsidRPr="00877963">
        <w:rPr>
          <w:rFonts w:asciiTheme="majorHAnsi" w:hAnsiTheme="majorHAnsi"/>
          <w:sz w:val="22"/>
          <w:szCs w:val="22"/>
        </w:rPr>
        <w:t xml:space="preserve">předchozí dosažené vzdělání absolventa (minimálně však výuční list nebo maturitní zkoušku v jiném oboru) o obor chemie. </w:t>
      </w:r>
    </w:p>
    <w:p w:rsidR="00C47BE9" w:rsidRDefault="00C47BE9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877963">
        <w:rPr>
          <w:rFonts w:asciiTheme="majorHAnsi" w:hAnsiTheme="majorHAnsi"/>
          <w:b/>
          <w:sz w:val="22"/>
          <w:szCs w:val="22"/>
          <w:u w:val="single"/>
        </w:rPr>
        <w:t xml:space="preserve">Dosažení odborné způsobilosti: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Základní teoretické znalosti v oboru chemie (obecná část, anorganická chemie)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Orientace v interních předpisech pro řízení chemické technologie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Sledování hodnot a parametrů v chemické výrobě a jejich vyhodnocování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Měření fyzikálně-chemických veličin v chemické výrobě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Příprava surovin pro chemickou výrobu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Vedení předepsané výrobní dokumentace (záznamů)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Obsluha technologických zařízení v chemické výrobě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Dodržování BOZP, hygieny práce, PO a ochrany ŽP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Exkurze na jiných výrobnách v areálu Lovochemie, a.s.</w:t>
      </w: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877963">
        <w:rPr>
          <w:rFonts w:asciiTheme="majorHAnsi" w:hAnsiTheme="majorHAnsi"/>
          <w:b/>
          <w:sz w:val="22"/>
          <w:szCs w:val="22"/>
          <w:u w:val="single"/>
        </w:rPr>
        <w:t>Podrobnější rozpis dosažení odborné způsobilosti:</w:t>
      </w:r>
    </w:p>
    <w:p w:rsidR="00877963" w:rsidRPr="00877963" w:rsidRDefault="00877963" w:rsidP="00C47BE9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/>
          <w:b/>
        </w:rPr>
      </w:pPr>
      <w:r w:rsidRPr="00877963">
        <w:rPr>
          <w:rFonts w:asciiTheme="majorHAnsi" w:hAnsiTheme="majorHAnsi"/>
          <w:b/>
        </w:rPr>
        <w:t>Teoretická výuka, následovaná závěrečným teoretickým přezkoušením.</w:t>
      </w:r>
    </w:p>
    <w:p w:rsidR="00877963" w:rsidRPr="00877963" w:rsidRDefault="00877963" w:rsidP="00C47BE9">
      <w:pPr>
        <w:spacing w:before="120" w:after="120"/>
        <w:ind w:left="357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>Základní teoretické znalosti v oboru chemie (obecná část, anorganická chemie):</w:t>
      </w: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877963">
        <w:rPr>
          <w:rFonts w:asciiTheme="majorHAnsi" w:hAnsiTheme="majorHAnsi"/>
          <w:sz w:val="22"/>
          <w:szCs w:val="22"/>
        </w:rPr>
        <w:tab/>
      </w:r>
    </w:p>
    <w:p w:rsidR="00877963" w:rsidRPr="00877963" w:rsidRDefault="00877963" w:rsidP="00C47BE9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/>
          <w:b/>
        </w:rPr>
      </w:pPr>
      <w:r w:rsidRPr="00877963">
        <w:rPr>
          <w:rFonts w:asciiTheme="majorHAnsi" w:hAnsiTheme="majorHAnsi"/>
          <w:b/>
        </w:rPr>
        <w:t>Praktická výuka, v rámci závěrečné zkoušky prozkoušení na pracovišti (68 hodin)</w:t>
      </w:r>
    </w:p>
    <w:p w:rsidR="00877963" w:rsidRPr="00877963" w:rsidRDefault="00877963" w:rsidP="00C47BE9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Theme="majorHAnsi" w:hAnsiTheme="majorHAnsi"/>
          <w:vanish/>
          <w:u w:val="single"/>
        </w:rPr>
      </w:pP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>Orientace v interních předpisech pro řízení chemické technologie (6 hodin):</w:t>
      </w:r>
    </w:p>
    <w:p w:rsidR="00877963" w:rsidRPr="00877963" w:rsidRDefault="00877963" w:rsidP="00C47BE9">
      <w:pPr>
        <w:pStyle w:val="Odstavecseseznamem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Orientovat se v IŘD (interní řízená dokumentace) pro daný technologický proces a pro navazující podpůrné procesy, vyhledat a interpretovat informace z těchto dokumentů (př. bezpečnostní listy, bezpečnostní karty, místní provozní a bezpečnostní předpisy, pracovní instrukce a další provozní předpisy). 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lastRenderedPageBreak/>
        <w:t xml:space="preserve">Sledování hodnot a parametrů v chemické výrobě a jejich vyhodnocování (8 hodin): </w:t>
      </w:r>
    </w:p>
    <w:p w:rsidR="00877963" w:rsidRPr="00877963" w:rsidRDefault="00877963" w:rsidP="00C47BE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Provést kvalitativní vyhodnocení výsledků z MOK (mezioperační kontrola – centrální laboratoře) a provozního měření (teplota, tlak apod.) a popsat následné činnosti, jsou-li výsledky mimo určené meze.</w:t>
      </w:r>
    </w:p>
    <w:p w:rsidR="00877963" w:rsidRPr="00877963" w:rsidRDefault="00877963" w:rsidP="00C47BE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Posoudit sledované parametry a technologické situace a navrhnout opatření (další technologický postup) na základě získaných výsledků.</w:t>
      </w:r>
    </w:p>
    <w:p w:rsidR="00877963" w:rsidRPr="00877963" w:rsidRDefault="00877963" w:rsidP="00C47BE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Rozpoznat potenciálnost nekvalitního produktu z daného technologického procesu (z odchylky od předepsaného technologického režimu – fluktuace hodnot). </w:t>
      </w:r>
    </w:p>
    <w:p w:rsidR="00877963" w:rsidRPr="00877963" w:rsidRDefault="00877963" w:rsidP="00C47BE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Provést korekci podmínek technologického režimu pro dosažení žádané kvality produktu dle IŘD.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>Měření fyzikálně-chemických veličin v chemické výrobě (3 hodiny):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Popsat měřené veličiny a jejich jednotky, provést potřebné výpočty a vysvětlit principy základních měřicích přístrojů.</w:t>
      </w:r>
    </w:p>
    <w:p w:rsidR="00877963" w:rsidRPr="00877963" w:rsidRDefault="00877963" w:rsidP="00C47BE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/>
          <w:vanish/>
          <w:u w:val="single"/>
        </w:rPr>
      </w:pPr>
    </w:p>
    <w:p w:rsidR="00877963" w:rsidRPr="00877963" w:rsidRDefault="00877963" w:rsidP="00C47BE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/>
          <w:vanish/>
          <w:u w:val="single"/>
        </w:rPr>
      </w:pPr>
    </w:p>
    <w:p w:rsidR="00877963" w:rsidRPr="00877963" w:rsidRDefault="00877963" w:rsidP="00C47BE9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/>
          <w:vanish/>
          <w:u w:val="single"/>
        </w:rPr>
      </w:pPr>
    </w:p>
    <w:p w:rsidR="00877963" w:rsidRPr="00877963" w:rsidRDefault="00877963" w:rsidP="00C47BE9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/>
          <w:vanish/>
          <w:u w:val="single"/>
        </w:rPr>
      </w:pPr>
    </w:p>
    <w:p w:rsidR="00877963" w:rsidRPr="00877963" w:rsidRDefault="00877963" w:rsidP="00C47BE9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/>
          <w:vanish/>
          <w:u w:val="single"/>
        </w:rPr>
      </w:pPr>
    </w:p>
    <w:p w:rsidR="00877963" w:rsidRPr="00877963" w:rsidRDefault="00877963" w:rsidP="00C47BE9">
      <w:pPr>
        <w:spacing w:before="120" w:after="120"/>
        <w:ind w:left="357"/>
        <w:jc w:val="both"/>
        <w:rPr>
          <w:rFonts w:asciiTheme="majorHAnsi" w:hAnsiTheme="majorHAnsi"/>
          <w:sz w:val="22"/>
          <w:szCs w:val="22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 xml:space="preserve">Příprava surovin pro chemickou výrobu (5 hodin): 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Za pomoci IŘD popsat předepsané suroviny, jejich kvalitu, vlastnosti, případně jejich přípravu pro zadaný technologický proces. Popsat, případně vyhledat a interpretovat, jaké mají mít vlastnosti, parametry a jaké jsou jejich rizika z hlediska ochrany zdraví a bezpečnosti práce.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>Vedení předepsané výrobní dokumentace (záznamů) (8 hodin):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Popsat průběh technologického procesu včetně příslušných zařízení, uvést jeho parametry a podmínky.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Zaznamenat v souladu s provozními předpisy údaje o chodu zařízení, dávkování surovin, MOK a zásahů do technologie.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Zaznamenat v souladu s provozními předpisy údaje o poruchách a opravách provozních zařízení.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>Obsluha technologických zařízení v chemické výrobě (13 hodin):</w:t>
      </w:r>
    </w:p>
    <w:p w:rsidR="00877963" w:rsidRPr="00877963" w:rsidRDefault="00877963" w:rsidP="00C47BE9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Popsat základní úkony při nájezdu, plynulém chodu a odstavení (řízeném i neřízeném) technologie. Charakterizovat důležitost a provázanost jednotlivých úkonů v návaznosti na kvantitu a kvalitu finálního produktu.</w:t>
      </w:r>
    </w:p>
    <w:p w:rsidR="00877963" w:rsidRPr="00877963" w:rsidRDefault="00877963" w:rsidP="00C47BE9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Ukázat soulad mezi pracovním postupem a postupem popsaným v IŘD.</w:t>
      </w:r>
    </w:p>
    <w:p w:rsidR="00877963" w:rsidRPr="00877963" w:rsidRDefault="00877963" w:rsidP="00C47BE9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Popsat možné zásahy při mimořádných situacích (od havarijního stavu, přes výkyv v kvalitě po poruchu zařízení).</w:t>
      </w:r>
    </w:p>
    <w:p w:rsidR="00877963" w:rsidRPr="00877963" w:rsidRDefault="00877963" w:rsidP="00C47BE9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Dodržet při obsluze a provozu stroje či zařízení používaného při technologických operacích bezpečnostní a požární předpisy (včetně orientace v příslušné IŘD).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>Dodržování BOZP, hygieny práce, PO a ochrany ŽP (5 hodin):</w:t>
      </w:r>
    </w:p>
    <w:p w:rsidR="00877963" w:rsidRPr="00877963" w:rsidRDefault="00877963" w:rsidP="00C47BE9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Dodržovat zásady bezpečné práce s chemickými látkami (surovinami) a zařízením, včetně používání vhodných OOPP.</w:t>
      </w:r>
    </w:p>
    <w:p w:rsidR="00877963" w:rsidRPr="00877963" w:rsidRDefault="00877963" w:rsidP="00C47BE9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Dodržovat hygienické předpisy.</w:t>
      </w:r>
    </w:p>
    <w:p w:rsidR="00877963" w:rsidRPr="00877963" w:rsidRDefault="00877963" w:rsidP="00C47BE9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lastRenderedPageBreak/>
        <w:t>Orientovat se v hlavních zásadách práce v systému environmentálního řízení, posoudit možné negativní vlivy provozu na životní prostředí při nedodržení technologických postupů.</w:t>
      </w:r>
    </w:p>
    <w:p w:rsidR="00877963" w:rsidRPr="00877963" w:rsidRDefault="00877963" w:rsidP="00C47BE9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Dodržovat IŘD BOZP (bezpečnost a ochrana zdraví při práci) a požární ochrany, dodržovat zásady práce v zavedeném systému řízení bezpečnosti a ochrany zdraví při práci.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>Exkurze na jiných výrobnách v areálu Lovochemie, a.s. (20 hodin)</w:t>
      </w:r>
    </w:p>
    <w:p w:rsidR="00877963" w:rsidRPr="00877963" w:rsidRDefault="00877963" w:rsidP="00C47BE9">
      <w:pPr>
        <w:pStyle w:val="Odstavecseseznamem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Součástí praktické výuky bude exkurze s podrobnějším výkladem ohledně výrobní technologie, dálkového řídicího systému, nakládání se surovinami a skladování produktů, na výrobnách KD, LAV III, LV, UGL, v případě zájmu i menších výrobnách typu DAM, listových hnojiv či AdBlue, energetiky nebo VH.</w:t>
      </w:r>
    </w:p>
    <w:p w:rsidR="009F5DA2" w:rsidRPr="00877963" w:rsidRDefault="009F5DA2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sectPr w:rsidR="009F5DA2" w:rsidRPr="00877963" w:rsidSect="00195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9A" w:rsidRDefault="001A119A" w:rsidP="002B7822">
      <w:r>
        <w:separator/>
      </w:r>
    </w:p>
  </w:endnote>
  <w:endnote w:type="continuationSeparator" w:id="0">
    <w:p w:rsidR="001A119A" w:rsidRDefault="001A119A" w:rsidP="002B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9A" w:rsidRDefault="001A119A" w:rsidP="002B7822">
      <w:r>
        <w:separator/>
      </w:r>
    </w:p>
  </w:footnote>
  <w:footnote w:type="continuationSeparator" w:id="0">
    <w:p w:rsidR="001A119A" w:rsidRDefault="001A119A" w:rsidP="002B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Pr="00B24F30" w:rsidRDefault="00877963" w:rsidP="002B7822">
    <w:pPr>
      <w:pStyle w:val="Zhlav"/>
      <w:tabs>
        <w:tab w:val="clear" w:pos="9072"/>
        <w:tab w:val="left" w:pos="-851"/>
        <w:tab w:val="left" w:pos="7020"/>
        <w:tab w:val="left" w:pos="7080"/>
        <w:tab w:val="left" w:pos="7788"/>
        <w:tab w:val="left" w:pos="8496"/>
      </w:tabs>
      <w:rPr>
        <w:sz w:val="22"/>
        <w:szCs w:val="22"/>
      </w:rPr>
    </w:pPr>
    <w:r>
      <w:rPr>
        <w:noProof/>
        <w:sz w:val="22"/>
        <w:szCs w:val="2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-6350</wp:posOffset>
          </wp:positionV>
          <wp:extent cx="2343785" cy="379730"/>
          <wp:effectExtent l="19050" t="0" r="0" b="0"/>
          <wp:wrapTight wrapText="bothSides">
            <wp:wrapPolygon edited="0">
              <wp:start x="-176" y="0"/>
              <wp:lineTo x="-176" y="20589"/>
              <wp:lineTo x="21594" y="20589"/>
              <wp:lineTo x="21594" y="0"/>
              <wp:lineTo x="-176" y="0"/>
            </wp:wrapPolygon>
          </wp:wrapTight>
          <wp:docPr id="1" name="Obráze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29845</wp:posOffset>
          </wp:positionV>
          <wp:extent cx="1112520" cy="135255"/>
          <wp:effectExtent l="19050" t="0" r="0" b="0"/>
          <wp:wrapTight wrapText="bothSides">
            <wp:wrapPolygon edited="0">
              <wp:start x="-370" y="0"/>
              <wp:lineTo x="-370" y="18254"/>
              <wp:lineTo x="21452" y="18254"/>
              <wp:lineTo x="21452" y="0"/>
              <wp:lineTo x="-370" y="0"/>
            </wp:wrapPolygon>
          </wp:wrapTight>
          <wp:docPr id="2" name="Obrázek 2" descr="logo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ww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35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7963" w:rsidRPr="00B24F30" w:rsidRDefault="00877963" w:rsidP="002B7822">
    <w:pPr>
      <w:pStyle w:val="Zhlav"/>
      <w:tabs>
        <w:tab w:val="clear" w:pos="9072"/>
        <w:tab w:val="left" w:pos="7020"/>
        <w:tab w:val="left" w:pos="7080"/>
        <w:tab w:val="left" w:pos="7788"/>
        <w:tab w:val="left" w:pos="8496"/>
        <w:tab w:val="left" w:pos="9204"/>
      </w:tabs>
      <w:rPr>
        <w:sz w:val="22"/>
        <w:szCs w:val="22"/>
      </w:rPr>
    </w:pPr>
  </w:p>
  <w:p w:rsidR="00877963" w:rsidRPr="00B24F30" w:rsidRDefault="00877963" w:rsidP="002B7822">
    <w:pPr>
      <w:pStyle w:val="Zhlav"/>
      <w:tabs>
        <w:tab w:val="clear" w:pos="9072"/>
        <w:tab w:val="left" w:pos="7020"/>
        <w:tab w:val="left" w:pos="7080"/>
        <w:tab w:val="left" w:pos="7788"/>
        <w:tab w:val="left" w:pos="8496"/>
        <w:tab w:val="left" w:pos="9204"/>
      </w:tabs>
      <w:rPr>
        <w:sz w:val="22"/>
        <w:szCs w:val="22"/>
      </w:rPr>
    </w:pPr>
  </w:p>
  <w:p w:rsidR="00877963" w:rsidRPr="00B24F30" w:rsidRDefault="00877963" w:rsidP="002B7822">
    <w:pPr>
      <w:jc w:val="right"/>
      <w:rPr>
        <w:color w:val="00AEC7"/>
        <w:sz w:val="22"/>
        <w:szCs w:val="22"/>
      </w:rPr>
    </w:pPr>
    <w:r w:rsidRPr="00B24F30">
      <w:rPr>
        <w:color w:val="00AEC7"/>
        <w:sz w:val="22"/>
        <w:szCs w:val="22"/>
      </w:rPr>
      <w:t xml:space="preserve"> </w:t>
    </w:r>
    <w:r w:rsidRPr="00B24F30">
      <w:rPr>
        <w:color w:val="00AEC7"/>
        <w:sz w:val="22"/>
        <w:szCs w:val="22"/>
      </w:rPr>
      <w:fldChar w:fldCharType="begin"/>
    </w:r>
    <w:r w:rsidRPr="00B24F30">
      <w:rPr>
        <w:color w:val="00AEC7"/>
        <w:sz w:val="22"/>
        <w:szCs w:val="22"/>
      </w:rPr>
      <w:instrText xml:space="preserve"> PAGE </w:instrText>
    </w:r>
    <w:r w:rsidRPr="00B24F30">
      <w:rPr>
        <w:color w:val="00AEC7"/>
        <w:sz w:val="22"/>
        <w:szCs w:val="22"/>
      </w:rPr>
      <w:fldChar w:fldCharType="separate"/>
    </w:r>
    <w:r w:rsidR="00290481">
      <w:rPr>
        <w:noProof/>
        <w:color w:val="00AEC7"/>
        <w:sz w:val="22"/>
        <w:szCs w:val="22"/>
      </w:rPr>
      <w:t>2</w:t>
    </w:r>
    <w:r w:rsidRPr="00B24F30">
      <w:rPr>
        <w:color w:val="00AEC7"/>
        <w:sz w:val="22"/>
        <w:szCs w:val="22"/>
      </w:rPr>
      <w:fldChar w:fldCharType="end"/>
    </w:r>
    <w:r w:rsidRPr="00B24F30">
      <w:rPr>
        <w:color w:val="00AEC7"/>
        <w:sz w:val="22"/>
        <w:szCs w:val="22"/>
      </w:rPr>
      <w:t>/</w:t>
    </w:r>
    <w:r w:rsidRPr="00B24F30">
      <w:rPr>
        <w:color w:val="00AEC7"/>
        <w:sz w:val="22"/>
        <w:szCs w:val="22"/>
      </w:rPr>
      <w:fldChar w:fldCharType="begin"/>
    </w:r>
    <w:r w:rsidRPr="00B24F30">
      <w:rPr>
        <w:color w:val="00AEC7"/>
        <w:sz w:val="22"/>
        <w:szCs w:val="22"/>
      </w:rPr>
      <w:instrText xml:space="preserve"> NUMPAGES  </w:instrText>
    </w:r>
    <w:r w:rsidRPr="00B24F30">
      <w:rPr>
        <w:color w:val="00AEC7"/>
        <w:sz w:val="22"/>
        <w:szCs w:val="22"/>
      </w:rPr>
      <w:fldChar w:fldCharType="separate"/>
    </w:r>
    <w:r w:rsidR="00290481">
      <w:rPr>
        <w:noProof/>
        <w:color w:val="00AEC7"/>
        <w:sz w:val="22"/>
        <w:szCs w:val="22"/>
      </w:rPr>
      <w:t>3</w:t>
    </w:r>
    <w:r w:rsidRPr="00B24F30">
      <w:rPr>
        <w:color w:val="00AEC7"/>
        <w:sz w:val="22"/>
        <w:szCs w:val="22"/>
      </w:rPr>
      <w:fldChar w:fldCharType="end"/>
    </w:r>
  </w:p>
  <w:p w:rsidR="00877963" w:rsidRPr="002B7822" w:rsidRDefault="00877963" w:rsidP="002B7822">
    <w:pPr>
      <w:spacing w:line="276" w:lineRule="auto"/>
      <w:rPr>
        <w:rFonts w:ascii="Garamond" w:hAnsi="Garamond"/>
        <w:b/>
        <w:bCs/>
        <w:sz w:val="22"/>
        <w:szCs w:val="22"/>
      </w:rPr>
    </w:pPr>
    <w:r>
      <w:rPr>
        <w:rFonts w:ascii="Garamond" w:hAnsi="Garamond"/>
        <w:b/>
        <w:bCs/>
        <w:sz w:val="22"/>
        <w:szCs w:val="22"/>
      </w:rPr>
      <w:t>PŘÍLOHA Č. 1 KE SMLOUVĚ</w:t>
    </w:r>
    <w:r w:rsidRPr="00A1250F">
      <w:rPr>
        <w:rFonts w:ascii="Garamond" w:hAnsi="Garamond"/>
        <w:b/>
        <w:bCs/>
        <w:sz w:val="22"/>
        <w:szCs w:val="22"/>
      </w:rPr>
      <w:t xml:space="preserve"> O ZAJIŠTĚNÍ REALIZACE</w:t>
    </w:r>
    <w:r>
      <w:rPr>
        <w:rFonts w:ascii="Garamond" w:hAnsi="Garamond"/>
        <w:b/>
        <w:bCs/>
        <w:sz w:val="22"/>
        <w:szCs w:val="22"/>
      </w:rPr>
      <w:t xml:space="preserve"> </w:t>
    </w:r>
    <w:r w:rsidRPr="00A1250F">
      <w:rPr>
        <w:rFonts w:ascii="Garamond" w:hAnsi="Garamond"/>
        <w:b/>
        <w:bCs/>
        <w:sz w:val="22"/>
        <w:szCs w:val="22"/>
      </w:rPr>
      <w:t>REKVALIFIKAČNÍHO KURZU</w:t>
    </w:r>
    <w:r>
      <w:rPr>
        <w:rFonts w:ascii="Garamond" w:hAnsi="Garamond"/>
        <w:b/>
        <w:bCs/>
        <w:sz w:val="22"/>
        <w:szCs w:val="22"/>
      </w:rPr>
      <w:t xml:space="preserve"> </w:t>
    </w:r>
    <w:r w:rsidRPr="00A1250F">
      <w:rPr>
        <w:rFonts w:ascii="Garamond" w:hAnsi="Garamond"/>
        <w:b/>
        <w:bCs/>
        <w:sz w:val="22"/>
        <w:szCs w:val="22"/>
      </w:rPr>
      <w:t>„</w:t>
    </w:r>
    <w:r>
      <w:rPr>
        <w:rFonts w:ascii="Garamond" w:hAnsi="Garamond"/>
        <w:b/>
        <w:bCs/>
        <w:sz w:val="22"/>
        <w:szCs w:val="22"/>
      </w:rPr>
      <w:t>CHEMIK PRO OBSLUHU ZAŘÍZENÍ</w:t>
    </w:r>
    <w:r w:rsidRPr="00A1250F">
      <w:rPr>
        <w:rFonts w:ascii="Garamond" w:hAnsi="Garamond"/>
        <w:b/>
        <w:bCs/>
        <w:sz w:val="22"/>
        <w:szCs w:val="22"/>
      </w:rPr>
      <w:t>“</w:t>
    </w:r>
    <w:r>
      <w:rPr>
        <w:rFonts w:ascii="Garamond" w:hAnsi="Garamond"/>
        <w:b/>
        <w:bCs/>
        <w:sz w:val="22"/>
        <w:szCs w:val="22"/>
      </w:rPr>
      <w:t xml:space="preserve"> – SPECIFIKACE KURZU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A3C"/>
    <w:multiLevelType w:val="hybridMultilevel"/>
    <w:tmpl w:val="1092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B17F9"/>
    <w:multiLevelType w:val="multilevel"/>
    <w:tmpl w:val="FCD4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C06176"/>
    <w:multiLevelType w:val="hybridMultilevel"/>
    <w:tmpl w:val="336AB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76CC7"/>
    <w:multiLevelType w:val="hybridMultilevel"/>
    <w:tmpl w:val="D7BE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A08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3E4D8C"/>
    <w:multiLevelType w:val="hybridMultilevel"/>
    <w:tmpl w:val="CC8CC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21529"/>
    <w:multiLevelType w:val="hybridMultilevel"/>
    <w:tmpl w:val="D1BA8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82F2D"/>
    <w:multiLevelType w:val="hybridMultilevel"/>
    <w:tmpl w:val="404CF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D6729"/>
    <w:multiLevelType w:val="hybridMultilevel"/>
    <w:tmpl w:val="59C0A7FE"/>
    <w:lvl w:ilvl="0" w:tplc="379A9D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74E0B"/>
    <w:multiLevelType w:val="hybridMultilevel"/>
    <w:tmpl w:val="428E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C0C1C"/>
    <w:multiLevelType w:val="hybridMultilevel"/>
    <w:tmpl w:val="AA503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F4836"/>
    <w:multiLevelType w:val="hybridMultilevel"/>
    <w:tmpl w:val="2624A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C60FC"/>
    <w:multiLevelType w:val="hybridMultilevel"/>
    <w:tmpl w:val="C04EE9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822"/>
    <w:rsid w:val="00027107"/>
    <w:rsid w:val="00041FE7"/>
    <w:rsid w:val="00123A7C"/>
    <w:rsid w:val="00195CC8"/>
    <w:rsid w:val="001A119A"/>
    <w:rsid w:val="00290481"/>
    <w:rsid w:val="00296E7D"/>
    <w:rsid w:val="002B7822"/>
    <w:rsid w:val="00341919"/>
    <w:rsid w:val="003C0124"/>
    <w:rsid w:val="003F6F31"/>
    <w:rsid w:val="00417BDB"/>
    <w:rsid w:val="00487881"/>
    <w:rsid w:val="004A4C35"/>
    <w:rsid w:val="004E4B50"/>
    <w:rsid w:val="005441CB"/>
    <w:rsid w:val="00666508"/>
    <w:rsid w:val="00681B4D"/>
    <w:rsid w:val="00707EB0"/>
    <w:rsid w:val="007F6F0B"/>
    <w:rsid w:val="00877963"/>
    <w:rsid w:val="008E58FA"/>
    <w:rsid w:val="009301BE"/>
    <w:rsid w:val="00937917"/>
    <w:rsid w:val="00946656"/>
    <w:rsid w:val="009E0AD3"/>
    <w:rsid w:val="009F5DA2"/>
    <w:rsid w:val="00A10395"/>
    <w:rsid w:val="00A700C2"/>
    <w:rsid w:val="00A733AC"/>
    <w:rsid w:val="00A74B29"/>
    <w:rsid w:val="00A846B2"/>
    <w:rsid w:val="00B37037"/>
    <w:rsid w:val="00B83DED"/>
    <w:rsid w:val="00BC2DA2"/>
    <w:rsid w:val="00C00D40"/>
    <w:rsid w:val="00C47BE9"/>
    <w:rsid w:val="00C56FE8"/>
    <w:rsid w:val="00EC61E5"/>
    <w:rsid w:val="00ED75D0"/>
    <w:rsid w:val="00F272FC"/>
    <w:rsid w:val="00F71BE1"/>
    <w:rsid w:val="00F8042B"/>
    <w:rsid w:val="00FC4F08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AD1FDA-DC49-4D40-BC99-CDA69961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82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822"/>
    <w:rPr>
      <w:rFonts w:ascii="Arial" w:eastAsia="Times New Roman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B7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7822"/>
    <w:rPr>
      <w:rFonts w:ascii="Arial" w:eastAsia="Times New Roman" w:hAnsi="Arial" w:cs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F5DA2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73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3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3AC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3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3A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3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22AC-633D-464A-B3C3-AC7D9DA0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Lovochemie, a.s.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Segečová</dc:creator>
  <cp:lastModifiedBy>Štráchalová Jiřina</cp:lastModifiedBy>
  <cp:revision>2</cp:revision>
  <dcterms:created xsi:type="dcterms:W3CDTF">2017-09-27T13:29:00Z</dcterms:created>
  <dcterms:modified xsi:type="dcterms:W3CDTF">2017-09-27T13:29:00Z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-660046505</vt:i4>
  </property>
  <property fmtid="{D5CDD505-2E9C-101B-9397-08002B2CF9AE}" pid="3" name="_NewReviewCycle">
    <vt:lpwstr/>
  </property>
  <property fmtid="{D5CDD505-2E9C-101B-9397-08002B2CF9AE}" pid="4" name="_EmailSubject">
    <vt:lpwstr>Návrh smlouvy </vt:lpwstr>
  </property>
  <property fmtid="{D5CDD505-2E9C-101B-9397-08002B2CF9AE}" pid="5" name="_AuthorEmail">
    <vt:lpwstr>Michal.Kurka@lovochemie.cz</vt:lpwstr>
  </property>
  <property fmtid="{D5CDD505-2E9C-101B-9397-08002B2CF9AE}" pid="6" name="_AuthorEmailDisplayName">
    <vt:lpwstr>Kurka Michal</vt:lpwstr>
  </property>
  <property fmtid="{D5CDD505-2E9C-101B-9397-08002B2CF9AE}" pid="7" name="_PreviousAdHocReviewCycleID">
    <vt:i4>164518618</vt:i4>
  </property>
  <property fmtid="{D5CDD505-2E9C-101B-9397-08002B2CF9AE}" pid="8" name="_ReviewingToolsShownOnce">
    <vt:lpwstr/>
  </property>
</Properties>
</file>