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812/2025</w:t>
      </w:r>
    </w:p>
    <w:p>
      <w:pPr>
        <w:pStyle w:val="Style10"/>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hd w:val="clear" w:color="auto" w:fill="auto"/>
          <w:lang w:val="cs-CZ" w:eastAsia="cs-CZ" w:bidi="cs-CZ"/>
        </w:rPr>
        <w:t>Č. 34/18/2025</w:t>
        <w:br/>
        <w:t>o zřízení služebnosti,</w:t>
        <w:br/>
      </w: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br/>
        <w:t>uzavřena podle § 1257 a násl. zákona č. 89/2012 Sb., občanského zákoníku v platném znění</w:t>
      </w:r>
    </w:p>
    <w:p>
      <w:pPr>
        <w:pStyle w:val="Style13"/>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SMLUVNÍ STRANY</w:t>
      </w:r>
      <w:bookmarkEnd w:id="0"/>
      <w:bookmarkEnd w:id="1"/>
      <w:bookmarkEnd w:id="2"/>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Krajského soudu v Ústí nad Labem v oddílu A, vložce č. 13052 se sídlem: Chomutov, Bezručova 4219, PSČ 430 03 statutární orgán: generální ředitel zastoupený ve věcech smluvních: ekonomickým ředitelem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IČO/DIČ: bankovní spojení: č. ú.: kontaktní osoba:</w:t>
      </w:r>
    </w:p>
    <w:p>
      <w:pPr>
        <w:pStyle w:val="Style10"/>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Povinný ze služebnosti </w:t>
      </w: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povinný</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Ústecký kraj </w:t>
      </w:r>
      <w:r>
        <w:rPr>
          <w:color w:val="000000"/>
          <w:spacing w:val="0"/>
          <w:w w:val="100"/>
          <w:position w:val="0"/>
          <w:shd w:val="clear" w:color="auto" w:fill="auto"/>
          <w:lang w:val="cs-CZ" w:eastAsia="cs-CZ" w:bidi="cs-CZ"/>
        </w:rPr>
        <w:t>se sídlem: Velká Hradební 3118/48, 400 02 Ústí nad Labem zastoupený:</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IČO/DIČ: bankovní spojení, č. účtu: 882733379/0800 </w:t>
      </w:r>
      <w:r>
        <w:rPr>
          <w:b/>
          <w:bCs/>
          <w:color w:val="000000"/>
          <w:spacing w:val="0"/>
          <w:w w:val="100"/>
          <w:position w:val="0"/>
          <w:shd w:val="clear" w:color="auto" w:fill="auto"/>
          <w:lang w:val="cs-CZ" w:eastAsia="cs-CZ" w:bidi="cs-CZ"/>
        </w:rPr>
        <w:t xml:space="preserve">Oprávněný ze služebnosti </w:t>
      </w: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oprávněný</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Statutární město Most </w:t>
      </w:r>
      <w:r>
        <w:rPr>
          <w:color w:val="000000"/>
          <w:spacing w:val="0"/>
          <w:w w:val="100"/>
          <w:position w:val="0"/>
          <w:shd w:val="clear" w:color="auto" w:fill="auto"/>
          <w:lang w:val="cs-CZ" w:eastAsia="cs-CZ" w:bidi="cs-CZ"/>
        </w:rPr>
        <w:t>se sídlem Radniční 1/2, 434 01 Most 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 pffbfvy zastoupeno: primátorem města</w:t>
      </w:r>
    </w:p>
    <w:p>
      <w:pPr>
        <w:pStyle w:val="Style10"/>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IČO/DIČ: dále jen „</w:t>
      </w:r>
      <w:r>
        <w:rPr>
          <w:b/>
          <w:bCs/>
          <w:color w:val="000000"/>
          <w:spacing w:val="0"/>
          <w:w w:val="100"/>
          <w:position w:val="0"/>
          <w:shd w:val="clear" w:color="auto" w:fill="auto"/>
          <w:lang w:val="cs-CZ" w:eastAsia="cs-CZ" w:bidi="cs-CZ"/>
        </w:rPr>
        <w:t>investor</w:t>
      </w:r>
      <w:r>
        <w:rPr>
          <w:color w:val="000000"/>
          <w:spacing w:val="0"/>
          <w:w w:val="100"/>
          <w:position w:val="0"/>
          <w:shd w:val="clear" w:color="auto" w:fill="auto"/>
          <w:lang w:val="cs-CZ" w:eastAsia="cs-CZ" w:bidi="cs-CZ"/>
        </w:rPr>
        <w:t>“</w:t>
      </w:r>
    </w:p>
    <w:p>
      <w:pPr>
        <w:pStyle w:val="Style13"/>
        <w:keepNext/>
        <w:keepLines/>
        <w:widowControl w:val="0"/>
        <w:numPr>
          <w:ilvl w:val="0"/>
          <w:numId w:val="1"/>
        </w:numPr>
        <w:shd w:val="clear" w:color="auto" w:fill="auto"/>
        <w:tabs>
          <w:tab w:pos="310" w:val="left"/>
        </w:tabs>
        <w:bidi w:val="0"/>
        <w:spacing w:before="0" w:after="0" w:line="240" w:lineRule="auto"/>
        <w:ind w:left="0" w:right="0" w:firstLine="0"/>
        <w:jc w:val="center"/>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PROHLÁŠENÍ O PRÁVNÍM A FAKTICKÉM STAVU</w:t>
      </w:r>
      <w:bookmarkEnd w:id="3"/>
      <w:bookmarkEnd w:id="4"/>
      <w:bookmarkEnd w:id="6"/>
    </w:p>
    <w:p>
      <w:pPr>
        <w:pStyle w:val="Style10"/>
        <w:keepNext w:val="0"/>
        <w:keepLines w:val="0"/>
        <w:widowControl w:val="0"/>
        <w:numPr>
          <w:ilvl w:val="0"/>
          <w:numId w:val="3"/>
        </w:numPr>
        <w:shd w:val="clear" w:color="auto" w:fill="auto"/>
        <w:tabs>
          <w:tab w:pos="427" w:val="left"/>
        </w:tabs>
        <w:bidi w:val="0"/>
        <w:spacing w:before="0" w:after="180" w:line="240" w:lineRule="auto"/>
        <w:ind w:left="0" w:right="0" w:firstLine="0"/>
        <w:jc w:val="left"/>
      </w:pPr>
      <w:bookmarkStart w:id="7" w:name="bookmark7"/>
      <w:bookmarkEnd w:id="7"/>
      <w:r>
        <w:rPr>
          <w:color w:val="000000"/>
          <w:spacing w:val="0"/>
          <w:w w:val="100"/>
          <w:position w:val="0"/>
          <w:shd w:val="clear" w:color="auto" w:fill="auto"/>
          <w:lang w:val="cs-CZ" w:eastAsia="cs-CZ" w:bidi="cs-CZ"/>
        </w:rPr>
        <w:t>Povinný prohlašuje, že má právo hospodařit s majetkem státu, a to s pozemky:</w:t>
      </w:r>
    </w:p>
    <w:tbl>
      <w:tblPr>
        <w:tblOverlap w:val="never"/>
        <w:jc w:val="center"/>
        <w:tblLayout w:type="fixed"/>
      </w:tblPr>
      <w:tblGrid>
        <w:gridCol w:w="998"/>
        <w:gridCol w:w="994"/>
        <w:gridCol w:w="1277"/>
        <w:gridCol w:w="1555"/>
        <w:gridCol w:w="1843"/>
        <w:gridCol w:w="1992"/>
      </w:tblGrid>
      <w:tr>
        <w:trPr>
          <w:trHeight w:val="26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p. p. č.</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k. ú.</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LV č.</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výměra v m</w:t>
            </w:r>
            <w:r>
              <w:rPr>
                <w:b/>
                <w:bCs/>
                <w:color w:val="EBEBEB"/>
                <w:spacing w:val="0"/>
                <w:w w:val="100"/>
                <w:position w:val="0"/>
                <w:shd w:val="clear" w:color="auto" w:fill="auto"/>
                <w:vertAlign w:val="superscript"/>
                <w:lang w:val="cs-CZ" w:eastAsia="cs-CZ" w:bidi="cs-CZ"/>
              </w:rPr>
              <w:t>2</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EBEBEB"/>
                <w:spacing w:val="0"/>
                <w:w w:val="100"/>
                <w:position w:val="0"/>
                <w:shd w:val="clear" w:color="auto" w:fill="auto"/>
                <w:lang w:val="cs-CZ" w:eastAsia="cs-CZ" w:bidi="cs-CZ"/>
              </w:rPr>
              <w:t>druh pozemku</w:t>
            </w:r>
          </w:p>
        </w:tc>
        <w:tc>
          <w:tcPr>
            <w:tcBorders>
              <w:top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100" w:right="0" w:firstLine="0"/>
              <w:jc w:val="center"/>
            </w:pPr>
            <w:r>
              <w:rPr>
                <w:b/>
                <w:bCs/>
                <w:color w:val="EBEBEB"/>
                <w:spacing w:val="0"/>
                <w:w w:val="100"/>
                <w:position w:val="0"/>
                <w:shd w:val="clear" w:color="auto" w:fill="auto"/>
                <w:lang w:val="cs-CZ" w:eastAsia="cs-CZ" w:bidi="cs-CZ"/>
              </w:rPr>
              <w:t>výměra VB v m</w:t>
            </w:r>
            <w:r>
              <w:rPr>
                <w:b/>
                <w:bCs/>
                <w:color w:val="EBEBEB"/>
                <w:spacing w:val="0"/>
                <w:w w:val="100"/>
                <w:position w:val="0"/>
                <w:shd w:val="clear" w:color="auto" w:fill="auto"/>
                <w:vertAlign w:val="superscript"/>
                <w:lang w:val="cs-CZ" w:eastAsia="cs-CZ" w:bidi="cs-CZ"/>
              </w:rPr>
              <w:t>2</w:t>
            </w:r>
          </w:p>
        </w:tc>
      </w:tr>
      <w:tr>
        <w:trPr>
          <w:trHeight w:val="25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135/1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 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3738</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8 704</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94</w:t>
            </w:r>
          </w:p>
        </w:tc>
      </w:tr>
      <w:tr>
        <w:trPr>
          <w:trHeight w:val="25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136</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 I</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3738</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67 475</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Vodní plocha</w:t>
            </w:r>
          </w:p>
        </w:tc>
        <w:tc>
          <w:tcPr>
            <w:tcBorders>
              <w:top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427</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7539</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 II</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4289</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18 563</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108</w:t>
            </w:r>
          </w:p>
        </w:tc>
      </w:tr>
    </w:tbl>
    <w:p>
      <w:pPr>
        <w:widowControl w:val="0"/>
        <w:spacing w:after="179" w:line="1" w:lineRule="exact"/>
      </w:pPr>
    </w:p>
    <w:p>
      <w:pPr>
        <w:pStyle w:val="Style10"/>
        <w:keepNext w:val="0"/>
        <w:keepLines w:val="0"/>
        <w:widowControl w:val="0"/>
        <w:shd w:val="clear" w:color="auto" w:fill="auto"/>
        <w:bidi w:val="0"/>
        <w:spacing w:before="0" w:after="180" w:line="240" w:lineRule="auto"/>
        <w:ind w:left="440" w:right="0" w:firstLine="0"/>
        <w:jc w:val="left"/>
      </w:pPr>
      <w:r>
        <w:rPr>
          <w:color w:val="000000"/>
          <w:spacing w:val="0"/>
          <w:w w:val="100"/>
          <w:position w:val="0"/>
          <w:shd w:val="clear" w:color="auto" w:fill="auto"/>
          <w:lang w:val="cs-CZ" w:eastAsia="cs-CZ" w:bidi="cs-CZ"/>
        </w:rPr>
        <w:t>Pozemky jsou vedeny pro katastrální území Most I, Most II a obec Most u Katastrálního úřadu pro Ústecký kraj, Katastrálního pracoviště Most (dále jen „</w:t>
      </w:r>
      <w:r>
        <w:rPr>
          <w:i/>
          <w:iCs/>
          <w:color w:val="000000"/>
          <w:spacing w:val="0"/>
          <w:w w:val="100"/>
          <w:position w:val="0"/>
          <w:shd w:val="clear" w:color="auto" w:fill="auto"/>
          <w:lang w:val="cs-CZ" w:eastAsia="cs-CZ" w:bidi="cs-CZ"/>
        </w:rPr>
        <w:t>služebné pozemky</w:t>
      </w:r>
      <w:r>
        <w:rPr>
          <w:color w:val="000000"/>
          <w:spacing w:val="0"/>
          <w:w w:val="100"/>
          <w:position w:val="0"/>
          <w:shd w:val="clear" w:color="auto" w:fill="auto"/>
          <w:lang w:val="cs-CZ" w:eastAsia="cs-CZ" w:bidi="cs-CZ"/>
        </w:rPr>
        <w:t>“).</w:t>
      </w:r>
    </w:p>
    <w:p>
      <w:pPr>
        <w:pStyle w:val="Style10"/>
        <w:keepNext w:val="0"/>
        <w:keepLines w:val="0"/>
        <w:widowControl w:val="0"/>
        <w:numPr>
          <w:ilvl w:val="0"/>
          <w:numId w:val="3"/>
        </w:numPr>
        <w:shd w:val="clear" w:color="auto" w:fill="auto"/>
        <w:tabs>
          <w:tab w:pos="427" w:val="left"/>
        </w:tabs>
        <w:bidi w:val="0"/>
        <w:spacing w:before="0" w:after="480" w:line="228" w:lineRule="auto"/>
        <w:ind w:left="440" w:right="0" w:hanging="440"/>
        <w:jc w:val="left"/>
      </w:pPr>
      <w:bookmarkStart w:id="8" w:name="bookmark8"/>
      <w:bookmarkEnd w:id="8"/>
      <w:r>
        <w:rPr>
          <w:color w:val="000000"/>
          <w:spacing w:val="0"/>
          <w:w w:val="100"/>
          <w:position w:val="0"/>
          <w:shd w:val="clear" w:color="auto" w:fill="auto"/>
          <w:lang w:val="cs-CZ" w:eastAsia="cs-CZ" w:bidi="cs-CZ"/>
        </w:rPr>
        <w:t xml:space="preserve">Oprávněný prohlašuje, že je nebo se v dohledné době stane vlastníkem a provozovatelem stavby </w:t>
      </w:r>
      <w:r>
        <w:rPr>
          <w:b/>
          <w:bCs/>
          <w:color w:val="000000"/>
          <w:spacing w:val="0"/>
          <w:w w:val="100"/>
          <w:position w:val="0"/>
          <w:shd w:val="clear" w:color="auto" w:fill="auto"/>
          <w:lang w:val="cs-CZ" w:eastAsia="cs-CZ" w:bidi="cs-CZ"/>
        </w:rPr>
        <w:t xml:space="preserve">„Obnovení silnice III/2565 Most – Mariánské Radčice – 2. část“ </w:t>
      </w:r>
      <w:r>
        <w:rPr>
          <w:color w:val="000000"/>
          <w:spacing w:val="0"/>
          <w:w w:val="100"/>
          <w:position w:val="0"/>
          <w:shd w:val="clear" w:color="auto" w:fill="auto"/>
          <w:lang w:val="cs-CZ" w:eastAsia="cs-CZ" w:bidi="cs-CZ"/>
        </w:rPr>
        <w:t>(dále jen „</w:t>
      </w:r>
      <w:r>
        <w:rPr>
          <w:i/>
          <w:i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w:t>
      </w:r>
    </w:p>
    <w:p>
      <w:pPr>
        <w:pStyle w:val="Style10"/>
        <w:keepNext w:val="0"/>
        <w:keepLines w:val="0"/>
        <w:widowControl w:val="0"/>
        <w:numPr>
          <w:ilvl w:val="0"/>
          <w:numId w:val="1"/>
        </w:numPr>
        <w:shd w:val="clear" w:color="auto" w:fill="auto"/>
        <w:tabs>
          <w:tab w:pos="2523" w:val="left"/>
        </w:tabs>
        <w:bidi w:val="0"/>
        <w:spacing w:before="0" w:after="180" w:line="240" w:lineRule="auto"/>
        <w:ind w:left="0" w:right="0" w:firstLine="2160"/>
        <w:jc w:val="left"/>
      </w:pPr>
      <w:bookmarkStart w:id="10" w:name="bookmark10"/>
      <w:bookmarkStart w:id="9" w:name="bookmark9"/>
      <w:bookmarkEnd w:id="9"/>
      <w:r>
        <w:rPr>
          <w:b/>
          <w:bCs/>
          <w:color w:val="000000"/>
          <w:spacing w:val="0"/>
          <w:w w:val="100"/>
          <w:position w:val="0"/>
          <w:shd w:val="clear" w:color="auto" w:fill="auto"/>
          <w:lang w:val="cs-CZ" w:eastAsia="cs-CZ" w:bidi="cs-CZ"/>
        </w:rPr>
        <w:t xml:space="preserve">PŘEDMĚT SMLOUVY O ZŘÍZENÍ SLUŽEBNOSTI </w:t>
      </w:r>
      <w:r>
        <w:rPr>
          <w:color w:val="000000"/>
          <w:spacing w:val="0"/>
          <w:w w:val="100"/>
          <w:position w:val="0"/>
          <w:shd w:val="clear" w:color="auto" w:fill="auto"/>
          <w:lang w:val="cs-CZ" w:eastAsia="cs-CZ" w:bidi="cs-CZ"/>
        </w:rPr>
        <w:t>Předmětem této smlouvy je zřízení a vymezení služebnosti – silničního mostu a mostní konstrukce ve prospěch oprávněného (dále jen „</w:t>
      </w:r>
      <w:r>
        <w:rPr>
          <w:b/>
          <w:bCs/>
          <w:color w:val="000000"/>
          <w:spacing w:val="0"/>
          <w:w w:val="100"/>
          <w:position w:val="0"/>
          <w:shd w:val="clear" w:color="auto" w:fill="auto"/>
          <w:lang w:val="cs-CZ" w:eastAsia="cs-CZ" w:bidi="cs-CZ"/>
        </w:rPr>
        <w:t>služebnost</w:t>
      </w:r>
      <w:r>
        <w:rPr>
          <w:color w:val="000000"/>
          <w:spacing w:val="0"/>
          <w:w w:val="100"/>
          <w:position w:val="0"/>
          <w:shd w:val="clear" w:color="auto" w:fill="auto"/>
          <w:lang w:val="cs-CZ" w:eastAsia="cs-CZ" w:bidi="cs-CZ"/>
        </w:rPr>
        <w:t>“).</w:t>
      </w:r>
      <w:bookmarkEnd w:id="10"/>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Povinný tímto zřizuje k tíži služebných pozemků ve prospěch oprávněného služebnost v rozsahu uvedeném v této smlouvě.</w:t>
      </w:r>
    </w:p>
    <w:p>
      <w:pPr>
        <w:pStyle w:val="Style10"/>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21" w:val="left"/>
        </w:tabs>
        <w:bidi w:val="0"/>
        <w:spacing w:before="0" w:after="0" w:line="240" w:lineRule="auto"/>
        <w:ind w:left="0" w:right="0" w:firstLine="0"/>
        <w:jc w:val="center"/>
      </w:pPr>
      <w:bookmarkStart w:id="11" w:name="bookmark11"/>
      <w:bookmarkEnd w:id="11"/>
      <w:r>
        <w:rPr>
          <w:b/>
          <w:bCs/>
          <w:color w:val="000000"/>
          <w:spacing w:val="0"/>
          <w:w w:val="100"/>
          <w:position w:val="0"/>
          <w:shd w:val="clear" w:color="auto" w:fill="auto"/>
          <w:lang w:val="cs-CZ" w:eastAsia="cs-CZ" w:bidi="cs-CZ"/>
        </w:rPr>
        <w:t>OBSAH SLUŽEBNOSTI A ROZSAH JEHO VÝKONU</w:t>
      </w:r>
    </w:p>
    <w:p>
      <w:pPr>
        <w:pStyle w:val="Style10"/>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Smluvní strany se dohodly na zřízení služebnosti, jejíž obsah a rozsah jejího výkonu je uveden v tomto článku. Povinný se zavazuje, že strpí uplatňování práv oprávněného odpovídající služebnosti uvedených v tomto článku a oprávněný prohlašuje, že tato práva přijímá a bude je vykonávat za podmínek sjednaných touto smlouvou a stanoveným zákonem.</w:t>
      </w:r>
    </w:p>
    <w:p>
      <w:pPr>
        <w:pStyle w:val="Style10"/>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18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K zajištění práv oprávněného související s obsluhou, údržbou a opravami zařízení stavby se smluvní strany dohodly na následujícím vymezení obsahu služebnosti:</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14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povinný strpí na služebných pozemcích na části omezené služebností zřízení a provozování stavby po dobu neurčitou, resp. po celou dobu její fyzické a právní existence,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4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povinný strpí vstupování a vjezd oprávněného na služebné pozemky a v rozsahu služebnosti provádění nezbytných prací spojených se zřizováním, stavebními úpravami, opravami a revizemi, provozováním a odstraněním stavby po celou dobu její fyzické a právní existence,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14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povinný se zavazuje, že se zdrží jakýchkoliv zásahů do integrity umístěné stavby a tato povinnost se vztahuje na jakéhokoliv dalšího vlastníka služebných pozemků,</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14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oprávněný je oprávněn užívat služebné pozemky pouze na části omezené služebností,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110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oprávněný je povinen na své náklady stavbu provozovat a udržovat v řádném stavu,</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4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oprávněný je povinen při jakékoliv činnosti na služebných pozemcích vždy uvést služebné pozemky do předešlého stavu a nahradit případnou škodu způsobenou buď svou činností, nebo způsobenou v rámci havárie, a to i v případě, že tyto práce bude provádět nebo zajišťovat jiný subjekt, než je oprávněný,</w:t>
      </w:r>
    </w:p>
    <w:p>
      <w:pPr>
        <w:pStyle w:val="Style10"/>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 xml:space="preserve">Rozsah služebnosti je vymezen geometrickým plánem č. 1108-151/2025, 8045-151/2025, který tvoří </w:t>
      </w:r>
      <w:r>
        <w:rPr>
          <w:i/>
          <w:iCs/>
          <w:color w:val="000000"/>
          <w:spacing w:val="0"/>
          <w:w w:val="100"/>
          <w:position w:val="0"/>
          <w:shd w:val="clear" w:color="auto" w:fill="auto"/>
          <w:lang w:val="cs-CZ" w:eastAsia="cs-CZ" w:bidi="cs-CZ"/>
        </w:rPr>
        <w:t>přílohu č. 1</w:t>
      </w:r>
      <w:r>
        <w:rPr>
          <w:color w:val="000000"/>
          <w:spacing w:val="0"/>
          <w:w w:val="100"/>
          <w:position w:val="0"/>
          <w:shd w:val="clear" w:color="auto" w:fill="auto"/>
          <w:lang w:val="cs-CZ" w:eastAsia="cs-CZ" w:bidi="cs-CZ"/>
        </w:rPr>
        <w:t xml:space="preserve"> této smlouvy.</w:t>
      </w:r>
    </w:p>
    <w:p>
      <w:pPr>
        <w:pStyle w:val="Style10"/>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Celková plocha služebnosti dle geometrického plánu činí 629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(výkaz výměr tvoří </w:t>
      </w:r>
      <w:r>
        <w:rPr>
          <w:i/>
          <w:i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400" w:line="240" w:lineRule="auto"/>
        <w:ind w:left="380" w:right="0" w:hanging="380"/>
        <w:jc w:val="both"/>
      </w:pPr>
      <w:bookmarkStart w:id="16" w:name="bookmark16"/>
      <w:bookmarkEnd w:id="16"/>
      <w:r>
        <w:rPr>
          <w:color w:val="000000"/>
          <w:spacing w:val="0"/>
          <w:w w:val="100"/>
          <w:position w:val="0"/>
          <w:shd w:val="clear" w:color="auto" w:fill="auto"/>
          <w:lang w:val="cs-CZ" w:eastAsia="cs-CZ" w:bidi="cs-CZ"/>
        </w:rPr>
        <w:t>Povinný neodpovídá za škodu způsobenou ledovými jevy, nepříznivými klimatickými jevy, vegetací, při povodních, sesuvem svahů a erozní činností.</w:t>
      </w:r>
    </w:p>
    <w:p>
      <w:pPr>
        <w:pStyle w:val="Style13"/>
        <w:keepNext/>
        <w:keepLines/>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45" w:val="left"/>
        </w:tabs>
        <w:bidi w:val="0"/>
        <w:spacing w:before="0" w:after="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TRVÁNÍ SLUŽEBNOSTI</w:t>
      </w:r>
      <w:bookmarkEnd w:id="17"/>
      <w:bookmarkEnd w:id="18"/>
      <w:bookmarkEnd w:id="20"/>
    </w:p>
    <w:p>
      <w:pPr>
        <w:pStyle w:val="Style10"/>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Smluvní strany berou na vědomí, že se změnou vlastníka služebných pozemků přecházejí</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i práva a povinnosti, vyplývající z věcného břemene, na nového nabyvatele pozemků.</w:t>
      </w:r>
    </w:p>
    <w:p>
      <w:pPr>
        <w:pStyle w:val="Style10"/>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40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Služebnost, zřízená touto smlouvou, se sjednává do doby právní a fyzické existence inženýrské sítě.</w:t>
      </w:r>
    </w:p>
    <w:p>
      <w:pPr>
        <w:pStyle w:val="Style10"/>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392" w:val="left"/>
        </w:tabs>
        <w:bidi w:val="0"/>
        <w:spacing w:before="0" w:after="0" w:line="240" w:lineRule="auto"/>
        <w:ind w:left="0" w:right="0" w:firstLine="0"/>
        <w:jc w:val="center"/>
      </w:pPr>
      <w:bookmarkStart w:id="23" w:name="bookmark23"/>
      <w:bookmarkEnd w:id="23"/>
      <w:r>
        <w:rPr>
          <w:b/>
          <w:bCs/>
          <w:color w:val="000000"/>
          <w:spacing w:val="0"/>
          <w:w w:val="100"/>
          <w:position w:val="0"/>
          <w:shd w:val="clear" w:color="auto" w:fill="auto"/>
          <w:lang w:val="cs-CZ" w:eastAsia="cs-CZ" w:bidi="cs-CZ"/>
        </w:rPr>
        <w:t>JEDNORÁZOVÁ NÁHRADA ZA ZŘÍZENÍ SLUŽEBNOSTI</w:t>
      </w:r>
    </w:p>
    <w:p>
      <w:pPr>
        <w:pStyle w:val="Style10"/>
        <w:keepNext w:val="0"/>
        <w:keepLines w:val="0"/>
        <w:widowControl w:val="0"/>
        <w:numPr>
          <w:ilvl w:val="0"/>
          <w:numId w:val="9"/>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Výše jednorázové úhrady za zřízení služebnosti je stanovena ve výši 78.625 Kč. Takto oceněná služebnost bude, jako převod práv, dodaněna příslušným % DPH.</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 xml:space="preserve">Investor se zavazuje zaplatit jednorázově částku ve výši </w:t>
      </w:r>
      <w:r>
        <w:rPr>
          <w:b/>
          <w:bCs/>
          <w:color w:val="000000"/>
          <w:spacing w:val="0"/>
          <w:w w:val="100"/>
          <w:position w:val="0"/>
          <w:shd w:val="clear" w:color="auto" w:fill="auto"/>
          <w:lang w:val="cs-CZ" w:eastAsia="cs-CZ" w:bidi="cs-CZ"/>
        </w:rPr>
        <w:t>78.625 Kč + DPH</w:t>
      </w:r>
      <w:r>
        <w:rPr>
          <w:color w:val="000000"/>
          <w:spacing w:val="0"/>
          <w:w w:val="100"/>
          <w:position w:val="0"/>
          <w:shd w:val="clear" w:color="auto" w:fill="auto"/>
          <w:lang w:val="cs-CZ" w:eastAsia="cs-CZ" w:bidi="cs-CZ"/>
        </w:rPr>
        <w:t>.</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Povinný vystaví daňový doklad a zašle na adresu investora nejpozději do 15 dnů ode dne vzniku věcného břemena.</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Dnem uskutečnění zdanitelného plnění je den poskytnutí služby, tj. den vzniku služebnosti nebo den vystavení daňového dokladu, podle toho, který den nastane dříve.</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Splatnost bude stanovena na 30 dnů od data vystavení daňového dokladu.</w:t>
      </w:r>
    </w:p>
    <w:p>
      <w:pPr>
        <w:pStyle w:val="Style10"/>
        <w:keepNext w:val="0"/>
        <w:keepLines w:val="0"/>
        <w:widowControl w:val="0"/>
        <w:numPr>
          <w:ilvl w:val="0"/>
          <w:numId w:val="9"/>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Pokud investor nezaplatí povinnému celou úhradu za zřízené věcné břemeno v dohodnutém termínu splatnosti, zavazuje se investor zaplatit smluvní pokutu ve výši 0,3 % z včas nezaplacené částky za každý započatý den prodlení.</w:t>
      </w:r>
    </w:p>
    <w:p>
      <w:pPr>
        <w:pStyle w:val="Style10"/>
        <w:keepNext w:val="0"/>
        <w:keepLines w:val="0"/>
        <w:widowControl w:val="0"/>
        <w:numPr>
          <w:ilvl w:val="0"/>
          <w:numId w:val="9"/>
        </w:numPr>
        <w:pBdr>
          <w:top w:val="single" w:sz="4" w:space="0" w:color="auto"/>
          <w:left w:val="single" w:sz="4" w:space="0" w:color="auto"/>
          <w:bottom w:val="single" w:sz="4" w:space="0" w:color="auto"/>
          <w:right w:val="single" w:sz="4" w:space="0" w:color="auto"/>
        </w:pBdr>
        <w:shd w:val="clear" w:color="auto" w:fill="auto"/>
        <w:tabs>
          <w:tab w:pos="376" w:val="left"/>
        </w:tabs>
        <w:bidi w:val="0"/>
        <w:spacing w:before="0" w:after="30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V případě, že vklad dle této smlouvy bude katastrálním úřadem zamítnut nebo řízení o povolení vkladu zastaveno, zavazuje se povinný vrátit celou částku plnění investorovi nejpozději do 7 dnů od doručení příslušného rozhodnutí.</w:t>
      </w:r>
    </w:p>
    <w:p>
      <w:pPr>
        <w:pStyle w:val="Style10"/>
        <w:keepNext w:val="0"/>
        <w:keepLines w:val="0"/>
        <w:widowControl w:val="0"/>
        <w:numPr>
          <w:ilvl w:val="0"/>
          <w:numId w:val="9"/>
        </w:numPr>
        <w:shd w:val="clear" w:color="auto" w:fill="auto"/>
        <w:tabs>
          <w:tab w:pos="376" w:val="left"/>
        </w:tabs>
        <w:bidi w:val="0"/>
        <w:spacing w:before="0" w:after="40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Takto dohodnutá náhrada zahrnuje u služebných pozemků i právo na pojíždění podél trasy stavby a příjezd k ní. Tato náhrada však nezahrnuje škody na polních kulturách a na jiném majetku, způsobené při zřizování, provozování, údržbě a opravách stavby, popř. uvedení do náležitého stavu, které se oprávněný zavazuje uhradit povinnému či uživateli nemovitosti samostatně.</w:t>
      </w:r>
    </w:p>
    <w:p>
      <w:pPr>
        <w:pStyle w:val="Style22"/>
        <w:keepNext/>
        <w:keepLines/>
        <w:widowControl w:val="0"/>
        <w:numPr>
          <w:ilvl w:val="0"/>
          <w:numId w:val="1"/>
        </w:numPr>
        <w:shd w:val="clear" w:color="auto" w:fill="auto"/>
        <w:tabs>
          <w:tab w:pos="385" w:val="left"/>
        </w:tabs>
        <w:bidi w:val="0"/>
        <w:spacing w:before="0" w:after="0" w:line="240" w:lineRule="auto"/>
        <w:ind w:left="0" w:right="0" w:firstLine="0"/>
        <w:jc w:val="center"/>
      </w:pPr>
      <w:bookmarkStart w:id="28" w:name="bookmark28"/>
      <w:bookmarkStart w:id="29" w:name="bookmark29"/>
      <w:bookmarkStart w:id="30" w:name="bookmark30"/>
      <w:bookmarkStart w:id="31" w:name="bookmark31"/>
      <w:bookmarkEnd w:id="30"/>
      <w:r>
        <w:rPr>
          <w:b/>
          <w:bCs/>
          <w:color w:val="000000"/>
          <w:spacing w:val="0"/>
          <w:w w:val="100"/>
          <w:position w:val="0"/>
          <w:shd w:val="clear" w:color="auto" w:fill="auto"/>
          <w:lang w:val="cs-CZ" w:eastAsia="cs-CZ" w:bidi="cs-CZ"/>
        </w:rPr>
        <w:t>VKLAD SLUŽEBNOSTI DO KATASTRU NEMOVITOSTÍ</w:t>
      </w:r>
      <w:bookmarkEnd w:id="28"/>
      <w:bookmarkEnd w:id="29"/>
      <w:bookmarkEnd w:id="31"/>
    </w:p>
    <w:p>
      <w:pPr>
        <w:pStyle w:val="Style22"/>
        <w:keepNext/>
        <w:keepLines/>
        <w:widowControl w:val="0"/>
        <w:shd w:val="clear" w:color="auto" w:fill="auto"/>
        <w:bidi w:val="0"/>
        <w:spacing w:before="0" w:line="240" w:lineRule="auto"/>
        <w:ind w:left="0" w:right="0" w:firstLine="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Investor se zavazuje podat do 3 týdnů od podpisu této smlouvy jménem obou smluvních stran návrh na zahájení řízení o povolení vkladu práva odpovídajícího služebnosti zřízené touto smlouvou ke služebným pozemkům příslušnému katastrálnímu úřadu, popř. zpětvzetí tohoto návrhu. Správní poplatek za návrh na zahájení řízení o povolení vkladu práva do katastru nemovitostí uhradí investor.</w:t>
      </w:r>
      <w:bookmarkEnd w:id="32"/>
      <w:bookmarkEnd w:id="33"/>
      <w:bookmarkEnd w:id="34"/>
    </w:p>
    <w:p>
      <w:pPr>
        <w:pStyle w:val="Style10"/>
        <w:keepNext w:val="0"/>
        <w:keepLines w:val="0"/>
        <w:widowControl w:val="0"/>
        <w:numPr>
          <w:ilvl w:val="0"/>
          <w:numId w:val="1"/>
        </w:numPr>
        <w:shd w:val="clear" w:color="auto" w:fill="auto"/>
        <w:tabs>
          <w:tab w:pos="442" w:val="left"/>
        </w:tabs>
        <w:bidi w:val="0"/>
        <w:spacing w:before="0" w:after="0" w:line="240" w:lineRule="auto"/>
        <w:ind w:left="0" w:right="0" w:firstLine="0"/>
        <w:jc w:val="center"/>
      </w:pPr>
      <w:bookmarkStart w:id="35" w:name="bookmark35"/>
      <w:bookmarkEnd w:id="35"/>
      <w:r>
        <w:rPr>
          <w:b/>
          <w:bCs/>
          <w:color w:val="000000"/>
          <w:spacing w:val="0"/>
          <w:w w:val="100"/>
          <w:position w:val="0"/>
          <w:shd w:val="clear" w:color="auto" w:fill="auto"/>
          <w:lang w:val="cs-CZ" w:eastAsia="cs-CZ" w:bidi="cs-CZ"/>
        </w:rPr>
        <w:t>COMPLIANCE DOLOŽKA</w:t>
      </w:r>
    </w:p>
    <w:p>
      <w:pPr>
        <w:pStyle w:val="Style10"/>
        <w:keepNext w:val="0"/>
        <w:keepLines w:val="0"/>
        <w:widowControl w:val="0"/>
        <w:numPr>
          <w:ilvl w:val="0"/>
          <w:numId w:val="11"/>
        </w:numPr>
        <w:shd w:val="clear" w:color="auto" w:fill="auto"/>
        <w:tabs>
          <w:tab w:pos="376" w:val="left"/>
        </w:tabs>
        <w:bidi w:val="0"/>
        <w:spacing w:before="0" w:after="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1"/>
        </w:numPr>
        <w:shd w:val="clear" w:color="auto" w:fill="auto"/>
        <w:tabs>
          <w:tab w:pos="376" w:val="left"/>
        </w:tabs>
        <w:bidi w:val="0"/>
        <w:spacing w:before="0" w:after="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1"/>
        </w:numPr>
        <w:shd w:val="clear" w:color="auto" w:fill="auto"/>
        <w:tabs>
          <w:tab w:pos="376" w:val="left"/>
        </w:tabs>
        <w:bidi w:val="0"/>
        <w:spacing w:before="0" w:after="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Oprávněný a investor prohlašují, že se seznámili se zásadami, hodnotami a cíli Compliance</w:t>
      </w:r>
    </w:p>
    <w:p>
      <w:pPr>
        <w:pStyle w:val="Style10"/>
        <w:keepNext w:val="0"/>
        <w:keepLines w:val="0"/>
        <w:widowControl w:val="0"/>
        <w:shd w:val="clear" w:color="auto" w:fill="auto"/>
        <w:tabs>
          <w:tab w:pos="2737" w:val="left"/>
          <w:tab w:pos="4863" w:val="left"/>
          <w:tab w:pos="6874" w:val="left"/>
          <w:tab w:pos="870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0"/>
        <w:keepNext w:val="0"/>
        <w:keepLines w:val="0"/>
        <w:widowControl w:val="0"/>
        <w:shd w:val="clear" w:color="auto" w:fill="auto"/>
        <w:bidi w:val="0"/>
        <w:spacing w:before="0" w:after="0" w:line="240" w:lineRule="auto"/>
        <w:ind w:left="380" w:right="0" w:firstLine="4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Oprávněný a investor se při plnění této smlouvy zavazují po celou dobu jejího trvání dodržovat zásady a hodnoty obsažené v uvedených dokumentech, pokud to jejich povaha umožňuje.</w:t>
      </w:r>
    </w:p>
    <w:p>
      <w:pPr>
        <w:pStyle w:val="Style10"/>
        <w:keepNext w:val="0"/>
        <w:keepLines w:val="0"/>
        <w:widowControl w:val="0"/>
        <w:numPr>
          <w:ilvl w:val="0"/>
          <w:numId w:val="11"/>
        </w:numPr>
        <w:shd w:val="clear" w:color="auto" w:fill="auto"/>
        <w:tabs>
          <w:tab w:pos="376" w:val="left"/>
        </w:tabs>
        <w:bidi w:val="0"/>
        <w:spacing w:before="0" w:after="52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
        </w:numPr>
        <w:shd w:val="clear" w:color="auto" w:fill="auto"/>
        <w:tabs>
          <w:tab w:pos="495" w:val="left"/>
        </w:tabs>
        <w:bidi w:val="0"/>
        <w:spacing w:before="0" w:after="0" w:line="240" w:lineRule="auto"/>
        <w:ind w:left="0" w:right="0" w:firstLine="0"/>
        <w:jc w:val="center"/>
      </w:pPr>
      <w:bookmarkStart w:id="40" w:name="bookmark40"/>
      <w:bookmarkEnd w:id="40"/>
      <w:r>
        <w:rPr>
          <w:b/>
          <w:bCs/>
          <w:color w:val="000000"/>
          <w:spacing w:val="0"/>
          <w:w w:val="100"/>
          <w:position w:val="0"/>
          <w:shd w:val="clear" w:color="auto" w:fill="auto"/>
          <w:lang w:val="cs-CZ" w:eastAsia="cs-CZ" w:bidi="cs-CZ"/>
        </w:rPr>
        <w:t>OCHRANA A ZPRACOVÁNÍ OSOBNÍCH ÚDAJŮ</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p>
    <w:p>
      <w:pPr>
        <w:pStyle w:val="Style22"/>
        <w:keepNext/>
        <w:keepLines/>
        <w:widowControl w:val="0"/>
        <w:numPr>
          <w:ilvl w:val="0"/>
          <w:numId w:val="1"/>
        </w:numPr>
        <w:shd w:val="clear" w:color="auto" w:fill="auto"/>
        <w:tabs>
          <w:tab w:pos="385" w:val="left"/>
        </w:tabs>
        <w:bidi w:val="0"/>
        <w:spacing w:before="0" w:after="0" w:line="240" w:lineRule="auto"/>
        <w:ind w:left="0" w:right="0" w:firstLine="0"/>
        <w:jc w:val="center"/>
      </w:pPr>
      <w:bookmarkStart w:id="41" w:name="bookmark41"/>
      <w:bookmarkStart w:id="42" w:name="bookmark42"/>
      <w:bookmarkStart w:id="43" w:name="bookmark43"/>
      <w:bookmarkStart w:id="44" w:name="bookmark44"/>
      <w:bookmarkEnd w:id="43"/>
      <w:r>
        <w:rPr>
          <w:b/>
          <w:bCs/>
          <w:color w:val="000000"/>
          <w:spacing w:val="0"/>
          <w:w w:val="100"/>
          <w:position w:val="0"/>
          <w:shd w:val="clear" w:color="auto" w:fill="auto"/>
          <w:lang w:val="cs-CZ" w:eastAsia="cs-CZ" w:bidi="cs-CZ"/>
        </w:rPr>
        <w:t>SPOLEČNÁ A ZÁVĚREČNÁ USTANOVENÍ</w:t>
      </w:r>
      <w:bookmarkEnd w:id="41"/>
      <w:bookmarkEnd w:id="42"/>
      <w:bookmarkEnd w:id="44"/>
    </w:p>
    <w:p>
      <w:pPr>
        <w:pStyle w:val="Style10"/>
        <w:keepNext w:val="0"/>
        <w:keepLines w:val="0"/>
        <w:widowControl w:val="0"/>
        <w:numPr>
          <w:ilvl w:val="0"/>
          <w:numId w:val="13"/>
        </w:numPr>
        <w:shd w:val="clear" w:color="auto" w:fill="auto"/>
        <w:tabs>
          <w:tab w:pos="376" w:val="left"/>
        </w:tabs>
        <w:bidi w:val="0"/>
        <w:spacing w:before="0" w:after="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Smlouva je vyhotovena v pěti (5x) stejnopisech, kdy jeden originál je určen pro provedení vkladu do katastru nemovitostí, jeden originál obdrží oprávněný, jeden obdrží investor a dva originály obdrží povinný.</w:t>
      </w:r>
    </w:p>
    <w:p>
      <w:pPr>
        <w:pStyle w:val="Style10"/>
        <w:keepNext w:val="0"/>
        <w:keepLines w:val="0"/>
        <w:widowControl w:val="0"/>
        <w:numPr>
          <w:ilvl w:val="0"/>
          <w:numId w:val="13"/>
        </w:numPr>
        <w:shd w:val="clear" w:color="auto" w:fill="auto"/>
        <w:tabs>
          <w:tab w:pos="376" w:val="left"/>
        </w:tabs>
        <w:bidi w:val="0"/>
        <w:spacing w:before="0" w:after="0" w:line="240" w:lineRule="auto"/>
        <w:ind w:left="380" w:right="0" w:hanging="380"/>
        <w:jc w:val="both"/>
      </w:pPr>
      <w:bookmarkStart w:id="46" w:name="bookmark46"/>
      <w:bookmarkEnd w:id="46"/>
      <w:r>
        <w:rPr>
          <w:color w:val="000000"/>
          <w:spacing w:val="0"/>
          <w:w w:val="100"/>
          <w:position w:val="0"/>
          <w:shd w:val="clear" w:color="auto" w:fill="auto"/>
          <w:lang w:val="cs-CZ" w:eastAsia="cs-CZ" w:bidi="cs-CZ"/>
        </w:rPr>
        <w:t>Smluvní strany prohlašují, že v obsahu smlouvy je zhmotněna jejich smluvní vůle, což stvrzují svými podpisy. Smluvní strany prohlašují, že si smlouvu před jejím podpisem přečetly, že smlouva byla uzavřena po vzájemném projednání, podle jejich pravé a svobodné vůle, dobrovolně, určitě, vážně a srozumitelně, nikoliv v tísni ani za nápadně nevýhodných podmínek.</w:t>
      </w:r>
    </w:p>
    <w:p>
      <w:pPr>
        <w:pStyle w:val="Style10"/>
        <w:keepNext w:val="0"/>
        <w:keepLines w:val="0"/>
        <w:widowControl w:val="0"/>
        <w:numPr>
          <w:ilvl w:val="0"/>
          <w:numId w:val="13"/>
        </w:numPr>
        <w:shd w:val="clear" w:color="auto" w:fill="auto"/>
        <w:tabs>
          <w:tab w:pos="376" w:val="left"/>
        </w:tabs>
        <w:bidi w:val="0"/>
        <w:spacing w:before="0" w:after="40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391" w:left="1394" w:right="1288" w:bottom="1926" w:header="0" w:footer="3" w:gutter="0"/>
          <w:pgNumType w:start="1"/>
          <w:cols w:space="720"/>
          <w:noEndnote/>
          <w:rtlGutter w:val="0"/>
          <w:docGrid w:linePitch="360"/>
        </w:sectPr>
      </w:pPr>
      <w:bookmarkStart w:id="47" w:name="bookmark47"/>
      <w:bookmarkEnd w:id="47"/>
      <w:r>
        <w:rPr>
          <w:color w:val="000000"/>
          <w:spacing w:val="0"/>
          <w:w w:val="100"/>
          <w:position w:val="0"/>
          <w:shd w:val="clear" w:color="auto" w:fill="auto"/>
          <w:lang w:val="cs-CZ" w:eastAsia="cs-CZ" w:bidi="cs-CZ"/>
        </w:rPr>
        <w:t>Smluvní strany berou na vědomí, že Povodí Ohře, státní podnik, je povinen zveřejnit obraz této smlouvy včetně metadat požadovaných k uveřejnění dle zákona č. 340/2015 Sb. o registru smluv. Zveřejnění smlouvy a metadat v registru smluv zajistí Povodí Ohře, státní podnik, který má právo</w:t>
      </w:r>
    </w:p>
    <w:p>
      <w:pPr>
        <w:pStyle w:val="Style10"/>
        <w:keepNext w:val="0"/>
        <w:keepLines w:val="0"/>
        <w:framePr w:w="9125" w:h="4752" w:wrap="none" w:hAnchor="page" w:x="1395" w:y="1"/>
        <w:widowControl w:val="0"/>
        <w:shd w:val="clear" w:color="auto" w:fill="auto"/>
        <w:bidi w:val="0"/>
        <w:spacing w:before="0" w:after="0" w:line="307" w:lineRule="auto"/>
        <w:ind w:left="380" w:right="0" w:firstLine="7340"/>
        <w:jc w:val="both"/>
      </w:pPr>
      <w:r>
        <w:rPr>
          <w:b/>
          <w:bCs/>
          <w:color w:val="000000"/>
          <w:spacing w:val="0"/>
          <w:w w:val="100"/>
          <w:position w:val="0"/>
          <w:sz w:val="24"/>
          <w:szCs w:val="24"/>
          <w:shd w:val="clear" w:color="auto" w:fill="auto"/>
          <w:lang w:val="cs-CZ" w:eastAsia="cs-CZ" w:bidi="cs-CZ"/>
        </w:rPr>
        <w:t xml:space="preserve">812/2025 VB </w:t>
      </w:r>
      <w:r>
        <w:rPr>
          <w:color w:val="000000"/>
          <w:spacing w:val="0"/>
          <w:w w:val="100"/>
          <w:position w:val="0"/>
          <w:shd w:val="clear" w:color="auto" w:fill="auto"/>
          <w:lang w:val="cs-CZ" w:eastAsia="cs-CZ" w:bidi="cs-CZ"/>
        </w:rPr>
        <w:t>most, VT Bílina tuto smlouvu zveřejnit rovněž v pochybnostech o tom, zda tato smlouva zveřejnění podléhá či nikoliv.</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Smlouva nabývá platnosti dnem podpisu smluvních stran a účinnosti dnem zveřejněním v registru smluv.</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Tato smlouva může být měněna nebo doplňována pouze formou písemných dodatků podepsaných smluvními stranami, pod sankcí neplatnosti. Písemná forma je nezbytná i pro právní úkony směřující ke zrušení smlouvy.</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Fyzické osoby, které smlouvu uzavírají jménem smluvních stran, tímto prohlašují, že jsou plně oprávněny k platnému uzavření této smlouvy a nepovažují žádné ustanovení této smlouvy za obchodní tajemství.</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0" w:line="240" w:lineRule="auto"/>
        <w:ind w:left="380" w:right="0" w:hanging="380"/>
        <w:jc w:val="both"/>
      </w:pPr>
      <w:bookmarkStart w:id="51" w:name="bookmark51"/>
      <w:bookmarkEnd w:id="51"/>
      <w:r>
        <w:rPr>
          <w:color w:val="000000"/>
          <w:spacing w:val="0"/>
          <w:w w:val="100"/>
          <w:position w:val="0"/>
          <w:shd w:val="clear" w:color="auto" w:fill="auto"/>
          <w:lang w:val="cs-CZ" w:eastAsia="cs-CZ" w:bidi="cs-CZ"/>
        </w:rPr>
        <w:t>Tato smlouva a právní vztahy z ní vyplývající se řídí právním řádem České republiky, a to zejména příslušnými ustanoveními občanského zákoníku.</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Touto smlouvou bude splněna budoucí smlouva č. 945/2009 SBS.</w:t>
      </w:r>
    </w:p>
    <w:p>
      <w:pPr>
        <w:pStyle w:val="Style10"/>
        <w:keepNext w:val="0"/>
        <w:keepLines w:val="0"/>
        <w:framePr w:w="9125" w:h="4752" w:wrap="none" w:hAnchor="page" w:x="1395" w:y="1"/>
        <w:widowControl w:val="0"/>
        <w:numPr>
          <w:ilvl w:val="0"/>
          <w:numId w:val="15"/>
        </w:numPr>
        <w:shd w:val="clear" w:color="auto" w:fill="auto"/>
        <w:tabs>
          <w:tab w:pos="360" w:val="left"/>
        </w:tabs>
        <w:bidi w:val="0"/>
        <w:spacing w:before="0" w:after="18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O uzavření této smlouvy bylo rozhodnuto usnesením Rady Ústeckého kraje č. ………. ze dne ………….</w:t>
      </w:r>
    </w:p>
    <w:p>
      <w:pPr>
        <w:pStyle w:val="Style10"/>
        <w:keepNext w:val="0"/>
        <w:keepLines w:val="0"/>
        <w:framePr w:w="9125" w:h="4752" w:wrap="none" w:hAnchor="page" w:x="1395"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příloha č. 1 - GP č. 1108-151/2025, 8045-151/2025, příloha č. 2 – výkaz výměr</w:t>
      </w:r>
    </w:p>
    <w:p>
      <w:pPr>
        <w:pStyle w:val="Style10"/>
        <w:keepNext w:val="0"/>
        <w:keepLines w:val="0"/>
        <w:framePr w:w="3024" w:h="787" w:wrap="none" w:hAnchor="page" w:x="1395" w:y="5118"/>
        <w:widowControl w:val="0"/>
        <w:shd w:val="clear" w:color="auto" w:fill="auto"/>
        <w:bidi w:val="0"/>
        <w:spacing w:before="0" w:after="160" w:line="240" w:lineRule="auto"/>
        <w:ind w:left="0" w:right="0" w:firstLine="0"/>
        <w:jc w:val="left"/>
      </w:pPr>
      <w:r>
        <w:rPr>
          <w:b/>
          <w:bCs/>
          <w:i/>
          <w:iCs/>
          <w:color w:val="000000"/>
          <w:spacing w:val="0"/>
          <w:w w:val="100"/>
          <w:position w:val="0"/>
          <w:shd w:val="clear" w:color="auto" w:fill="auto"/>
          <w:lang w:val="cs-CZ" w:eastAsia="cs-CZ" w:bidi="cs-CZ"/>
        </w:rPr>
        <w:t>za povinného:</w:t>
      </w:r>
    </w:p>
    <w:p>
      <w:pPr>
        <w:pStyle w:val="Style10"/>
        <w:keepNext w:val="0"/>
        <w:keepLines w:val="0"/>
        <w:framePr w:w="3024" w:h="787" w:wrap="none" w:hAnchor="page" w:x="1395" w:y="51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p>
      <w:pPr>
        <w:pStyle w:val="Style10"/>
        <w:keepNext w:val="0"/>
        <w:keepLines w:val="0"/>
        <w:framePr w:w="1646" w:h="336" w:wrap="none" w:hAnchor="page" w:x="6349" w:y="5118"/>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za oprávněného:</w:t>
      </w:r>
    </w:p>
    <w:p>
      <w:pPr>
        <w:pStyle w:val="Style10"/>
        <w:keepNext w:val="0"/>
        <w:keepLines w:val="0"/>
        <w:framePr w:w="3557" w:h="331" w:wrap="none" w:hAnchor="page" w:x="6349" w:y="55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Ústí nad Labem, dne …………………</w:t>
      </w:r>
    </w:p>
    <w:p>
      <w:pPr>
        <w:pStyle w:val="Style10"/>
        <w:keepNext w:val="0"/>
        <w:keepLines w:val="0"/>
        <w:framePr w:w="3058" w:h="557" w:wrap="none" w:hAnchor="page" w:x="1395" w:y="69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0"/>
        <w:keepNext w:val="0"/>
        <w:keepLines w:val="0"/>
        <w:framePr w:w="3058" w:h="557" w:wrap="none" w:hAnchor="page" w:x="1395" w:y="69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10"/>
        <w:keepNext w:val="0"/>
        <w:keepLines w:val="0"/>
        <w:framePr w:w="3427" w:h="1939" w:wrap="none" w:hAnchor="page" w:x="6349" w:y="6956"/>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 člen Rady Ústeckého kraje</w:t>
      </w:r>
    </w:p>
    <w:p>
      <w:pPr>
        <w:pStyle w:val="Style10"/>
        <w:keepNext w:val="0"/>
        <w:keepLines w:val="0"/>
        <w:framePr w:w="3427" w:h="1939" w:wrap="none" w:hAnchor="page" w:x="6349" w:y="6956"/>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w:t>
      </w:r>
      <w:r>
        <w:rPr>
          <w:b/>
          <w:bCs/>
          <w:i/>
          <w:iCs/>
          <w:color w:val="000000"/>
          <w:spacing w:val="0"/>
          <w:w w:val="100"/>
          <w:position w:val="0"/>
          <w:shd w:val="clear" w:color="auto" w:fill="auto"/>
          <w:lang w:val="cs-CZ" w:eastAsia="cs-CZ" w:bidi="cs-CZ"/>
        </w:rPr>
        <w:t>a investora:</w:t>
      </w:r>
    </w:p>
    <w:p>
      <w:pPr>
        <w:pStyle w:val="Style10"/>
        <w:keepNext w:val="0"/>
        <w:keepLines w:val="0"/>
        <w:framePr w:w="3427" w:h="1939" w:wrap="none" w:hAnchor="page" w:x="6349" w:y="6956"/>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V Mostě, dne………………………</w:t>
      </w:r>
    </w:p>
    <w:p>
      <w:pPr>
        <w:pStyle w:val="Style10"/>
        <w:keepNext w:val="0"/>
        <w:keepLines w:val="0"/>
        <w:framePr w:w="3514" w:h="989" w:wrap="none" w:hAnchor="page" w:x="6349" w:y="9947"/>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primátor města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pPr>
    </w:p>
    <w:sectPr>
      <w:headerReference w:type="default" r:id="rId7"/>
      <w:footerReference w:type="default" r:id="rId8"/>
      <w:footnotePr>
        <w:pos w:val="pageBottom"/>
        <w:numFmt w:val="decimal"/>
        <w:numRestart w:val="continuous"/>
      </w:footnotePr>
      <w:pgSz w:w="11909" w:h="16838"/>
      <w:pgMar w:top="653" w:left="1394" w:right="1317" w:bottom="1734" w:header="22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903605</wp:posOffset>
              </wp:positionH>
              <wp:positionV relativeFrom="page">
                <wp:posOffset>9532620</wp:posOffset>
              </wp:positionV>
              <wp:extent cx="5821680" cy="170815"/>
              <wp:wrapNone/>
              <wp:docPr id="3" name="Shape 3"/>
              <a:graphic xmlns:a="http://schemas.openxmlformats.org/drawingml/2006/main">
                <a:graphicData uri="http://schemas.microsoft.com/office/word/2010/wordprocessingShape">
                  <wps:wsp>
                    <wps:cNvSpPr txBox="1"/>
                    <wps:spPr>
                      <a:xfrm>
                        <a:ext cx="5821680" cy="170815"/>
                      </a:xfrm>
                      <a:prstGeom prst="rect"/>
                      <a:noFill/>
                    </wps:spPr>
                    <wps:txbx>
                      <w:txbxContent>
                        <w:p>
                          <w:pPr>
                            <w:pStyle w:val="Style4"/>
                            <w:keepNext w:val="0"/>
                            <w:keepLines w:val="0"/>
                            <w:widowControl w:val="0"/>
                            <w:shd w:val="clear" w:color="auto" w:fill="auto"/>
                            <w:tabs>
                              <w:tab w:pos="9168"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Vla</w:t>
                            <w:tab/>
                          </w:r>
                          <w:fldSimple w:instr=" PAGE \* MERGEFORMAT ">
                            <w:r>
                              <w:rPr>
                                <w:rFonts w:ascii="Times New Roman" w:eastAsia="Times New Roman" w:hAnsi="Times New Roman" w:cs="Times New Roman"/>
                                <w:color w:val="000000"/>
                                <w:spacing w:val="0"/>
                                <w:w w:val="100"/>
                                <w:position w:val="0"/>
                                <w:shd w:val="clear" w:color="auto" w:fill="auto"/>
                                <w:vertAlign w:val="subscript"/>
                                <w:lang w:val="cs-CZ" w:eastAsia="cs-CZ" w:bidi="cs-CZ"/>
                              </w:rPr>
                              <w:t>#</w:t>
                            </w:r>
                          </w:fldSimple>
                        </w:p>
                      </w:txbxContent>
                    </wps:txbx>
                    <wps:bodyPr lIns="0" tIns="0" rIns="0" bIns="0">
                      <a:spAutoFit/>
                    </wps:bodyPr>
                  </wps:wsp>
                </a:graphicData>
              </a:graphic>
            </wp:anchor>
          </w:drawing>
        </mc:Choice>
        <mc:Fallback>
          <w:pict>
            <v:shape id="_x0000_s1029" type="#_x0000_t202" style="position:absolute;margin-left:71.150000000000006pt;margin-top:750.60000000000002pt;width:458.40000000000003pt;height:13.450000000000001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68"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Vla</w:t>
                      <w:tab/>
                    </w:r>
                    <w:fldSimple w:instr=" PAGE \* MERGEFORMAT ">
                      <w:r>
                        <w:rPr>
                          <w:rFonts w:ascii="Times New Roman" w:eastAsia="Times New Roman" w:hAnsi="Times New Roman" w:cs="Times New Roman"/>
                          <w:color w:val="000000"/>
                          <w:spacing w:val="0"/>
                          <w:w w:val="100"/>
                          <w:position w:val="0"/>
                          <w:shd w:val="clear" w:color="auto" w:fill="auto"/>
                          <w:vertAlign w:val="subscript"/>
                          <w:lang w:val="cs-CZ" w:eastAsia="cs-CZ" w:bidi="cs-CZ"/>
                        </w:rPr>
                        <w:t>#</w:t>
                      </w:r>
                    </w:fldSimple>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6405245</wp:posOffset>
              </wp:positionH>
              <wp:positionV relativeFrom="page">
                <wp:posOffset>10002520</wp:posOffset>
              </wp:positionV>
              <wp:extent cx="259080" cy="137160"/>
              <wp:wrapNone/>
              <wp:docPr id="5" name="Shape 5"/>
              <a:graphic xmlns:a="http://schemas.openxmlformats.org/drawingml/2006/main">
                <a:graphicData uri="http://schemas.microsoft.com/office/word/2010/wordprocessingShape">
                  <wps:wsp>
                    <wps:cNvSpPr txBox="1"/>
                    <wps:spPr>
                      <a:xfrm>
                        <a:ext cx="25908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Strana</w:t>
                          </w:r>
                        </w:p>
                      </w:txbxContent>
                    </wps:txbx>
                    <wps:bodyPr wrap="none" lIns="0" tIns="0" rIns="0" bIns="0">
                      <a:spAutoFit/>
                    </wps:bodyPr>
                  </wps:wsp>
                </a:graphicData>
              </a:graphic>
            </wp:anchor>
          </w:drawing>
        </mc:Choice>
        <mc:Fallback>
          <w:pict>
            <v:shape id="_x0000_s1031" type="#_x0000_t202" style="position:absolute;margin-left:504.35000000000002pt;margin-top:787.60000000000002pt;width:20.400000000000002pt;height:10.8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Strana</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903605</wp:posOffset>
              </wp:positionH>
              <wp:positionV relativeFrom="page">
                <wp:posOffset>9528175</wp:posOffset>
              </wp:positionV>
              <wp:extent cx="5821680" cy="170815"/>
              <wp:wrapNone/>
              <wp:docPr id="7" name="Shape 7"/>
              <a:graphic xmlns:a="http://schemas.openxmlformats.org/drawingml/2006/main">
                <a:graphicData uri="http://schemas.microsoft.com/office/word/2010/wordprocessingShape">
                  <wps:wsp>
                    <wps:cNvSpPr txBox="1"/>
                    <wps:spPr>
                      <a:xfrm>
                        <a:ext cx="5821680" cy="170815"/>
                      </a:xfrm>
                      <a:prstGeom prst="rect"/>
                      <a:noFill/>
                    </wps:spPr>
                    <wps:txbx>
                      <w:txbxContent>
                        <w:p>
                          <w:pPr>
                            <w:pStyle w:val="Style4"/>
                            <w:keepNext w:val="0"/>
                            <w:keepLines w:val="0"/>
                            <w:widowControl w:val="0"/>
                            <w:shd w:val="clear" w:color="auto" w:fill="auto"/>
                            <w:tabs>
                              <w:tab w:pos="9168"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Vla</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3" type="#_x0000_t202" style="position:absolute;margin-left:71.150000000000006pt;margin-top:750.25pt;width:458.40000000000003pt;height:13.450000000000001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68"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Vla</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6405245</wp:posOffset>
              </wp:positionH>
              <wp:positionV relativeFrom="page">
                <wp:posOffset>9997440</wp:posOffset>
              </wp:positionV>
              <wp:extent cx="259080" cy="137160"/>
              <wp:wrapNone/>
              <wp:docPr id="9" name="Shape 9"/>
              <a:graphic xmlns:a="http://schemas.openxmlformats.org/drawingml/2006/main">
                <a:graphicData uri="http://schemas.microsoft.com/office/word/2010/wordprocessingShape">
                  <wps:wsp>
                    <wps:cNvSpPr txBox="1"/>
                    <wps:spPr>
                      <a:xfrm>
                        <a:ext cx="25908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Strana</w:t>
                          </w:r>
                        </w:p>
                      </w:txbxContent>
                    </wps:txbx>
                    <wps:bodyPr wrap="none" lIns="0" tIns="0" rIns="0" bIns="0">
                      <a:spAutoFit/>
                    </wps:bodyPr>
                  </wps:wsp>
                </a:graphicData>
              </a:graphic>
            </wp:anchor>
          </w:drawing>
        </mc:Choice>
        <mc:Fallback>
          <w:pict>
            <v:shape id="_x0000_s1035" type="#_x0000_t202" style="position:absolute;margin-left:504.35000000000002pt;margin-top:787.20000000000005pt;width:20.400000000000002pt;height:10.8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Strana</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5774055</wp:posOffset>
              </wp:positionH>
              <wp:positionV relativeFrom="page">
                <wp:posOffset>422910</wp:posOffset>
              </wp:positionV>
              <wp:extent cx="887095" cy="353695"/>
              <wp:wrapNone/>
              <wp:docPr id="1" name="Shape 1"/>
              <a:graphic xmlns:a="http://schemas.openxmlformats.org/drawingml/2006/main">
                <a:graphicData uri="http://schemas.microsoft.com/office/word/2010/wordprocessingShape">
                  <wps:wsp>
                    <wps:cNvSpPr txBox="1"/>
                    <wps:spPr>
                      <a:xfrm>
                        <a:ext cx="887095" cy="3536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812/2025 VB</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 VT Bílina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4.65000000000003pt;margin-top:33.299999999999997pt;width:69.850000000000009pt;height:27.8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812/2025 VB</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 VT Bílina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jc w:val="center"/>
    </w:pPr>
    <w:rPr>
      <w:rFonts w:ascii="Arial" w:eastAsia="Arial" w:hAnsi="Arial" w:cs="Arial"/>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90"/>
      <w:jc w:val="center"/>
      <w:outlineLvl w:val="0"/>
    </w:pPr>
    <w:rPr>
      <w:rFonts w:ascii="Arial" w:eastAsia="Arial" w:hAnsi="Arial" w:cs="Arial"/>
      <w:b/>
      <w:bCs/>
      <w:i w:val="0"/>
      <w:iCs w:val="0"/>
      <w:smallCaps w:val="0"/>
      <w:strike w:val="0"/>
      <w:sz w:val="20"/>
      <w:szCs w:val="20"/>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2">
    <w:name w:val="Style 22"/>
    <w:basedOn w:val="Normal"/>
    <w:link w:val="CharStyle23"/>
    <w:pPr>
      <w:widowControl w:val="0"/>
      <w:shd w:val="clear" w:color="auto" w:fill="FFFFFF"/>
      <w:spacing w:after="400"/>
      <w:outlineLvl w:val="1"/>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SMLOUVA O ZŘÍZENÍ VĚCNÉHO BŘEMENE</dc:title>
  <dc:subject/>
  <dc:creator>Moderova</dc:creator>
  <cp:keywords/>
</cp:coreProperties>
</file>