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68"/>
        <w:gridCol w:w="2837"/>
        <w:gridCol w:w="2765"/>
      </w:tblGrid>
      <w:tr>
        <w:trPr>
          <w:trHeight w:val="7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 Naše zn.: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POH/17714/2026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Brno</w:t>
            </w:r>
          </w:p>
        </w:tc>
      </w:tr>
      <w:tr>
        <w:trPr>
          <w:trHeight w:val="57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xxxxxxxxxxx</w:t>
            </w:r>
          </w:p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xx xxxxxxxx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Opavská</w:t>
            </w:r>
          </w:p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801/8a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xxxxxxxxxxx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639 00 Brno</w:t>
            </w:r>
          </w:p>
        </w:tc>
      </w:tr>
      <w:tr>
        <w:trPr>
          <w:trHeight w:val="34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fldChar w:fldCharType="begin"/>
            </w:r>
            <w:r>
              <w:rPr/>
              <w:instrText> HYPERLINK "mailto:xxxxx@poh.cz" </w:instrText>
            </w:r>
            <w:r>
              <w:fldChar w:fldCharType="separate"/>
            </w: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xxxxx@poh.cz</w:t>
            </w:r>
            <w:r>
              <w:fldChar w:fldCharType="end"/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6870" w:h="2316" w:hSpace="33" w:vSpace="383" w:wrap="none" w:hAnchor="page" w:x="1115" w:y="21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70" w:h="2316" w:hSpace="33" w:vSpace="383" w:wrap="none" w:hAnchor="page" w:x="1115" w:y="2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20.04.2026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6870" w:h="2316" w:hSpace="33" w:vSpace="383" w:wrap="none" w:hAnchor="page" w:x="1115" w:y="216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870" w:h="2316" w:hSpace="33" w:vSpace="383" w:wrap="none" w:hAnchor="page" w:x="1115" w:y="2164"/>
        <w:widowControl w:val="0"/>
        <w:spacing w:line="1" w:lineRule="exact"/>
      </w:pPr>
    </w:p>
    <w:p>
      <w:pPr>
        <w:pStyle w:val="Style5"/>
        <w:keepNext w:val="0"/>
        <w:keepLines w:val="0"/>
        <w:framePr w:w="2488" w:h="354" w:wrap="none" w:hAnchor="page" w:x="6311" w:y="17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KROHNE CZ, spol. s r.o.</w:t>
      </w:r>
    </w:p>
    <w:p>
      <w:pPr>
        <w:pStyle w:val="Style5"/>
        <w:keepNext w:val="0"/>
        <w:keepLines w:val="0"/>
        <w:framePr w:w="7745" w:h="301" w:wrap="none" w:hAnchor="page" w:x="1082" w:y="45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Karlovy Vary, Mostecká 50, 362 32 Otovice u Karlových Varů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494665</wp:posOffset>
            </wp:positionH>
            <wp:positionV relativeFrom="margin">
              <wp:posOffset>0</wp:posOffset>
            </wp:positionV>
            <wp:extent cx="1652905" cy="13366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52905" cy="13366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6242685</wp:posOffset>
            </wp:positionH>
            <wp:positionV relativeFrom="margin">
              <wp:posOffset>461645</wp:posOffset>
            </wp:positionV>
            <wp:extent cx="956945" cy="77470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6945" cy="774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40"/>
          <w:pgMar w:top="330" w:left="755" w:right="570" w:bottom="3895" w:header="0" w:footer="3467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2934335</wp:posOffset>
                </wp:positionH>
                <wp:positionV relativeFrom="paragraph">
                  <wp:posOffset>12700</wp:posOffset>
                </wp:positionV>
                <wp:extent cx="1026795" cy="65024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6795" cy="650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102043/503/2026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30.06.2026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93 120,00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95480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31.05000000000001pt;margin-top:1.pt;width:80.850000000000009pt;height:51.2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102043/503/2026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30.06.2026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93 120,00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95480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 DlHM inv. č.: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opravu indukčního průtokoměru KROHNE typ Aquaflux 010 F/D, DN 200, který se nachází v šachtě na pozemku p.č. 193/1 k.ú. Tisová u Sokolova v areálu přilehlého rybářství. Průtokoměr slouží pro měření oteplené vody dodávané do rybí líhně z areálu elektrárny Tisová. Jedná se o opravu elektronické jednotky průtokoměru výměnným způsobem (u jednotky nefunguje analogový výstup) včetně veškerých montážních prací, ověření a následného plombování a předání uživateli.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Vybraná varianta opravy č. 2 - viz nabídka služeb zn. NB26MŠ033 v příloze.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9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na provedenou opravu se sjednává v délce 6 měsíců od převzetí dokončeného díla.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Karlovy Vary</w:t>
      </w: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330" w:left="755" w:right="579" w:bottom="33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