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3490700F" w:rsidR="00FF46FE" w:rsidRPr="00B143E3" w:rsidRDefault="00DF0A94" w:rsidP="005C48B2">
      <w:pPr>
        <w:pStyle w:val="Zkladntext"/>
        <w:spacing w:before="0" w:line="276" w:lineRule="auto"/>
        <w:rPr>
          <w:rFonts w:asciiTheme="minorHAnsi" w:hAnsiTheme="minorHAnsi" w:cstheme="minorHAnsi"/>
          <w:sz w:val="32"/>
          <w:szCs w:val="32"/>
        </w:rPr>
      </w:pPr>
      <w:r w:rsidRPr="00DF0A94">
        <w:rPr>
          <w:rFonts w:asciiTheme="minorHAnsi" w:hAnsiTheme="minorHAnsi" w:cstheme="minorHAnsi"/>
          <w:sz w:val="32"/>
          <w:szCs w:val="32"/>
          <w:highlight w:val="black"/>
        </w:rPr>
        <w:t>XXXX</w:t>
      </w:r>
      <w:r>
        <w:rPr>
          <w:rFonts w:asciiTheme="minorHAnsi" w:hAnsiTheme="minorHAnsi" w:cstheme="minorHAnsi"/>
          <w:sz w:val="32"/>
          <w:szCs w:val="32"/>
          <w:highlight w:val="black"/>
        </w:rPr>
        <w:t>XXX</w:t>
      </w:r>
      <w:r w:rsidRPr="00DF0A94">
        <w:rPr>
          <w:rFonts w:asciiTheme="minorHAnsi" w:hAnsiTheme="minorHAnsi" w:cstheme="minorHAnsi"/>
          <w:sz w:val="32"/>
          <w:szCs w:val="32"/>
          <w:highlight w:val="black"/>
        </w:rPr>
        <w:t>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5A554E63" w14:textId="77777777" w:rsidR="00B9606B" w:rsidRPr="007957BC" w:rsidRDefault="00B9606B" w:rsidP="00B9606B">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15AD1205" w14:textId="77777777" w:rsidR="00B9606B" w:rsidRPr="007957BC" w:rsidRDefault="00B9606B" w:rsidP="00B9606B">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2B990C6E" w14:textId="77777777" w:rsidR="00B9606B" w:rsidRPr="007957BC" w:rsidRDefault="00B9606B" w:rsidP="00B9606B">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297E9DCC" w14:textId="77777777" w:rsidR="00B9606B" w:rsidRPr="007957BC" w:rsidRDefault="00B9606B" w:rsidP="00B9606B">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797859AC" w14:textId="77777777" w:rsidR="00B9606B" w:rsidRPr="007957BC" w:rsidRDefault="00B9606B" w:rsidP="00B9606B">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19150F07" w14:textId="77777777" w:rsidR="00B9606B" w:rsidRPr="007957BC" w:rsidRDefault="00B9606B" w:rsidP="00B9606B">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57EE369D" w14:textId="732FAB26" w:rsidR="00B9606B" w:rsidRPr="007957BC" w:rsidRDefault="00B9606B" w:rsidP="00B9606B">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00AA1124" w:rsidRPr="00157DFD">
        <w:rPr>
          <w:rFonts w:asciiTheme="minorHAnsi" w:hAnsiTheme="minorHAnsi"/>
          <w:sz w:val="22"/>
          <w:highlight w:val="black"/>
        </w:rPr>
        <w:t>xxxx</w:t>
      </w:r>
    </w:p>
    <w:p w14:paraId="68B21247" w14:textId="6CDC17E3" w:rsidR="00B9606B" w:rsidRPr="007957BC" w:rsidRDefault="00B9606B" w:rsidP="00B9606B">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00AA1124" w:rsidRPr="00157DFD">
        <w:rPr>
          <w:rFonts w:asciiTheme="minorHAnsi" w:hAnsiTheme="minorHAnsi"/>
          <w:sz w:val="22"/>
          <w:highlight w:val="black"/>
        </w:rPr>
        <w:t>xxxx</w:t>
      </w:r>
    </w:p>
    <w:p w14:paraId="1274278E" w14:textId="77777777" w:rsidR="00B9606B" w:rsidRDefault="00B9606B" w:rsidP="00B9606B">
      <w:pPr>
        <w:spacing w:before="120" w:after="40" w:line="276" w:lineRule="auto"/>
        <w:rPr>
          <w:rFonts w:ascii="Calibri" w:hAnsi="Calibri" w:cs="Calibri"/>
          <w:sz w:val="22"/>
        </w:rPr>
      </w:pPr>
      <w:r w:rsidRPr="007957BC">
        <w:rPr>
          <w:rFonts w:ascii="Calibri" w:hAnsi="Calibri" w:cs="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1D04ADA0" w14:textId="77777777" w:rsidR="004D2BE3" w:rsidRPr="00C55153" w:rsidRDefault="004D2BE3" w:rsidP="004D2BE3">
      <w:pPr>
        <w:spacing w:before="120"/>
        <w:rPr>
          <w:rFonts w:ascii="Calibri" w:hAnsi="Calibri" w:cs="Calibri"/>
          <w:sz w:val="22"/>
          <w:szCs w:val="22"/>
        </w:rPr>
      </w:pPr>
      <w:r w:rsidRPr="00C55153">
        <w:rPr>
          <w:rFonts w:asciiTheme="minorHAnsi" w:hAnsiTheme="minorHAnsi" w:cstheme="minorHAnsi"/>
          <w:b/>
          <w:sz w:val="22"/>
          <w:szCs w:val="22"/>
        </w:rPr>
        <w:t xml:space="preserve">Držitel: </w:t>
      </w:r>
      <w:r w:rsidRPr="00C55153">
        <w:rPr>
          <w:rFonts w:ascii="Calibri" w:hAnsi="Calibri" w:cs="Calibri"/>
          <w:sz w:val="22"/>
          <w:szCs w:val="22"/>
        </w:rPr>
        <w:t>Merck Sharp &amp; Dohme B.V.</w:t>
      </w:r>
    </w:p>
    <w:p w14:paraId="578584A7" w14:textId="77777777" w:rsidR="004D2BE3" w:rsidRPr="00C55153" w:rsidRDefault="004D2BE3" w:rsidP="004D2BE3">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55153">
        <w:rPr>
          <w:rFonts w:asciiTheme="minorHAnsi" w:hAnsiTheme="minorHAnsi" w:cstheme="minorHAnsi"/>
          <w:sz w:val="22"/>
          <w:szCs w:val="22"/>
        </w:rPr>
        <w:t>Sídlo: Waarderweg 39, 2031 BN Haarlem, Nizozemsko</w:t>
      </w:r>
    </w:p>
    <w:p w14:paraId="383ED6FB" w14:textId="77777777" w:rsidR="004D2BE3" w:rsidRPr="00C55153" w:rsidRDefault="004D2BE3" w:rsidP="004D2BE3">
      <w:pPr>
        <w:overflowPunct/>
        <w:autoSpaceDE/>
        <w:autoSpaceDN/>
        <w:adjustRightInd/>
        <w:spacing w:line="276" w:lineRule="auto"/>
        <w:ind w:right="113"/>
        <w:jc w:val="both"/>
        <w:textAlignment w:val="auto"/>
        <w:rPr>
          <w:rFonts w:asciiTheme="minorHAnsi" w:hAnsiTheme="minorHAnsi"/>
          <w:sz w:val="22"/>
          <w:szCs w:val="22"/>
        </w:rPr>
      </w:pPr>
      <w:r w:rsidRPr="00C55153">
        <w:rPr>
          <w:rFonts w:asciiTheme="minorHAnsi" w:hAnsiTheme="minorHAnsi" w:cstheme="minorHAnsi"/>
          <w:sz w:val="22"/>
          <w:szCs w:val="22"/>
        </w:rPr>
        <w:t>Zapsaný ve veřejném</w:t>
      </w:r>
      <w:r w:rsidRPr="00C55153">
        <w:rPr>
          <w:rFonts w:asciiTheme="minorHAnsi" w:hAnsiTheme="minorHAnsi"/>
          <w:sz w:val="22"/>
          <w:szCs w:val="22"/>
        </w:rPr>
        <w:t xml:space="preserve"> rejstříku vedeném obchodní komorou pro Amsterdam pod registračním číslem 34028461</w:t>
      </w:r>
    </w:p>
    <w:p w14:paraId="5DCA2CA1" w14:textId="77777777" w:rsidR="004D2BE3" w:rsidRPr="00C55153"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C55153">
        <w:rPr>
          <w:rFonts w:asciiTheme="minorHAnsi" w:hAnsiTheme="minorHAnsi" w:cstheme="minorHAnsi"/>
          <w:sz w:val="22"/>
          <w:szCs w:val="22"/>
        </w:rPr>
        <w:t>Zastoupený na základě plné moci ze dne 25. 11. 2025 společností:</w:t>
      </w:r>
    </w:p>
    <w:p w14:paraId="301F0756" w14:textId="77777777" w:rsidR="004D2BE3" w:rsidRPr="00C55153" w:rsidRDefault="004D2BE3" w:rsidP="004D2BE3">
      <w:pPr>
        <w:pStyle w:val="Text11"/>
        <w:keepNext w:val="0"/>
        <w:widowControl w:val="0"/>
        <w:ind w:left="0"/>
        <w:contextualSpacing/>
        <w:rPr>
          <w:rFonts w:ascii="Calibri" w:hAnsi="Calibri" w:cs="Calibri"/>
          <w:szCs w:val="22"/>
        </w:rPr>
      </w:pPr>
      <w:r w:rsidRPr="00C55153">
        <w:rPr>
          <w:rFonts w:ascii="Calibri" w:hAnsi="Calibri" w:cs="Calibri"/>
          <w:b/>
          <w:bCs/>
          <w:szCs w:val="22"/>
        </w:rPr>
        <w:t xml:space="preserve">Merck Sharp &amp; Dohme s.r.o. </w:t>
      </w:r>
    </w:p>
    <w:p w14:paraId="316948D5" w14:textId="77777777" w:rsidR="004D2BE3" w:rsidRPr="005D702C"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5D702C">
        <w:rPr>
          <w:rFonts w:asciiTheme="minorHAnsi" w:hAnsiTheme="minorHAnsi" w:cstheme="minorHAnsi"/>
          <w:b/>
          <w:bCs/>
          <w:sz w:val="22"/>
          <w:szCs w:val="22"/>
        </w:rPr>
        <w:t>se sídlem</w:t>
      </w:r>
      <w:r>
        <w:rPr>
          <w:rFonts w:asciiTheme="minorHAnsi" w:hAnsiTheme="minorHAnsi" w:cstheme="minorHAnsi"/>
          <w:sz w:val="22"/>
          <w:szCs w:val="22"/>
        </w:rPr>
        <w:t>:</w:t>
      </w:r>
      <w:r w:rsidRPr="005D702C">
        <w:rPr>
          <w:rFonts w:asciiTheme="minorHAnsi" w:hAnsiTheme="minorHAnsi" w:cstheme="minorHAnsi"/>
          <w:sz w:val="22"/>
          <w:szCs w:val="22"/>
        </w:rPr>
        <w:t xml:space="preserve"> Na Valentince 3336/4, 150 00, Praha 5</w:t>
      </w:r>
    </w:p>
    <w:p w14:paraId="2F1BDE02" w14:textId="77777777" w:rsidR="004D2BE3" w:rsidRPr="005D702C"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5D702C">
        <w:rPr>
          <w:rFonts w:asciiTheme="minorHAnsi" w:hAnsiTheme="minorHAnsi" w:cstheme="minorHAnsi"/>
          <w:b/>
          <w:bCs/>
          <w:sz w:val="22"/>
          <w:szCs w:val="22"/>
        </w:rPr>
        <w:t>zastoupenou</w:t>
      </w:r>
      <w:r w:rsidRPr="005D702C">
        <w:rPr>
          <w:rFonts w:asciiTheme="minorHAnsi" w:hAnsiTheme="minorHAnsi" w:cstheme="minorHAnsi"/>
          <w:sz w:val="22"/>
          <w:szCs w:val="22"/>
        </w:rPr>
        <w:t xml:space="preserve">: Jakubem Zadákem, MBA, pověřeným zaměstnancem na základě pověření ze dne 18. 12. 2025 </w:t>
      </w:r>
    </w:p>
    <w:p w14:paraId="5B20C944" w14:textId="77777777" w:rsidR="004D2BE3" w:rsidRPr="005D702C"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5D702C">
        <w:rPr>
          <w:rFonts w:asciiTheme="minorHAnsi" w:hAnsiTheme="minorHAnsi" w:cstheme="minorHAnsi"/>
          <w:sz w:val="22"/>
          <w:szCs w:val="22"/>
        </w:rPr>
        <w:t>IČO: 28462564</w:t>
      </w:r>
    </w:p>
    <w:p w14:paraId="13D62E0A" w14:textId="77777777" w:rsidR="004D2BE3" w:rsidRPr="005D702C"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5D702C">
        <w:rPr>
          <w:rFonts w:asciiTheme="minorHAnsi" w:hAnsiTheme="minorHAnsi" w:cstheme="minorHAnsi"/>
          <w:sz w:val="22"/>
          <w:szCs w:val="22"/>
        </w:rPr>
        <w:t xml:space="preserve">DIČ: CZ28462564 </w:t>
      </w:r>
    </w:p>
    <w:p w14:paraId="1AB10489" w14:textId="77777777" w:rsidR="004D2BE3" w:rsidRPr="00C55153"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C55153">
        <w:rPr>
          <w:rFonts w:asciiTheme="minorHAnsi" w:hAnsiTheme="minorHAnsi" w:cstheme="minorHAnsi"/>
          <w:sz w:val="22"/>
          <w:szCs w:val="22"/>
        </w:rPr>
        <w:t>Bankovní spojení:</w:t>
      </w:r>
      <w:r w:rsidRPr="00C55153">
        <w:rPr>
          <w:sz w:val="22"/>
          <w:szCs w:val="22"/>
        </w:rPr>
        <w:t xml:space="preserve"> </w:t>
      </w:r>
      <w:r w:rsidRPr="00C55153">
        <w:rPr>
          <w:rFonts w:asciiTheme="minorHAnsi" w:hAnsiTheme="minorHAnsi" w:cstheme="minorHAnsi"/>
          <w:sz w:val="22"/>
          <w:szCs w:val="22"/>
        </w:rPr>
        <w:t>Citibank Europe Plc.</w:t>
      </w:r>
    </w:p>
    <w:p w14:paraId="1407B983" w14:textId="77777777" w:rsidR="004D2BE3" w:rsidRPr="0046174F" w:rsidRDefault="004D2BE3" w:rsidP="004D2BE3">
      <w:pPr>
        <w:overflowPunct/>
        <w:autoSpaceDE/>
        <w:autoSpaceDN/>
        <w:adjustRightInd/>
        <w:spacing w:line="276" w:lineRule="auto"/>
        <w:ind w:right="113"/>
        <w:jc w:val="both"/>
        <w:textAlignment w:val="auto"/>
        <w:rPr>
          <w:rFonts w:asciiTheme="minorHAnsi" w:hAnsiTheme="minorHAnsi" w:cstheme="minorHAnsi"/>
          <w:sz w:val="22"/>
          <w:szCs w:val="22"/>
        </w:rPr>
      </w:pPr>
      <w:r w:rsidRPr="00C55153">
        <w:rPr>
          <w:rFonts w:asciiTheme="minorHAnsi" w:hAnsiTheme="minorHAnsi" w:cstheme="minorHAnsi"/>
          <w:sz w:val="22"/>
          <w:szCs w:val="22"/>
        </w:rPr>
        <w:t>Číslo účtu: 2051460102/2600</w:t>
      </w:r>
    </w:p>
    <w:p w14:paraId="0764A3D8" w14:textId="77777777" w:rsidR="004D2BE3" w:rsidRPr="00B143E3" w:rsidRDefault="004D2BE3" w:rsidP="004D2BE3">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EA18FF"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EA18FF">
        <w:rPr>
          <w:rFonts w:asciiTheme="minorHAnsi" w:hAnsiTheme="minorHAnsi" w:cstheme="minorHAnsi"/>
          <w:b/>
          <w:sz w:val="22"/>
          <w:szCs w:val="22"/>
        </w:rPr>
        <w:t xml:space="preserve">Kompenzací – </w:t>
      </w:r>
      <w:r w:rsidRPr="00EA18FF">
        <w:rPr>
          <w:rFonts w:asciiTheme="minorHAnsi" w:hAnsiTheme="minorHAnsi" w:cstheme="minorHAnsi"/>
          <w:sz w:val="22"/>
          <w:szCs w:val="22"/>
        </w:rPr>
        <w:t>částka stanovená v Příloze č. 1 této Smlouvy</w:t>
      </w:r>
      <w:r w:rsidR="002D3D78" w:rsidRPr="00EA18FF">
        <w:rPr>
          <w:rFonts w:asciiTheme="minorHAnsi" w:hAnsiTheme="minorHAnsi" w:cstheme="minorHAnsi"/>
          <w:sz w:val="22"/>
          <w:szCs w:val="22"/>
        </w:rPr>
        <w:t>.</w:t>
      </w:r>
    </w:p>
    <w:p w14:paraId="015613C2" w14:textId="77777777" w:rsidR="00F13DAC" w:rsidRDefault="00F13DAC" w:rsidP="005C48B2">
      <w:pPr>
        <w:spacing w:after="40" w:line="276" w:lineRule="auto"/>
        <w:rPr>
          <w:rFonts w:asciiTheme="minorHAnsi" w:hAnsiTheme="minorHAnsi"/>
          <w:b/>
          <w:sz w:val="22"/>
        </w:rPr>
      </w:pPr>
    </w:p>
    <w:p w14:paraId="12B426EB" w14:textId="77777777" w:rsidR="003152CE" w:rsidRDefault="003152CE">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1F080BA9"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08C48C5F" w14:textId="02659451" w:rsidR="003C58F3" w:rsidRPr="006A6DFA" w:rsidRDefault="3537E685" w:rsidP="006A6DFA">
      <w:pPr>
        <w:spacing w:after="40" w:line="276" w:lineRule="auto"/>
        <w:jc w:val="center"/>
        <w:rPr>
          <w:rFonts w:asciiTheme="minorHAnsi" w:hAnsiTheme="minorHAnsi" w:cstheme="minorBidi"/>
          <w:b/>
          <w:bCs/>
          <w:sz w:val="22"/>
          <w:szCs w:val="22"/>
        </w:rPr>
      </w:pPr>
      <w:r w:rsidRPr="00FF48DA">
        <w:rPr>
          <w:rFonts w:asciiTheme="minorHAnsi" w:hAnsiTheme="minorHAnsi"/>
          <w:b/>
          <w:bCs/>
          <w:sz w:val="22"/>
          <w:szCs w:val="22"/>
        </w:rPr>
        <w:t xml:space="preserve">Závazek k poskytnutí </w:t>
      </w:r>
      <w:r w:rsidRPr="00FF48DA">
        <w:rPr>
          <w:rFonts w:asciiTheme="minorHAnsi" w:hAnsiTheme="minorHAnsi" w:cstheme="minorBidi"/>
          <w:b/>
          <w:bCs/>
          <w:sz w:val="22"/>
          <w:szCs w:val="22"/>
        </w:rPr>
        <w:t>Kompenzace</w:t>
      </w:r>
    </w:p>
    <w:p w14:paraId="2BD46FB4" w14:textId="529400FF" w:rsidR="003C0481" w:rsidRDefault="00985707" w:rsidP="70408CC7">
      <w:pPr>
        <w:pStyle w:val="Odstavecseseznamem"/>
        <w:numPr>
          <w:ilvl w:val="0"/>
          <w:numId w:val="1"/>
        </w:numPr>
        <w:spacing w:before="120" w:after="40" w:line="276" w:lineRule="auto"/>
        <w:ind w:left="284" w:hanging="284"/>
        <w:jc w:val="both"/>
        <w:rPr>
          <w:rFonts w:asciiTheme="minorHAnsi" w:hAnsiTheme="minorHAnsi"/>
          <w:sz w:val="22"/>
          <w:szCs w:val="22"/>
        </w:rPr>
      </w:pPr>
      <w:r w:rsidRPr="70408CC7">
        <w:rPr>
          <w:rFonts w:asciiTheme="minorHAnsi" w:hAnsiTheme="minorHAnsi"/>
          <w:sz w:val="22"/>
          <w:szCs w:val="22"/>
        </w:rPr>
        <w:t xml:space="preserve">Držitel se zavazuje poskytnout Pojišťovně </w:t>
      </w:r>
      <w:r w:rsidR="6F832636" w:rsidRPr="70408CC7">
        <w:rPr>
          <w:rFonts w:asciiTheme="minorHAnsi" w:hAnsiTheme="minorHAnsi"/>
          <w:b/>
          <w:bCs/>
          <w:sz w:val="22"/>
          <w:szCs w:val="22"/>
        </w:rPr>
        <w:t>Kompenzaci</w:t>
      </w:r>
      <w:r w:rsidR="00F82725" w:rsidRPr="70408CC7">
        <w:rPr>
          <w:rFonts w:asciiTheme="minorHAnsi" w:hAnsiTheme="minorHAnsi"/>
          <w:b/>
          <w:bCs/>
          <w:sz w:val="22"/>
          <w:szCs w:val="22"/>
        </w:rPr>
        <w:t xml:space="preserve"> </w:t>
      </w:r>
      <w:r w:rsidR="3C1998A1" w:rsidRPr="70408CC7">
        <w:rPr>
          <w:rFonts w:asciiTheme="minorHAnsi" w:hAnsiTheme="minorHAnsi"/>
          <w:sz w:val="22"/>
          <w:szCs w:val="22"/>
        </w:rPr>
        <w:t>z</w:t>
      </w:r>
      <w:r w:rsidRPr="70408CC7">
        <w:rPr>
          <w:rFonts w:asciiTheme="minorHAnsi" w:hAnsiTheme="minorHAnsi"/>
          <w:sz w:val="22"/>
          <w:szCs w:val="22"/>
        </w:rPr>
        <w:t>a každé</w:t>
      </w:r>
      <w:r w:rsidR="0083076A" w:rsidRPr="70408CC7">
        <w:rPr>
          <w:rFonts w:asciiTheme="minorHAnsi" w:hAnsiTheme="minorHAnsi"/>
          <w:sz w:val="22"/>
          <w:szCs w:val="22"/>
        </w:rPr>
        <w:t xml:space="preserve"> </w:t>
      </w:r>
      <w:r w:rsidR="0083076A" w:rsidRPr="70408CC7">
        <w:rPr>
          <w:rFonts w:asciiTheme="minorHAnsi" w:hAnsiTheme="minorHAnsi" w:cstheme="minorBidi"/>
          <w:sz w:val="22"/>
          <w:szCs w:val="22"/>
        </w:rPr>
        <w:t>Pojišťovnou uhrazené</w:t>
      </w:r>
      <w:r w:rsidRPr="70408CC7">
        <w:rPr>
          <w:rFonts w:asciiTheme="minorHAnsi" w:hAnsiTheme="minorHAnsi"/>
          <w:sz w:val="22"/>
          <w:szCs w:val="22"/>
        </w:rPr>
        <w:t xml:space="preserve"> balení Přípravku</w:t>
      </w:r>
      <w:r w:rsidR="00DD7594" w:rsidRPr="70408CC7">
        <w:rPr>
          <w:rFonts w:asciiTheme="minorHAnsi" w:hAnsiTheme="minorHAnsi"/>
          <w:sz w:val="22"/>
          <w:szCs w:val="22"/>
        </w:rPr>
        <w:t>, a to</w:t>
      </w:r>
      <w:r w:rsidR="00243D85" w:rsidRPr="70408CC7">
        <w:rPr>
          <w:rFonts w:asciiTheme="minorHAnsi" w:hAnsiTheme="minorHAnsi"/>
          <w:sz w:val="22"/>
          <w:szCs w:val="22"/>
        </w:rPr>
        <w:t xml:space="preserve"> </w:t>
      </w:r>
      <w:r w:rsidR="000B6B53" w:rsidRPr="70408CC7">
        <w:rPr>
          <w:rFonts w:asciiTheme="minorHAnsi" w:hAnsiTheme="minorHAnsi" w:cstheme="minorBidi"/>
          <w:sz w:val="22"/>
          <w:szCs w:val="22"/>
        </w:rPr>
        <w:t>již od data uvedeného v Článku V. odst. 6 této Smlouvy</w:t>
      </w:r>
      <w:r w:rsidR="168392B7" w:rsidRPr="70408CC7">
        <w:rPr>
          <w:rFonts w:asciiTheme="minorHAnsi" w:hAnsiTheme="minorHAnsi" w:cstheme="minorBidi"/>
          <w:sz w:val="22"/>
          <w:szCs w:val="22"/>
        </w:rPr>
        <w:t xml:space="preserve"> a</w:t>
      </w:r>
      <w:r w:rsidR="000B6B53" w:rsidRPr="70408CC7">
        <w:rPr>
          <w:rFonts w:asciiTheme="minorHAnsi" w:hAnsiTheme="minorHAnsi" w:cstheme="minorBidi"/>
          <w:sz w:val="22"/>
          <w:szCs w:val="22"/>
        </w:rPr>
        <w:t xml:space="preserve"> po celou dobu trvání Smlouvy</w:t>
      </w:r>
      <w:r w:rsidRPr="70408CC7">
        <w:rPr>
          <w:rFonts w:asciiTheme="minorHAnsi" w:hAnsiTheme="minorHAnsi"/>
          <w:sz w:val="22"/>
          <w:szCs w:val="22"/>
        </w:rPr>
        <w:t>.</w:t>
      </w:r>
      <w:r w:rsidR="001537E8" w:rsidRPr="70408CC7">
        <w:rPr>
          <w:rFonts w:asciiTheme="minorHAnsi" w:hAnsiTheme="minorHAnsi"/>
          <w:sz w:val="22"/>
          <w:szCs w:val="22"/>
        </w:rPr>
        <w:t xml:space="preserve"> </w:t>
      </w:r>
      <w:r w:rsidR="47E35DCF" w:rsidRPr="70408CC7">
        <w:rPr>
          <w:rFonts w:asciiTheme="minorHAnsi" w:hAnsiTheme="minorHAnsi"/>
          <w:sz w:val="22"/>
          <w:szCs w:val="22"/>
        </w:rPr>
        <w:t>Kompenzaci</w:t>
      </w:r>
      <w:r w:rsidR="001537E8" w:rsidRPr="70408CC7">
        <w:rPr>
          <w:rFonts w:asciiTheme="minorHAnsi" w:hAnsiTheme="minorHAnsi"/>
          <w:sz w:val="22"/>
          <w:szCs w:val="22"/>
        </w:rPr>
        <w:t xml:space="preserve"> stanoví Příloha č. 1 této Smlouvy.</w:t>
      </w:r>
      <w:r w:rsidRPr="70408CC7">
        <w:rPr>
          <w:rFonts w:asciiTheme="minorHAnsi" w:hAnsiTheme="minorHAnsi"/>
          <w:sz w:val="22"/>
          <w:szCs w:val="22"/>
        </w:rPr>
        <w:t xml:space="preserve"> </w:t>
      </w:r>
      <w:r w:rsidR="46ED7857" w:rsidRPr="70408CC7">
        <w:rPr>
          <w:rFonts w:asciiTheme="minorHAnsi" w:hAnsiTheme="minorHAnsi"/>
          <w:sz w:val="22"/>
          <w:szCs w:val="22"/>
        </w:rPr>
        <w:t>Kompenzace</w:t>
      </w:r>
      <w:r w:rsidRPr="70408CC7">
        <w:rPr>
          <w:rFonts w:asciiTheme="minorHAnsi" w:hAnsiTheme="minorHAnsi"/>
          <w:sz w:val="22"/>
          <w:szCs w:val="22"/>
        </w:rPr>
        <w:t xml:space="preserve"> bude poskytována formou Zpětné platby.</w:t>
      </w:r>
    </w:p>
    <w:p w14:paraId="293316A1" w14:textId="52DFF558" w:rsidR="00677F34" w:rsidRPr="00677F34" w:rsidDel="00584952" w:rsidRDefault="00677F34" w:rsidP="00B26507">
      <w:pPr>
        <w:pStyle w:val="Odstavecseseznamem"/>
        <w:numPr>
          <w:ilvl w:val="0"/>
          <w:numId w:val="1"/>
        </w:numPr>
        <w:spacing w:before="120" w:after="40" w:line="276" w:lineRule="auto"/>
        <w:ind w:left="284" w:hanging="284"/>
        <w:jc w:val="both"/>
        <w:rPr>
          <w:rFonts w:asciiTheme="minorHAnsi" w:hAnsiTheme="minorHAnsi" w:cstheme="minorBidi"/>
          <w:sz w:val="22"/>
          <w:szCs w:val="22"/>
        </w:rPr>
      </w:pPr>
      <w:r w:rsidRPr="00677F34">
        <w:rPr>
          <w:rFonts w:asciiTheme="minorHAnsi" w:hAnsiTheme="minorHAnsi" w:cstheme="minorBidi"/>
          <w:sz w:val="22"/>
          <w:szCs w:val="22"/>
        </w:rPr>
        <w:t>Pro účely výpočtu celkové Kompenzace a poskytnutí Zpětné platby v souladu s Článkem II. a Článkem V. této Smlouvy je určující den, kdy byl Přípravek Pojišťovnou Poskytovateli uhrazen.</w:t>
      </w:r>
    </w:p>
    <w:p w14:paraId="07902A85" w14:textId="77777777" w:rsidR="00B425D5" w:rsidRPr="0018509E" w:rsidRDefault="00B425D5" w:rsidP="006A6DFA">
      <w:pPr>
        <w:pStyle w:val="Stylpravidel"/>
        <w:tabs>
          <w:tab w:val="left" w:pos="381"/>
        </w:tabs>
        <w:spacing w:before="0" w:after="40" w:line="276" w:lineRule="auto"/>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632D7A96" w14:textId="759F39CE" w:rsidR="001C03D9" w:rsidRPr="001C03D9" w:rsidRDefault="001C03D9" w:rsidP="001C03D9">
      <w:pPr>
        <w:pStyle w:val="Odstavecseseznamem"/>
        <w:numPr>
          <w:ilvl w:val="0"/>
          <w:numId w:val="19"/>
        </w:numPr>
        <w:spacing w:before="120" w:after="40" w:line="276" w:lineRule="auto"/>
        <w:ind w:left="426"/>
        <w:jc w:val="both"/>
        <w:rPr>
          <w:rFonts w:asciiTheme="minorHAnsi" w:hAnsiTheme="minorHAnsi"/>
          <w:sz w:val="22"/>
        </w:rPr>
      </w:pPr>
      <w:r w:rsidRPr="001C03D9">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w:t>
      </w:r>
      <w:r w:rsidRPr="001C03D9">
        <w:rPr>
          <w:rFonts w:asciiTheme="minorHAnsi" w:hAnsiTheme="minorHAnsi"/>
          <w:sz w:val="22"/>
        </w:rPr>
        <w:lastRenderedPageBreak/>
        <w:t xml:space="preserve">léčbu Přípravkem, a to za měsíce leden až červen do 1. 10. příslušného kalendářního roku a za měsíce červenec až prosinec do 1. 4. následujícího kalendářního roku, a to na e-mailovou adresu </w:t>
      </w:r>
      <w:r w:rsidR="00B22FEA" w:rsidRPr="00BF17CE">
        <w:rPr>
          <w:rFonts w:asciiTheme="minorHAnsi" w:hAnsiTheme="minorHAnsi" w:cstheme="minorHAnsi"/>
          <w:sz w:val="22"/>
          <w:szCs w:val="22"/>
          <w:highlight w:val="black"/>
        </w:rPr>
        <w:t>xxxxxxxx</w:t>
      </w:r>
      <w:r w:rsidR="00B22FEA">
        <w:rPr>
          <w:rFonts w:asciiTheme="minorHAnsi" w:hAnsiTheme="minorHAnsi"/>
          <w:color w:val="000000" w:themeColor="text1"/>
          <w:sz w:val="22"/>
        </w:rPr>
        <w:t>.</w:t>
      </w:r>
    </w:p>
    <w:p w14:paraId="6D7EE827" w14:textId="77777777" w:rsidR="00B22FEA" w:rsidRPr="00B22FEA" w:rsidRDefault="009C6BAD" w:rsidP="00246F38">
      <w:pPr>
        <w:pStyle w:val="Odstavecseseznamem"/>
        <w:numPr>
          <w:ilvl w:val="0"/>
          <w:numId w:val="19"/>
        </w:numPr>
        <w:spacing w:before="120" w:after="40" w:line="276" w:lineRule="auto"/>
        <w:ind w:left="425" w:hanging="357"/>
        <w:jc w:val="both"/>
        <w:rPr>
          <w:rFonts w:asciiTheme="minorHAnsi" w:hAnsiTheme="minorHAnsi"/>
          <w:sz w:val="22"/>
        </w:rPr>
      </w:pPr>
      <w:r w:rsidRPr="00B22FEA">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B22FEA">
        <w:rPr>
          <w:rFonts w:asciiTheme="minorHAnsi" w:hAnsiTheme="minorHAnsi"/>
          <w:sz w:val="22"/>
        </w:rPr>
        <w:t xml:space="preserve">odeslání </w:t>
      </w:r>
      <w:r w:rsidRPr="00B22FEA">
        <w:rPr>
          <w:rFonts w:asciiTheme="minorHAnsi" w:hAnsiTheme="minorHAnsi"/>
          <w:sz w:val="22"/>
        </w:rPr>
        <w:t>na</w:t>
      </w:r>
      <w:r w:rsidRPr="00B22FEA">
        <w:rPr>
          <w:rFonts w:asciiTheme="minorHAnsi" w:hAnsiTheme="minorHAnsi" w:cstheme="minorHAnsi"/>
          <w:sz w:val="22"/>
          <w:szCs w:val="22"/>
        </w:rPr>
        <w:t xml:space="preserve"> </w:t>
      </w:r>
      <w:r w:rsidR="00E418C4" w:rsidRPr="00B22FEA">
        <w:rPr>
          <w:rFonts w:asciiTheme="minorHAnsi" w:hAnsiTheme="minorHAnsi" w:cstheme="minorHAnsi"/>
          <w:sz w:val="22"/>
          <w:szCs w:val="22"/>
        </w:rPr>
        <w:t>e-mail</w:t>
      </w:r>
      <w:r w:rsidR="00535CE0" w:rsidRPr="00B22FEA">
        <w:rPr>
          <w:rFonts w:asciiTheme="minorHAnsi" w:hAnsiTheme="minorHAnsi" w:cstheme="minorHAnsi"/>
          <w:sz w:val="22"/>
          <w:szCs w:val="22"/>
        </w:rPr>
        <w:t>ovou</w:t>
      </w:r>
      <w:r w:rsidR="00535CE0" w:rsidRPr="00B22FEA">
        <w:rPr>
          <w:rFonts w:asciiTheme="minorHAnsi" w:hAnsiTheme="minorHAnsi"/>
          <w:sz w:val="22"/>
        </w:rPr>
        <w:t xml:space="preserve"> </w:t>
      </w:r>
      <w:r w:rsidRPr="00B22FEA">
        <w:rPr>
          <w:rFonts w:asciiTheme="minorHAnsi" w:hAnsiTheme="minorHAnsi"/>
          <w:sz w:val="22"/>
        </w:rPr>
        <w:t xml:space="preserve">adresu </w:t>
      </w:r>
      <w:r w:rsidR="00B22FEA" w:rsidRPr="00BF17CE">
        <w:rPr>
          <w:rFonts w:asciiTheme="minorHAnsi" w:hAnsiTheme="minorHAnsi" w:cstheme="minorHAnsi"/>
          <w:sz w:val="22"/>
          <w:szCs w:val="22"/>
          <w:highlight w:val="black"/>
        </w:rPr>
        <w:t>xxxxxxxx</w:t>
      </w:r>
      <w:r w:rsidR="00B22FEA">
        <w:rPr>
          <w:rFonts w:asciiTheme="minorHAnsi" w:hAnsiTheme="minorHAnsi"/>
          <w:color w:val="000000" w:themeColor="text1"/>
          <w:sz w:val="22"/>
        </w:rPr>
        <w:t>.</w:t>
      </w:r>
    </w:p>
    <w:p w14:paraId="3D5AE442" w14:textId="6814CCF9" w:rsidR="009C6BAD" w:rsidRPr="00B22FEA" w:rsidRDefault="009C6BAD" w:rsidP="00246F38">
      <w:pPr>
        <w:pStyle w:val="Odstavecseseznamem"/>
        <w:numPr>
          <w:ilvl w:val="0"/>
          <w:numId w:val="19"/>
        </w:numPr>
        <w:spacing w:before="120" w:after="40" w:line="276" w:lineRule="auto"/>
        <w:ind w:left="425" w:hanging="357"/>
        <w:jc w:val="both"/>
        <w:rPr>
          <w:rFonts w:asciiTheme="minorHAnsi" w:hAnsiTheme="minorHAnsi"/>
          <w:sz w:val="22"/>
        </w:rPr>
      </w:pPr>
      <w:r w:rsidRPr="00B22FEA">
        <w:rPr>
          <w:rFonts w:asciiTheme="minorHAnsi" w:hAnsiTheme="minorHAnsi"/>
          <w:sz w:val="22"/>
        </w:rPr>
        <w:t>Pojišťovna se zavazuje do 1. 4. následujícího kalendářního roku předložit Držiteli podklady dle předcházejícího odstavce a výši Zpětné platby</w:t>
      </w:r>
      <w:r w:rsidR="00535CE0" w:rsidRPr="00B22FEA">
        <w:rPr>
          <w:rFonts w:asciiTheme="minorHAnsi" w:hAnsiTheme="minorHAnsi" w:cstheme="minorHAnsi"/>
          <w:sz w:val="22"/>
          <w:szCs w:val="22"/>
        </w:rPr>
        <w:t>.</w:t>
      </w:r>
      <w:r w:rsidR="00535CE0" w:rsidRPr="00B22FEA">
        <w:rPr>
          <w:rFonts w:asciiTheme="minorHAnsi" w:hAnsiTheme="minorHAnsi"/>
          <w:sz w:val="22"/>
        </w:rPr>
        <w:t xml:space="preserve"> </w:t>
      </w:r>
      <w:r w:rsidRPr="00B22FEA">
        <w:rPr>
          <w:rFonts w:asciiTheme="minorHAnsi" w:hAnsiTheme="minorHAnsi"/>
          <w:sz w:val="22"/>
        </w:rPr>
        <w:t xml:space="preserve">Tyto informace </w:t>
      </w:r>
      <w:r w:rsidR="003B076E" w:rsidRPr="00B22FEA">
        <w:rPr>
          <w:rFonts w:asciiTheme="minorHAnsi" w:hAnsiTheme="minorHAnsi" w:cstheme="minorHAnsi"/>
          <w:sz w:val="22"/>
          <w:szCs w:val="22"/>
        </w:rPr>
        <w:t>budou podkladem pro provedení fakturace Zpětné platby</w:t>
      </w:r>
      <w:r w:rsidRPr="00B22FEA">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B22FEA">
        <w:rPr>
          <w:rFonts w:asciiTheme="minorHAnsi" w:hAnsiTheme="minorHAnsi" w:cstheme="minorHAnsi"/>
          <w:sz w:val="22"/>
          <w:szCs w:val="22"/>
        </w:rPr>
        <w:t xml:space="preserve">Předložení podkladů dle věty první tohoto odstavce provede Pojišťovna </w:t>
      </w:r>
      <w:r w:rsidR="003B076E" w:rsidRPr="00B22FEA">
        <w:rPr>
          <w:rFonts w:asciiTheme="minorHAnsi" w:hAnsiTheme="minorHAnsi" w:cstheme="minorHAnsi"/>
          <w:sz w:val="22"/>
          <w:szCs w:val="22"/>
        </w:rPr>
        <w:t>odesláním</w:t>
      </w:r>
      <w:r w:rsidR="00535CE0" w:rsidRPr="00B22FEA">
        <w:rPr>
          <w:rFonts w:asciiTheme="minorHAnsi" w:hAnsiTheme="minorHAnsi" w:cstheme="minorHAnsi"/>
          <w:sz w:val="22"/>
          <w:szCs w:val="22"/>
        </w:rPr>
        <w:t xml:space="preserve"> na </w:t>
      </w:r>
      <w:r w:rsidR="00E418C4" w:rsidRPr="00B22FEA">
        <w:rPr>
          <w:rFonts w:asciiTheme="minorHAnsi" w:hAnsiTheme="minorHAnsi" w:cstheme="minorHAnsi"/>
          <w:sz w:val="22"/>
          <w:szCs w:val="22"/>
        </w:rPr>
        <w:t>e-mail</w:t>
      </w:r>
      <w:r w:rsidR="00535CE0" w:rsidRPr="00B22FEA">
        <w:rPr>
          <w:rFonts w:asciiTheme="minorHAnsi" w:hAnsiTheme="minorHAnsi" w:cstheme="minorHAnsi"/>
          <w:sz w:val="22"/>
          <w:szCs w:val="22"/>
        </w:rPr>
        <w:t xml:space="preserve">ovou adresu </w:t>
      </w:r>
      <w:r w:rsidR="00B22FEA" w:rsidRPr="00B22FEA">
        <w:rPr>
          <w:rFonts w:asciiTheme="minorHAnsi" w:hAnsiTheme="minorHAnsi" w:cstheme="minorHAnsi"/>
          <w:sz w:val="22"/>
          <w:szCs w:val="22"/>
          <w:highlight w:val="black"/>
        </w:rPr>
        <w:t>xxxxxx</w:t>
      </w:r>
      <w:r w:rsidR="00B22FEA">
        <w:rPr>
          <w:rFonts w:asciiTheme="minorHAnsi" w:hAnsiTheme="minorHAnsi" w:cstheme="minorHAnsi"/>
          <w:sz w:val="22"/>
          <w:szCs w:val="22"/>
        </w:rPr>
        <w:t>.</w:t>
      </w:r>
    </w:p>
    <w:p w14:paraId="62F39BEE" w14:textId="33641E86"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B22FEA" w:rsidRPr="00B22FEA">
        <w:rPr>
          <w:rFonts w:asciiTheme="minorHAnsi" w:hAnsiTheme="minorHAnsi" w:cstheme="minorHAnsi"/>
          <w:sz w:val="22"/>
          <w:szCs w:val="22"/>
          <w:highlight w:val="black"/>
        </w:rPr>
        <w:t>xxxxxx</w:t>
      </w:r>
    </w:p>
    <w:p w14:paraId="47EED0B0" w14:textId="7E1A429C"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801368" w:rsidRPr="00801368">
        <w:rPr>
          <w:rFonts w:asciiTheme="minorHAnsi" w:hAnsiTheme="minorHAnsi" w:cstheme="minorBidi"/>
          <w:b/>
          <w:bCs/>
          <w:sz w:val="22"/>
          <w:szCs w:val="22"/>
        </w:rPr>
        <w:t xml:space="preserve">1. </w:t>
      </w:r>
      <w:r w:rsidR="00A84960">
        <w:rPr>
          <w:rFonts w:asciiTheme="minorHAnsi" w:hAnsiTheme="minorHAnsi" w:cstheme="minorBidi"/>
          <w:b/>
          <w:bCs/>
          <w:sz w:val="22"/>
          <w:szCs w:val="22"/>
        </w:rPr>
        <w:t>6.</w:t>
      </w:r>
      <w:r w:rsidR="00801368" w:rsidRPr="00801368">
        <w:rPr>
          <w:rFonts w:asciiTheme="minorHAnsi" w:hAnsiTheme="minorHAnsi" w:cstheme="minorBidi"/>
          <w:b/>
          <w:bCs/>
          <w:sz w:val="22"/>
          <w:szCs w:val="22"/>
        </w:rPr>
        <w:t xml:space="preserve"> 2025</w:t>
      </w:r>
      <w:r w:rsidR="0004697E">
        <w:rPr>
          <w:rFonts w:asciiTheme="minorHAnsi" w:hAnsiTheme="minorHAnsi" w:cstheme="minorBidi"/>
          <w:sz w:val="22"/>
          <w:szCs w:val="22"/>
        </w:rPr>
        <w:t>.</w:t>
      </w:r>
    </w:p>
    <w:p w14:paraId="07E6CF2F" w14:textId="61D823E1" w:rsidR="00535CE0"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1190C1F1" w14:textId="2AE781ED" w:rsidR="00C97AC9" w:rsidRPr="00FF5447" w:rsidRDefault="00FF5447" w:rsidP="00FF5447">
      <w:pPr>
        <w:pStyle w:val="Odstavecseseznamem"/>
        <w:numPr>
          <w:ilvl w:val="0"/>
          <w:numId w:val="19"/>
        </w:numPr>
        <w:spacing w:before="120" w:after="40" w:line="276" w:lineRule="auto"/>
        <w:ind w:left="425" w:hanging="357"/>
        <w:jc w:val="both"/>
        <w:rPr>
          <w:rFonts w:asciiTheme="minorHAnsi" w:hAnsiTheme="minorHAnsi"/>
          <w:sz w:val="22"/>
        </w:rPr>
      </w:pPr>
      <w:r w:rsidRPr="5EBABEAE">
        <w:rPr>
          <w:rFonts w:asciiTheme="minorHAnsi" w:hAnsiTheme="minorHAnsi"/>
          <w:sz w:val="22"/>
          <w:szCs w:val="22"/>
        </w:rPr>
        <w:t xml:space="preserve">Pro případ, že smluvní strany již uzavřely či v budoucnu uzavřou jakoukoli jinou smlouvu o limitaci rizik spojených s hrazením Přípravku zahrnující indikaci uvedenou v Příloze č. 1 této Smlouvy, na jejímž základě bude Držitel povinen poskytnout Pojišťovně za stanovených podmínek peněžité plnění (zpětnou platbu) v případě, že náklady Pojišťovny na léčbu Přípravkem překročí ujednaný limit (tzv. </w:t>
      </w:r>
      <w:r w:rsidRPr="5EBABEAE">
        <w:rPr>
          <w:rFonts w:asciiTheme="minorHAnsi" w:hAnsiTheme="minorHAnsi"/>
          <w:i/>
          <w:iCs/>
          <w:sz w:val="22"/>
          <w:szCs w:val="22"/>
        </w:rPr>
        <w:t>budget cap</w:t>
      </w:r>
      <w:r w:rsidRPr="5EBABEAE">
        <w:rPr>
          <w:rFonts w:asciiTheme="minorHAnsi" w:hAnsiTheme="minorHAnsi"/>
          <w:sz w:val="22"/>
          <w:szCs w:val="22"/>
        </w:rPr>
        <w:t>) (dále také jen „</w:t>
      </w:r>
      <w:r w:rsidRPr="5EBABEAE">
        <w:rPr>
          <w:rFonts w:asciiTheme="minorHAnsi" w:hAnsiTheme="minorHAnsi"/>
          <w:b/>
          <w:bCs/>
          <w:sz w:val="22"/>
          <w:szCs w:val="22"/>
        </w:rPr>
        <w:t>Paralelní smlouva</w:t>
      </w:r>
      <w:r w:rsidRPr="5EBABEAE">
        <w:rPr>
          <w:rFonts w:asciiTheme="minorHAnsi" w:hAnsiTheme="minorHAnsi"/>
          <w:sz w:val="22"/>
          <w:szCs w:val="22"/>
        </w:rPr>
        <w:t>“), smluvní strany pro vyloučení pochybností ujednávají, že výše Zpětné platby, kterou bude Držitel povinen uhradit dle této Smlouvy, se pro účely jakékoli již existující či v budoucnu uzavřené Paralelní smlouvy nepovažuje za náklad Pojišťovny na léčbu Přípravkem, a že se tedy od tohoto nákladu odečte.</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23359279"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E30AA6">
        <w:rPr>
          <w:rFonts w:asciiTheme="minorHAnsi" w:hAnsiTheme="minorHAnsi"/>
          <w:sz w:val="22"/>
        </w:rPr>
        <w:t xml:space="preserve"> </w:t>
      </w:r>
      <w:r w:rsidR="00E30AA6" w:rsidRPr="006226BB">
        <w:rPr>
          <w:rFonts w:asciiTheme="minorHAnsi" w:hAnsiTheme="minorHAnsi"/>
          <w:sz w:val="22"/>
        </w:rPr>
        <w:t>včetně výše Kompenzace a Zpětné platby,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B35026" w:rsidRPr="00B35026">
        <w:rPr>
          <w:rFonts w:asciiTheme="minorHAnsi" w:hAnsiTheme="minorHAnsi"/>
          <w:sz w:val="22"/>
        </w:rPr>
        <w:t xml:space="preserve"> </w:t>
      </w:r>
      <w:r w:rsidR="00B35026" w:rsidRPr="006226BB">
        <w:rPr>
          <w:rFonts w:asciiTheme="minorHAnsi" w:hAnsiTheme="minorHAnsi"/>
          <w:sz w:val="22"/>
        </w:rPr>
        <w:t>včetně výše Kompenzace a Zpětné platby,</w:t>
      </w:r>
      <w:r w:rsidR="00B44B70" w:rsidRPr="0018509E">
        <w:rPr>
          <w:rFonts w:asciiTheme="minorHAnsi" w:hAnsiTheme="minorHAnsi"/>
          <w:sz w:val="22"/>
        </w:rPr>
        <w:t xml:space="preserve">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13035C0" w14:textId="77777777" w:rsidR="003152CE" w:rsidRDefault="003152CE">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2445B4A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EDD9BB3"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801368">
        <w:rPr>
          <w:rFonts w:asciiTheme="minorHAnsi" w:hAnsiTheme="minorHAnsi"/>
          <w:sz w:val="22"/>
        </w:rPr>
        <w:t xml:space="preserve">o ceně Přípravku pro Pojišťovnu a </w:t>
      </w:r>
      <w:r w:rsidR="0018509E" w:rsidRPr="00801368">
        <w:rPr>
          <w:rFonts w:asciiTheme="minorHAnsi" w:hAnsiTheme="minorHAnsi" w:cstheme="minorHAnsi"/>
          <w:sz w:val="22"/>
          <w:szCs w:val="22"/>
        </w:rPr>
        <w:t>Kompenzaci</w:t>
      </w:r>
      <w:r w:rsidR="003C0481" w:rsidRPr="00801368">
        <w:rPr>
          <w:rFonts w:asciiTheme="minorHAnsi" w:hAnsiTheme="minorHAnsi"/>
          <w:sz w:val="22"/>
        </w:rPr>
        <w:t xml:space="preserve">, na která se nevztahuje výjimka dle § 39f odst. 11 ve </w:t>
      </w:r>
      <w:r w:rsidR="003C0481" w:rsidRPr="0018509E">
        <w:rPr>
          <w:rFonts w:asciiTheme="minorHAnsi" w:hAnsiTheme="minorHAnsi"/>
          <w:sz w:val="22"/>
        </w:rPr>
        <w:t>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83CDDAD"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801368">
        <w:rPr>
          <w:rFonts w:asciiTheme="minorHAnsi" w:hAnsiTheme="minorHAnsi" w:cstheme="minorHAnsi"/>
          <w:sz w:val="22"/>
          <w:szCs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9FBB4D8"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B22FEA" w:rsidRPr="00BF17CE">
        <w:rPr>
          <w:rFonts w:asciiTheme="minorHAnsi" w:hAnsiTheme="minorHAnsi" w:cstheme="minorHAnsi"/>
          <w:sz w:val="22"/>
          <w:szCs w:val="22"/>
          <w:highlight w:val="black"/>
        </w:rPr>
        <w:t>xxxxxxxx</w:t>
      </w:r>
      <w:r w:rsidR="00801368">
        <w:rPr>
          <w:rFonts w:asciiTheme="minorHAnsi" w:hAnsiTheme="minorHAnsi" w:cstheme="minorHAnsi"/>
          <w:sz w:val="22"/>
          <w:szCs w:val="22"/>
        </w:rPr>
        <w:t>,</w:t>
      </w:r>
      <w:r w:rsidR="00801368" w:rsidRPr="00B143E3">
        <w:rPr>
          <w:rFonts w:asciiTheme="minorHAnsi" w:hAnsiTheme="minorHAnsi" w:cstheme="minorHAnsi"/>
          <w:sz w:val="22"/>
          <w:szCs w:val="22"/>
        </w:rPr>
        <w:t xml:space="preserve"> </w:t>
      </w:r>
      <w:r w:rsidRPr="00B143E3">
        <w:rPr>
          <w:rFonts w:asciiTheme="minorHAnsi" w:hAnsiTheme="minorHAnsi" w:cstheme="minorHAnsi"/>
          <w:sz w:val="22"/>
          <w:szCs w:val="22"/>
        </w:rPr>
        <w:t>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48943F3" w14:textId="77777777" w:rsidR="00766F52" w:rsidRDefault="00766F52" w:rsidP="005C48B2">
      <w:pPr>
        <w:tabs>
          <w:tab w:val="left" w:pos="804"/>
        </w:tabs>
        <w:spacing w:after="40" w:line="276" w:lineRule="auto"/>
        <w:jc w:val="center"/>
        <w:rPr>
          <w:rFonts w:asciiTheme="minorHAnsi" w:hAnsiTheme="minorHAnsi"/>
          <w:b/>
          <w:sz w:val="22"/>
        </w:rPr>
      </w:pPr>
    </w:p>
    <w:p w14:paraId="54045C5F" w14:textId="01D431DB"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67952C34" w14:textId="54F941BC" w:rsidR="00E01873" w:rsidRDefault="009E62D4" w:rsidP="00B73A96">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F907937" w14:textId="77777777" w:rsidR="00B73A96" w:rsidRDefault="00B73A96" w:rsidP="00B73A96">
      <w:pPr>
        <w:pStyle w:val="Stylpravidel"/>
        <w:spacing w:before="120" w:after="40" w:line="276" w:lineRule="auto"/>
        <w:ind w:left="284" w:hanging="284"/>
        <w:rPr>
          <w:rFonts w:asciiTheme="minorHAnsi" w:hAnsiTheme="minorHAnsi"/>
          <w:sz w:val="22"/>
        </w:rPr>
      </w:pPr>
    </w:p>
    <w:p w14:paraId="7FB27B8A" w14:textId="77777777" w:rsidR="00B73A96" w:rsidRPr="00B73A96" w:rsidRDefault="00B73A96" w:rsidP="00B73A96">
      <w:pPr>
        <w:pStyle w:val="Stylpravidel"/>
        <w:spacing w:before="120" w:after="40" w:line="276" w:lineRule="auto"/>
        <w:ind w:left="284" w:hanging="284"/>
        <w:rPr>
          <w:rFonts w:asciiTheme="minorHAnsi" w:hAnsiTheme="minorHAnsi"/>
          <w:sz w:val="22"/>
        </w:rPr>
      </w:pPr>
    </w:p>
    <w:p w14:paraId="564E0FBF" w14:textId="2EE6CEB8"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FFC7399"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801368">
        <w:rPr>
          <w:rFonts w:asciiTheme="minorHAnsi" w:hAnsiTheme="minorHAnsi"/>
          <w:sz w:val="22"/>
        </w:rPr>
        <w:t xml:space="preserve">určitou, </w:t>
      </w:r>
      <w:r w:rsidR="009C6BAD" w:rsidRPr="0018509E">
        <w:rPr>
          <w:rFonts w:asciiTheme="minorHAnsi" w:hAnsiTheme="minorHAnsi"/>
          <w:sz w:val="22"/>
        </w:rPr>
        <w:t xml:space="preserve">a to do </w:t>
      </w:r>
      <w:r w:rsidR="00801368">
        <w:rPr>
          <w:rFonts w:asciiTheme="minorHAnsi" w:hAnsiTheme="minorHAnsi" w:cstheme="minorHAnsi"/>
          <w:sz w:val="22"/>
          <w:szCs w:val="22"/>
        </w:rPr>
        <w:t>31. 5. 2028</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2DFD90DF" w14:textId="56334BB0" w:rsidR="007C031E" w:rsidRPr="0018509E" w:rsidRDefault="007C031E" w:rsidP="005C48B2">
      <w:pPr>
        <w:spacing w:before="120" w:after="40" w:line="276" w:lineRule="auto"/>
        <w:ind w:left="284" w:hanging="284"/>
        <w:jc w:val="both"/>
        <w:rPr>
          <w:rFonts w:asciiTheme="minorHAnsi" w:hAnsiTheme="minorHAnsi"/>
          <w:sz w:val="22"/>
        </w:rPr>
      </w:pPr>
      <w:r>
        <w:rPr>
          <w:rFonts w:asciiTheme="minorHAnsi" w:hAnsiTheme="minorHAnsi"/>
          <w:sz w:val="22"/>
        </w:rPr>
        <w:t>4.</w:t>
      </w:r>
      <w:r>
        <w:rPr>
          <w:rFonts w:asciiTheme="minorHAnsi" w:hAnsiTheme="minorHAnsi"/>
          <w:sz w:val="22"/>
        </w:rPr>
        <w:tab/>
      </w:r>
      <w:r w:rsidR="009F417B">
        <w:rPr>
          <w:rFonts w:asciiTheme="minorHAnsi" w:hAnsiTheme="minorHAnsi"/>
          <w:sz w:val="22"/>
        </w:rPr>
        <w:t>Nehledě na odst. 2 tohoto článku se s</w:t>
      </w:r>
      <w:r w:rsidR="00F74245" w:rsidRPr="00F74245">
        <w:rPr>
          <w:rFonts w:asciiTheme="minorHAnsi" w:hAnsiTheme="minorHAnsi"/>
          <w:sz w:val="22"/>
        </w:rPr>
        <w:t xml:space="preserve">mluvní strany dohodly, že tato Smlouva automaticky zaniká, pokud v důsledku uzavření jiného smluvního ujednání mezi Pojišťovnou a Držitelem nebo v důsledku rozhodnutí </w:t>
      </w:r>
      <w:r w:rsidR="008F410D">
        <w:rPr>
          <w:rFonts w:asciiTheme="minorHAnsi" w:hAnsiTheme="minorHAnsi"/>
          <w:sz w:val="22"/>
        </w:rPr>
        <w:t>SÚKL</w:t>
      </w:r>
      <w:r w:rsidR="00F74245" w:rsidRPr="00F74245">
        <w:rPr>
          <w:rFonts w:asciiTheme="minorHAnsi" w:hAnsiTheme="minorHAnsi"/>
          <w:sz w:val="22"/>
        </w:rPr>
        <w:t xml:space="preserve"> vydané</w:t>
      </w:r>
      <w:r w:rsidR="00987D03">
        <w:rPr>
          <w:rFonts w:asciiTheme="minorHAnsi" w:hAnsiTheme="minorHAnsi"/>
          <w:sz w:val="22"/>
        </w:rPr>
        <w:t>ho</w:t>
      </w:r>
      <w:r w:rsidR="00F74245" w:rsidRPr="00F74245">
        <w:rPr>
          <w:rFonts w:asciiTheme="minorHAnsi" w:hAnsiTheme="minorHAnsi"/>
          <w:sz w:val="22"/>
        </w:rPr>
        <w:t xml:space="preserve"> ve správním řízení maximální cena či úhrada Přípravku klesne tak, že maximální cena pro konečného spotřebitele nebo maximální úhrada pro konečného spotřebitele bude nižší než nákladově efektivní cena pro konečného spotřebitele uvedená v Příloze č. 1 této Smlouvy, a to dnem účinnosti takového smluvního ujednání nebo dnem předběžné vykonatelnosti takového rozhodnutí nebo vykonatelnosti takového rozhodnutí, není-li předběžně vykonatelné</w:t>
      </w:r>
      <w:r w:rsidR="005F684C" w:rsidRPr="005F684C">
        <w:rPr>
          <w:rFonts w:asciiTheme="minorHAnsi" w:hAnsiTheme="minorHAnsi"/>
          <w:sz w:val="22"/>
        </w:rPr>
        <w:t>.</w:t>
      </w:r>
    </w:p>
    <w:p w14:paraId="0868C1E5" w14:textId="3124A744" w:rsidR="00F466EA" w:rsidRPr="0018509E" w:rsidRDefault="005F684C"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5</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A4081A">
        <w:rPr>
          <w:rFonts w:asciiTheme="minorHAnsi" w:hAnsiTheme="minorHAnsi"/>
          <w:sz w:val="22"/>
        </w:rPr>
        <w:t xml:space="preserve"> nebo jejím automatickým zánikem</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w:t>
      </w:r>
      <w:r w:rsidR="00AB2D6B">
        <w:rPr>
          <w:rFonts w:asciiTheme="minorHAnsi" w:hAnsiTheme="minorHAnsi"/>
          <w:sz w:val="22"/>
        </w:rPr>
        <w:t xml:space="preserve"> či automatickým zánikem</w:t>
      </w:r>
      <w:r w:rsidR="005C3A2C" w:rsidRPr="0018509E">
        <w:rPr>
          <w:rFonts w:asciiTheme="minorHAnsi" w:hAnsiTheme="minorHAnsi"/>
          <w:sz w:val="22"/>
        </w:rPr>
        <w:t xml:space="preserve">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C1AAD2C" w14:textId="77777777" w:rsidR="00007D35" w:rsidRPr="00B44312" w:rsidRDefault="00007D35" w:rsidP="00007D35">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u Krajského soudu v Ostravě, sp. zn. AXIV 554;</w:t>
      </w:r>
    </w:p>
    <w:p w14:paraId="54EFEBE3" w14:textId="78497193" w:rsidR="00EA18FF" w:rsidRPr="00307241" w:rsidRDefault="001572B4" w:rsidP="00EA18FF">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w:t>
      </w:r>
      <w:r w:rsidR="00FF46FE" w:rsidRPr="00307241">
        <w:rPr>
          <w:rFonts w:asciiTheme="minorHAnsi" w:hAnsiTheme="minorHAnsi"/>
          <w:sz w:val="22"/>
        </w:rPr>
        <w:t>výpisem z</w:t>
      </w:r>
      <w:r w:rsidR="009D6DC8" w:rsidRPr="00307241">
        <w:rPr>
          <w:rFonts w:asciiTheme="minorHAnsi" w:hAnsiTheme="minorHAnsi"/>
          <w:sz w:val="22"/>
        </w:rPr>
        <w:t xml:space="preserve"> </w:t>
      </w:r>
      <w:r w:rsidR="00EA18FF" w:rsidRPr="00307241">
        <w:rPr>
          <w:rFonts w:asciiTheme="minorHAnsi" w:hAnsiTheme="minorHAnsi"/>
          <w:sz w:val="22"/>
        </w:rPr>
        <w:t xml:space="preserve">nizozemského </w:t>
      </w:r>
      <w:r w:rsidR="00FF46FE" w:rsidRPr="00307241">
        <w:rPr>
          <w:rFonts w:asciiTheme="minorHAnsi" w:hAnsiTheme="minorHAnsi"/>
          <w:sz w:val="22"/>
        </w:rPr>
        <w:t>rejstříku</w:t>
      </w:r>
      <w:r w:rsidR="00EA18FF" w:rsidRPr="00307241">
        <w:rPr>
          <w:rFonts w:asciiTheme="minorHAnsi" w:hAnsiTheme="minorHAnsi"/>
          <w:sz w:val="22"/>
        </w:rPr>
        <w:t xml:space="preserve"> obchodních komor pod reg. č. 34028461, vedeného obchodní komorou pro Amsterdam;</w:t>
      </w:r>
    </w:p>
    <w:p w14:paraId="1A18F11E" w14:textId="55EA8FC8" w:rsidR="00AA34FD" w:rsidRPr="00307241" w:rsidRDefault="664D1C6C" w:rsidP="008B2A1C">
      <w:pPr>
        <w:numPr>
          <w:ilvl w:val="0"/>
          <w:numId w:val="5"/>
        </w:numPr>
        <w:spacing w:after="40" w:line="276" w:lineRule="auto"/>
        <w:ind w:left="567"/>
        <w:jc w:val="both"/>
        <w:rPr>
          <w:rFonts w:asciiTheme="minorHAnsi" w:hAnsiTheme="minorHAnsi"/>
          <w:sz w:val="22"/>
        </w:rPr>
      </w:pPr>
      <w:r w:rsidRPr="00307241">
        <w:rPr>
          <w:rFonts w:asciiTheme="minorHAnsi" w:hAnsiTheme="minorHAnsi"/>
          <w:sz w:val="22"/>
          <w:szCs w:val="22"/>
        </w:rPr>
        <w:t>z</w:t>
      </w:r>
      <w:r w:rsidR="00AA34FD" w:rsidRPr="00307241">
        <w:rPr>
          <w:rFonts w:asciiTheme="minorHAnsi" w:hAnsiTheme="minorHAnsi"/>
          <w:sz w:val="22"/>
          <w:szCs w:val="22"/>
        </w:rPr>
        <w:t xml:space="preserve">ástupce </w:t>
      </w:r>
      <w:r w:rsidR="02EB0E75" w:rsidRPr="00307241">
        <w:rPr>
          <w:rFonts w:asciiTheme="minorHAnsi" w:hAnsiTheme="minorHAnsi"/>
          <w:sz w:val="22"/>
          <w:szCs w:val="22"/>
        </w:rPr>
        <w:t>D</w:t>
      </w:r>
      <w:r w:rsidR="00AA34FD" w:rsidRPr="00307241">
        <w:rPr>
          <w:rFonts w:asciiTheme="minorHAnsi" w:hAnsiTheme="minorHAnsi"/>
          <w:sz w:val="22"/>
          <w:szCs w:val="22"/>
        </w:rPr>
        <w:t xml:space="preserve">ržitele platným výpisem z obchodního rejstříku vedeného u </w:t>
      </w:r>
      <w:r w:rsidR="00EA18FF" w:rsidRPr="00307241">
        <w:rPr>
          <w:rFonts w:asciiTheme="minorHAnsi" w:hAnsiTheme="minorHAnsi"/>
          <w:sz w:val="22"/>
        </w:rPr>
        <w:t>Městského soudu v Praze, sp.zn. C 16558;</w:t>
      </w:r>
    </w:p>
    <w:p w14:paraId="705F14E4" w14:textId="5D32F2AC" w:rsidR="00DE281A" w:rsidRPr="00B44312" w:rsidRDefault="00DE281A" w:rsidP="00DE281A">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r w:rsidRPr="00157DFD">
        <w:rPr>
          <w:rFonts w:asciiTheme="minorHAnsi" w:hAnsiTheme="minorHAnsi"/>
          <w:sz w:val="22"/>
          <w:highlight w:val="black"/>
        </w:rPr>
        <w:t>xxxxxxxx</w:t>
      </w:r>
      <w:r w:rsidRPr="00B44312">
        <w:rPr>
          <w:rFonts w:ascii="Calibri" w:hAnsi="Calibri" w:cs="Calibri"/>
          <w:sz w:val="22"/>
        </w:rPr>
        <w:t xml:space="preserve">, tel.: </w:t>
      </w:r>
      <w:r w:rsidRPr="00157DFD">
        <w:rPr>
          <w:rFonts w:asciiTheme="minorHAnsi" w:hAnsiTheme="minorHAnsi"/>
          <w:sz w:val="22"/>
          <w:highlight w:val="black"/>
        </w:rPr>
        <w:t>xxxxxxxx</w:t>
      </w:r>
      <w:r w:rsidRPr="00B44312">
        <w:rPr>
          <w:rFonts w:ascii="Calibri" w:hAnsi="Calibri" w:cs="Calibri"/>
          <w:sz w:val="22"/>
        </w:rPr>
        <w:t>;</w:t>
      </w:r>
    </w:p>
    <w:p w14:paraId="04F9BA97" w14:textId="77777777" w:rsidR="00B22FEA" w:rsidRPr="00157DFD" w:rsidRDefault="00FF46FE" w:rsidP="00B22FEA">
      <w:pPr>
        <w:numPr>
          <w:ilvl w:val="0"/>
          <w:numId w:val="5"/>
        </w:numPr>
        <w:spacing w:after="40" w:line="276" w:lineRule="auto"/>
        <w:ind w:left="567"/>
        <w:jc w:val="both"/>
        <w:rPr>
          <w:rFonts w:asciiTheme="minorHAnsi" w:hAnsiTheme="minorHAnsi"/>
          <w:sz w:val="22"/>
        </w:rPr>
      </w:pPr>
      <w:r w:rsidRPr="00B22FEA">
        <w:rPr>
          <w:rFonts w:asciiTheme="minorHAnsi" w:hAnsiTheme="minorHAnsi"/>
          <w:sz w:val="22"/>
        </w:rPr>
        <w:t xml:space="preserve">Za </w:t>
      </w:r>
      <w:r w:rsidR="001572B4" w:rsidRPr="00B22FEA">
        <w:rPr>
          <w:rFonts w:asciiTheme="minorHAnsi" w:hAnsiTheme="minorHAnsi"/>
          <w:sz w:val="22"/>
        </w:rPr>
        <w:t xml:space="preserve">Držitele </w:t>
      </w:r>
      <w:r w:rsidR="007B020E" w:rsidRPr="00B22FEA">
        <w:rPr>
          <w:rFonts w:asciiTheme="minorHAnsi" w:hAnsiTheme="minorHAnsi"/>
          <w:sz w:val="22"/>
        </w:rPr>
        <w:t>je</w:t>
      </w:r>
      <w:r w:rsidRPr="00B22FEA">
        <w:rPr>
          <w:rFonts w:asciiTheme="minorHAnsi" w:hAnsiTheme="minorHAnsi"/>
          <w:sz w:val="22"/>
        </w:rPr>
        <w:t xml:space="preserve"> zmocněn k jednání ve věci plnění této </w:t>
      </w:r>
      <w:r w:rsidR="00C33180" w:rsidRPr="00B22FEA">
        <w:rPr>
          <w:rFonts w:asciiTheme="minorHAnsi" w:hAnsiTheme="minorHAnsi"/>
          <w:sz w:val="22"/>
        </w:rPr>
        <w:t>S</w:t>
      </w:r>
      <w:r w:rsidRPr="00B22FEA">
        <w:rPr>
          <w:rFonts w:asciiTheme="minorHAnsi" w:hAnsiTheme="minorHAnsi"/>
          <w:sz w:val="22"/>
        </w:rPr>
        <w:t>mlouvy:</w:t>
      </w:r>
      <w:r w:rsidR="00CF25DE" w:rsidRPr="00B22FEA">
        <w:rPr>
          <w:rFonts w:asciiTheme="minorHAnsi" w:hAnsiTheme="minorHAnsi"/>
          <w:sz w:val="22"/>
        </w:rPr>
        <w:t xml:space="preserve"> </w:t>
      </w:r>
      <w:r w:rsidR="00B22FEA" w:rsidRPr="00157DFD">
        <w:rPr>
          <w:rFonts w:asciiTheme="minorHAnsi" w:hAnsiTheme="minorHAnsi"/>
          <w:sz w:val="22"/>
          <w:highlight w:val="black"/>
        </w:rPr>
        <w:t>xxxxxxxx</w:t>
      </w:r>
      <w:r w:rsidR="00B22FEA" w:rsidRPr="00157DFD">
        <w:rPr>
          <w:rFonts w:asciiTheme="minorHAnsi" w:hAnsiTheme="minorHAnsi"/>
          <w:sz w:val="22"/>
        </w:rPr>
        <w:t>.</w:t>
      </w:r>
    </w:p>
    <w:p w14:paraId="356C7CD3" w14:textId="7B77F277" w:rsidR="00F13DAC" w:rsidRPr="00B22FEA" w:rsidRDefault="00F13DAC" w:rsidP="00B22FEA">
      <w:pPr>
        <w:spacing w:after="40" w:line="276" w:lineRule="auto"/>
        <w:ind w:left="567"/>
        <w:jc w:val="both"/>
        <w:rPr>
          <w:rFonts w:asciiTheme="minorHAnsi" w:hAnsiTheme="minorHAnsi"/>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w:t>
      </w:r>
      <w:r w:rsidRPr="00EA18FF">
        <w:rPr>
          <w:rFonts w:asciiTheme="minorHAnsi" w:hAnsiTheme="minorHAnsi" w:cstheme="minorHAnsi"/>
          <w:sz w:val="22"/>
          <w:szCs w:val="22"/>
        </w:rPr>
        <w:t>– obchodní tajemství</w:t>
      </w:r>
    </w:p>
    <w:p w14:paraId="6ACB6A42" w14:textId="77777777" w:rsidR="008D56DC" w:rsidRPr="00F671DD" w:rsidRDefault="008D56DC" w:rsidP="008D56DC">
      <w:pPr>
        <w:spacing w:line="276" w:lineRule="auto"/>
        <w:rPr>
          <w:rFonts w:ascii="Calibri" w:hAnsi="Calibri" w:cs="Calibri"/>
          <w:sz w:val="22"/>
          <w:szCs w:val="22"/>
        </w:rPr>
      </w:pPr>
    </w:p>
    <w:p w14:paraId="3DBA763C" w14:textId="77777777" w:rsidR="00CC37B3" w:rsidRDefault="00CC37B3" w:rsidP="00CC37B3">
      <w:pPr>
        <w:overflowPunct/>
        <w:autoSpaceDE/>
        <w:autoSpaceDN/>
        <w:adjustRightInd/>
        <w:jc w:val="center"/>
        <w:textAlignment w:val="auto"/>
        <w:rPr>
          <w:rFonts w:ascii="Calibri" w:hAnsi="Calibri" w:cs="Calibri"/>
          <w:sz w:val="22"/>
          <w:szCs w:val="22"/>
        </w:rPr>
      </w:pPr>
    </w:p>
    <w:p w14:paraId="584CB95D" w14:textId="77777777" w:rsidR="00CC37B3" w:rsidRDefault="00CC37B3" w:rsidP="00CC37B3">
      <w:pPr>
        <w:overflowPunct/>
        <w:autoSpaceDE/>
        <w:autoSpaceDN/>
        <w:adjustRightInd/>
        <w:jc w:val="center"/>
        <w:textAlignment w:val="auto"/>
        <w:rPr>
          <w:rFonts w:ascii="Calibri" w:hAnsi="Calibri" w:cs="Calibri"/>
          <w:sz w:val="22"/>
          <w:szCs w:val="22"/>
        </w:rPr>
      </w:pPr>
    </w:p>
    <w:p w14:paraId="320E7D21" w14:textId="3556A6E0" w:rsidR="00CC37B3" w:rsidRDefault="00CC37B3" w:rsidP="00CC37B3">
      <w:pPr>
        <w:overflowPunct/>
        <w:autoSpaceDE/>
        <w:autoSpaceDN/>
        <w:adjustRightInd/>
        <w:jc w:val="center"/>
        <w:textAlignment w:val="auto"/>
        <w:rPr>
          <w:rFonts w:ascii="Calibri" w:hAnsi="Calibri" w:cs="Calibri"/>
          <w:sz w:val="22"/>
          <w:szCs w:val="22"/>
        </w:rPr>
      </w:pPr>
      <w:r>
        <w:rPr>
          <w:rFonts w:ascii="Calibri" w:hAnsi="Calibri" w:cs="Calibri"/>
          <w:sz w:val="22"/>
          <w:szCs w:val="22"/>
        </w:rPr>
        <w:t>- PODPISY NÁSLEDUJÍ NA DALŠÍ STRANĚ -</w:t>
      </w:r>
      <w:r>
        <w:rPr>
          <w:rFonts w:ascii="Calibri" w:hAnsi="Calibri" w:cs="Calibri"/>
          <w:sz w:val="22"/>
          <w:szCs w:val="22"/>
        </w:rPr>
        <w:br w:type="page"/>
      </w:r>
    </w:p>
    <w:p w14:paraId="70E31B93" w14:textId="77777777" w:rsidR="00CC37B3" w:rsidRPr="00B143E3" w:rsidRDefault="00CC37B3" w:rsidP="00CC37B3">
      <w:pPr>
        <w:spacing w:before="120" w:after="40" w:line="276" w:lineRule="auto"/>
        <w:ind w:left="283"/>
        <w:jc w:val="both"/>
        <w:rPr>
          <w:rFonts w:asciiTheme="minorHAnsi" w:hAnsiTheme="minorHAnsi" w:cstheme="minorHAnsi"/>
          <w:sz w:val="22"/>
          <w:szCs w:val="22"/>
        </w:rPr>
      </w:pPr>
    </w:p>
    <w:p w14:paraId="53A5C645" w14:textId="77777777" w:rsidR="00CC37B3" w:rsidRDefault="00CC37B3" w:rsidP="00CC37B3">
      <w:pPr>
        <w:overflowPunct/>
        <w:autoSpaceDE/>
        <w:autoSpaceDN/>
        <w:adjustRightInd/>
        <w:spacing w:after="40" w:line="276" w:lineRule="auto"/>
        <w:textAlignment w:val="auto"/>
        <w:rPr>
          <w:rFonts w:asciiTheme="minorHAnsi" w:hAnsiTheme="minorHAnsi" w:cstheme="minorHAnsi"/>
          <w:sz w:val="22"/>
          <w:szCs w:val="22"/>
        </w:rPr>
      </w:pPr>
    </w:p>
    <w:p w14:paraId="19B42640" w14:textId="77777777" w:rsidR="00CC37B3" w:rsidRPr="00F671DD" w:rsidRDefault="00CC37B3" w:rsidP="00CC37B3">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2F2C2F48" w14:textId="77777777" w:rsidR="00CC37B3" w:rsidRPr="00F671DD" w:rsidRDefault="00CC37B3" w:rsidP="00CC37B3">
      <w:pPr>
        <w:spacing w:line="276" w:lineRule="auto"/>
        <w:rPr>
          <w:rFonts w:ascii="Calibri" w:hAnsi="Calibri" w:cs="Calibri"/>
          <w:sz w:val="22"/>
          <w:szCs w:val="22"/>
        </w:rPr>
      </w:pPr>
    </w:p>
    <w:p w14:paraId="4D1EA251" w14:textId="77777777" w:rsidR="00CC37B3" w:rsidRPr="00F671DD" w:rsidRDefault="00CC37B3" w:rsidP="00CC37B3">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2B45CA01" w14:textId="77777777" w:rsidR="00CC37B3" w:rsidRPr="00F671DD" w:rsidRDefault="00CC37B3" w:rsidP="00CC37B3">
      <w:pPr>
        <w:spacing w:line="276" w:lineRule="auto"/>
        <w:rPr>
          <w:rFonts w:ascii="Calibri" w:hAnsi="Calibri" w:cs="Calibri"/>
          <w:sz w:val="22"/>
          <w:szCs w:val="22"/>
        </w:rPr>
      </w:pPr>
    </w:p>
    <w:p w14:paraId="2F635444" w14:textId="77777777" w:rsidR="00CC37B3" w:rsidRPr="00F671DD" w:rsidRDefault="00CC37B3" w:rsidP="00CC37B3">
      <w:pPr>
        <w:spacing w:line="276" w:lineRule="auto"/>
        <w:rPr>
          <w:rFonts w:ascii="Calibri" w:hAnsi="Calibri" w:cs="Calibri"/>
          <w:sz w:val="22"/>
          <w:szCs w:val="22"/>
        </w:rPr>
      </w:pPr>
    </w:p>
    <w:p w14:paraId="10A48E9F" w14:textId="77777777" w:rsidR="00CC37B3" w:rsidRPr="00F671DD" w:rsidRDefault="00CC37B3" w:rsidP="00CC37B3">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CC37B3" w:rsidRPr="00F671DD" w14:paraId="397D97A4" w14:textId="77777777" w:rsidTr="0022144F">
        <w:trPr>
          <w:trHeight w:val="1368"/>
        </w:trPr>
        <w:tc>
          <w:tcPr>
            <w:tcW w:w="4606" w:type="dxa"/>
            <w:hideMark/>
          </w:tcPr>
          <w:p w14:paraId="14001C0B" w14:textId="77777777" w:rsidR="00CC37B3" w:rsidRPr="00F671DD" w:rsidRDefault="00CC37B3" w:rsidP="0022144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34080E6" w14:textId="77777777" w:rsidR="00CC37B3" w:rsidRPr="00F671DD" w:rsidRDefault="00CC37B3" w:rsidP="0022144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C9DEC85" w14:textId="77777777" w:rsidR="00CC37B3" w:rsidRPr="00F671DD" w:rsidRDefault="00CC37B3" w:rsidP="0022144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1187728D" w14:textId="77777777" w:rsidR="00CC37B3" w:rsidRPr="00F671DD" w:rsidRDefault="00CC37B3" w:rsidP="0022144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14424299" w14:textId="77777777" w:rsidR="00CC37B3" w:rsidRPr="00F671DD" w:rsidRDefault="00CC37B3" w:rsidP="0022144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D01A3F9" w14:textId="77777777" w:rsidR="00CC37B3" w:rsidRDefault="00CC37B3" w:rsidP="0022144F">
            <w:pPr>
              <w:tabs>
                <w:tab w:val="left" w:pos="5245"/>
              </w:tabs>
              <w:spacing w:after="40" w:line="276" w:lineRule="auto"/>
              <w:rPr>
                <w:rFonts w:ascii="Calibri" w:hAnsi="Calibri" w:cs="Calibri"/>
                <w:sz w:val="22"/>
                <w:szCs w:val="22"/>
              </w:rPr>
            </w:pPr>
            <w:r w:rsidRPr="00FF48DA">
              <w:rPr>
                <w:rFonts w:ascii="Calibri" w:hAnsi="Calibri" w:cs="Calibri"/>
                <w:sz w:val="22"/>
                <w:szCs w:val="22"/>
              </w:rPr>
              <w:t xml:space="preserve">Jakub Zadák, MBA </w:t>
            </w:r>
          </w:p>
          <w:p w14:paraId="52FC70BB" w14:textId="77777777" w:rsidR="00CC37B3" w:rsidRPr="00F671DD" w:rsidRDefault="00CC37B3" w:rsidP="0022144F">
            <w:pPr>
              <w:tabs>
                <w:tab w:val="left" w:pos="5245"/>
              </w:tabs>
              <w:spacing w:after="40" w:line="276" w:lineRule="auto"/>
              <w:jc w:val="both"/>
              <w:rPr>
                <w:rFonts w:ascii="Calibri" w:hAnsi="Calibri" w:cs="Calibri"/>
                <w:sz w:val="22"/>
                <w:szCs w:val="22"/>
              </w:rPr>
            </w:pPr>
            <w:r w:rsidRPr="00FF48DA">
              <w:rPr>
                <w:rFonts w:ascii="Calibri" w:hAnsi="Calibri" w:cs="Calibri"/>
                <w:sz w:val="22"/>
                <w:szCs w:val="22"/>
              </w:rPr>
              <w:t xml:space="preserve">pověřený zaměstnanec společnosti Merck Sharp &amp; Dohme s.r.o., která zastupuje Držitele na základě plné moci </w:t>
            </w:r>
          </w:p>
        </w:tc>
      </w:tr>
    </w:tbl>
    <w:p w14:paraId="0DE44BD5" w14:textId="56667D01" w:rsidR="00E34D2A"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218C373C" w14:textId="77777777" w:rsidR="00B22FEA" w:rsidRDefault="00B22FEA" w:rsidP="005C48B2">
      <w:pPr>
        <w:overflowPunct/>
        <w:autoSpaceDE/>
        <w:autoSpaceDN/>
        <w:adjustRightInd/>
        <w:spacing w:after="40" w:line="276" w:lineRule="auto"/>
        <w:textAlignment w:val="auto"/>
        <w:rPr>
          <w:rFonts w:asciiTheme="minorHAnsi" w:hAnsiTheme="minorHAnsi" w:cstheme="minorHAnsi"/>
          <w:sz w:val="22"/>
          <w:szCs w:val="22"/>
        </w:rPr>
      </w:pPr>
    </w:p>
    <w:p w14:paraId="11F60851" w14:textId="77777777" w:rsidR="00B22FEA" w:rsidRPr="00B143E3" w:rsidRDefault="00B22FEA" w:rsidP="005C48B2">
      <w:pPr>
        <w:overflowPunct/>
        <w:autoSpaceDE/>
        <w:autoSpaceDN/>
        <w:adjustRightInd/>
        <w:spacing w:after="40" w:line="276" w:lineRule="auto"/>
        <w:textAlignment w:val="auto"/>
        <w:rPr>
          <w:rFonts w:asciiTheme="minorHAnsi" w:hAnsiTheme="minorHAnsi" w:cstheme="minorHAnsi"/>
          <w:sz w:val="22"/>
          <w:szCs w:val="22"/>
        </w:rPr>
      </w:pPr>
    </w:p>
    <w:p w14:paraId="6E6567D6" w14:textId="77777777" w:rsidR="00CC37B3" w:rsidRDefault="00CC37B3">
      <w:pPr>
        <w:overflowPunct/>
        <w:autoSpaceDE/>
        <w:autoSpaceDN/>
        <w:adjustRightInd/>
        <w:textAlignment w:val="auto"/>
        <w:rPr>
          <w:rFonts w:asciiTheme="minorHAnsi" w:hAnsiTheme="minorHAnsi"/>
          <w:b/>
          <w:bCs/>
          <w:sz w:val="22"/>
          <w:szCs w:val="22"/>
        </w:rPr>
      </w:pPr>
      <w:r>
        <w:rPr>
          <w:rFonts w:asciiTheme="minorHAnsi" w:hAnsiTheme="minorHAnsi"/>
          <w:bCs/>
          <w:sz w:val="22"/>
          <w:szCs w:val="22"/>
        </w:rPr>
        <w:br w:type="page"/>
      </w:r>
    </w:p>
    <w:p w14:paraId="2D66935C" w14:textId="12700466"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6C6A3549" w14:textId="0B10B189" w:rsidR="00B22FEA" w:rsidRPr="004B498E" w:rsidRDefault="004B51BC" w:rsidP="004B51BC">
      <w:pPr>
        <w:spacing w:line="276" w:lineRule="auto"/>
        <w:ind w:hanging="1"/>
        <w:jc w:val="center"/>
        <w:rPr>
          <w:rFonts w:asciiTheme="minorHAnsi" w:hAnsiTheme="minorHAnsi" w:cstheme="minorHAnsi"/>
          <w:sz w:val="22"/>
          <w:szCs w:val="22"/>
        </w:rPr>
      </w:pPr>
      <w:r w:rsidRPr="00157DFD">
        <w:rPr>
          <w:rFonts w:asciiTheme="minorHAnsi" w:hAnsiTheme="minorHAnsi"/>
          <w:sz w:val="22"/>
          <w:highlight w:val="black"/>
        </w:rPr>
        <w:t>xxxx</w:t>
      </w:r>
    </w:p>
    <w:p w14:paraId="0A3DE80C" w14:textId="2383A178" w:rsidR="006F4769" w:rsidRPr="00FF48DA" w:rsidRDefault="006F4769" w:rsidP="005C48B2">
      <w:pPr>
        <w:tabs>
          <w:tab w:val="left" w:pos="5245"/>
        </w:tabs>
        <w:spacing w:before="120" w:after="40" w:line="276" w:lineRule="auto"/>
        <w:jc w:val="center"/>
        <w:rPr>
          <w:rFonts w:asciiTheme="minorHAnsi" w:hAnsiTheme="minorHAnsi"/>
          <w:b/>
          <w:sz w:val="22"/>
        </w:rPr>
      </w:pPr>
      <w:r w:rsidRPr="00FF48DA">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6C16AA94"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27548C" w14:paraId="63E9737F" w14:textId="77777777" w:rsidTr="62D622EC">
        <w:trPr>
          <w:trHeight w:val="559"/>
        </w:trPr>
        <w:tc>
          <w:tcPr>
            <w:tcW w:w="1242" w:type="dxa"/>
            <w:shd w:val="clear" w:color="auto" w:fill="D9D9D9" w:themeFill="background1" w:themeFillShade="D9"/>
          </w:tcPr>
          <w:p w14:paraId="19ECB7A4" w14:textId="77777777" w:rsidR="006F4769" w:rsidRPr="0027548C" w:rsidRDefault="006F4769" w:rsidP="005C48B2">
            <w:pPr>
              <w:tabs>
                <w:tab w:val="left" w:pos="5245"/>
              </w:tabs>
              <w:spacing w:before="120" w:after="40" w:line="276" w:lineRule="auto"/>
              <w:rPr>
                <w:rFonts w:asciiTheme="minorHAnsi" w:hAnsiTheme="minorHAnsi" w:cstheme="minorHAnsi"/>
                <w:b/>
                <w:sz w:val="22"/>
                <w:szCs w:val="22"/>
              </w:rPr>
            </w:pPr>
            <w:r w:rsidRPr="0027548C">
              <w:rPr>
                <w:rFonts w:asciiTheme="minorHAnsi" w:hAnsiTheme="minorHAnsi" w:cstheme="minorHAnsi"/>
                <w:b/>
                <w:sz w:val="22"/>
                <w:szCs w:val="22"/>
              </w:rPr>
              <w:t xml:space="preserve">Kód SÚKL </w:t>
            </w:r>
          </w:p>
        </w:tc>
        <w:tc>
          <w:tcPr>
            <w:tcW w:w="2835" w:type="dxa"/>
            <w:shd w:val="clear" w:color="auto" w:fill="D9D9D9" w:themeFill="background1" w:themeFillShade="D9"/>
          </w:tcPr>
          <w:p w14:paraId="294DD2EA" w14:textId="77777777" w:rsidR="006F4769" w:rsidRPr="0027548C" w:rsidRDefault="006F4769" w:rsidP="005C48B2">
            <w:pPr>
              <w:tabs>
                <w:tab w:val="left" w:pos="5245"/>
              </w:tabs>
              <w:spacing w:before="120" w:after="40" w:line="276" w:lineRule="auto"/>
              <w:rPr>
                <w:rFonts w:asciiTheme="minorHAnsi" w:hAnsiTheme="minorHAnsi" w:cstheme="minorHAnsi"/>
                <w:b/>
                <w:sz w:val="22"/>
                <w:szCs w:val="22"/>
              </w:rPr>
            </w:pPr>
            <w:r w:rsidRPr="0027548C">
              <w:rPr>
                <w:rFonts w:asciiTheme="minorHAnsi" w:hAnsiTheme="minorHAnsi" w:cstheme="minorHAnsi"/>
                <w:b/>
                <w:sz w:val="22"/>
                <w:szCs w:val="22"/>
              </w:rPr>
              <w:t xml:space="preserve">Název Přípravku </w:t>
            </w:r>
          </w:p>
        </w:tc>
        <w:tc>
          <w:tcPr>
            <w:tcW w:w="2864" w:type="dxa"/>
            <w:shd w:val="clear" w:color="auto" w:fill="D9D9D9" w:themeFill="background1" w:themeFillShade="D9"/>
          </w:tcPr>
          <w:p w14:paraId="29A127A9" w14:textId="7DAEE4FF" w:rsidR="006F4769" w:rsidRPr="0027548C" w:rsidRDefault="006F4769" w:rsidP="005C48B2">
            <w:pPr>
              <w:tabs>
                <w:tab w:val="left" w:pos="5245"/>
              </w:tabs>
              <w:spacing w:before="120" w:after="40" w:line="276" w:lineRule="auto"/>
              <w:rPr>
                <w:rFonts w:asciiTheme="minorHAnsi" w:hAnsiTheme="minorHAnsi" w:cstheme="minorHAnsi"/>
                <w:b/>
                <w:sz w:val="22"/>
                <w:szCs w:val="22"/>
              </w:rPr>
            </w:pPr>
            <w:r w:rsidRPr="0027548C">
              <w:rPr>
                <w:rFonts w:asciiTheme="minorHAnsi" w:hAnsiTheme="minorHAnsi" w:cstheme="minorHAnsi"/>
                <w:b/>
                <w:sz w:val="22"/>
                <w:szCs w:val="22"/>
              </w:rPr>
              <w:t xml:space="preserve">Doplněk názvu </w:t>
            </w:r>
            <w:r w:rsidR="00CA3D6D" w:rsidRPr="0027548C">
              <w:rPr>
                <w:rFonts w:asciiTheme="minorHAnsi" w:hAnsiTheme="minorHAnsi" w:cstheme="minorHAnsi"/>
                <w:b/>
                <w:sz w:val="22"/>
                <w:szCs w:val="22"/>
              </w:rPr>
              <w:t>Přípravku</w:t>
            </w:r>
          </w:p>
        </w:tc>
        <w:tc>
          <w:tcPr>
            <w:tcW w:w="3119" w:type="dxa"/>
            <w:shd w:val="clear" w:color="auto" w:fill="D9D9D9" w:themeFill="background1" w:themeFillShade="D9"/>
          </w:tcPr>
          <w:p w14:paraId="67DAB69C" w14:textId="77777777" w:rsidR="00FF48DA" w:rsidRPr="0027548C" w:rsidRDefault="00FF48DA" w:rsidP="00FF48DA">
            <w:pPr>
              <w:pStyle w:val="Default"/>
              <w:rPr>
                <w:rFonts w:asciiTheme="minorHAnsi" w:hAnsiTheme="minorHAnsi" w:cstheme="minorHAnsi"/>
                <w:sz w:val="22"/>
                <w:szCs w:val="22"/>
              </w:rPr>
            </w:pPr>
            <w:r w:rsidRPr="0027548C">
              <w:rPr>
                <w:rFonts w:asciiTheme="minorHAnsi" w:hAnsiTheme="minorHAnsi" w:cstheme="minorHAnsi"/>
                <w:b/>
                <w:bCs/>
                <w:sz w:val="22"/>
                <w:szCs w:val="22"/>
              </w:rPr>
              <w:t xml:space="preserve">Nákladově efektivní cena pro konečného spotřebitele </w:t>
            </w:r>
          </w:p>
          <w:p w14:paraId="267B5144" w14:textId="0DDD7C16" w:rsidR="006F4769" w:rsidRPr="0027548C" w:rsidRDefault="006F4769" w:rsidP="62D622EC">
            <w:pPr>
              <w:tabs>
                <w:tab w:val="left" w:pos="5245"/>
              </w:tabs>
              <w:spacing w:before="120" w:after="40" w:line="276" w:lineRule="auto"/>
              <w:rPr>
                <w:rFonts w:asciiTheme="minorHAnsi" w:hAnsiTheme="minorHAnsi" w:cstheme="minorHAnsi"/>
                <w:b/>
                <w:bCs/>
                <w:sz w:val="22"/>
                <w:szCs w:val="22"/>
                <w:highlight w:val="yellow"/>
              </w:rPr>
            </w:pPr>
          </w:p>
        </w:tc>
      </w:tr>
      <w:tr w:rsidR="00B94C1C" w:rsidRPr="0027548C" w14:paraId="163197BE" w14:textId="77777777" w:rsidTr="00B35755">
        <w:trPr>
          <w:trHeight w:val="266"/>
        </w:trPr>
        <w:tc>
          <w:tcPr>
            <w:tcW w:w="1242" w:type="dxa"/>
          </w:tcPr>
          <w:p w14:paraId="0E00A828" w14:textId="36EE1DBF" w:rsidR="00B94C1C" w:rsidRPr="0027548C" w:rsidRDefault="00B94C1C" w:rsidP="00B94C1C">
            <w:pPr>
              <w:spacing w:line="276" w:lineRule="auto"/>
              <w:rPr>
                <w:rFonts w:asciiTheme="minorHAnsi" w:hAnsiTheme="minorHAnsi" w:cstheme="minorHAnsi"/>
                <w:sz w:val="22"/>
                <w:szCs w:val="22"/>
              </w:rPr>
            </w:pPr>
            <w:r w:rsidRPr="005211B5">
              <w:rPr>
                <w:rFonts w:asciiTheme="minorHAnsi" w:hAnsiTheme="minorHAnsi"/>
                <w:sz w:val="22"/>
                <w:highlight w:val="black"/>
              </w:rPr>
              <w:t>xxxx</w:t>
            </w:r>
          </w:p>
        </w:tc>
        <w:tc>
          <w:tcPr>
            <w:tcW w:w="2835" w:type="dxa"/>
          </w:tcPr>
          <w:p w14:paraId="4A3FB1EA" w14:textId="314EF32C" w:rsidR="00B94C1C" w:rsidRPr="0027548C" w:rsidRDefault="00B94C1C" w:rsidP="00B94C1C">
            <w:pPr>
              <w:spacing w:line="276" w:lineRule="auto"/>
              <w:rPr>
                <w:rFonts w:asciiTheme="minorHAnsi" w:hAnsiTheme="minorHAnsi" w:cstheme="minorHAnsi"/>
                <w:sz w:val="22"/>
                <w:szCs w:val="22"/>
              </w:rPr>
            </w:pPr>
            <w:r w:rsidRPr="005211B5">
              <w:rPr>
                <w:rFonts w:asciiTheme="minorHAnsi" w:hAnsiTheme="minorHAnsi"/>
                <w:sz w:val="22"/>
                <w:highlight w:val="black"/>
              </w:rPr>
              <w:t>xxxx</w:t>
            </w:r>
          </w:p>
        </w:tc>
        <w:tc>
          <w:tcPr>
            <w:tcW w:w="2864" w:type="dxa"/>
          </w:tcPr>
          <w:p w14:paraId="08993E5F" w14:textId="219FC5BD" w:rsidR="00B94C1C" w:rsidRPr="0027548C" w:rsidRDefault="00B94C1C" w:rsidP="00B94C1C">
            <w:pPr>
              <w:spacing w:line="276" w:lineRule="auto"/>
              <w:rPr>
                <w:rFonts w:asciiTheme="minorHAnsi" w:hAnsiTheme="minorHAnsi" w:cstheme="minorHAnsi"/>
                <w:sz w:val="22"/>
                <w:szCs w:val="22"/>
              </w:rPr>
            </w:pPr>
            <w:r w:rsidRPr="005211B5">
              <w:rPr>
                <w:rFonts w:asciiTheme="minorHAnsi" w:hAnsiTheme="minorHAnsi"/>
                <w:sz w:val="22"/>
                <w:highlight w:val="black"/>
              </w:rPr>
              <w:t>xxxx</w:t>
            </w:r>
          </w:p>
        </w:tc>
        <w:tc>
          <w:tcPr>
            <w:tcW w:w="3119" w:type="dxa"/>
          </w:tcPr>
          <w:p w14:paraId="79FA6640" w14:textId="6A93F3C6" w:rsidR="00B94C1C" w:rsidRPr="00B22FEA" w:rsidRDefault="00B94C1C" w:rsidP="00B94C1C">
            <w:pPr>
              <w:spacing w:line="276" w:lineRule="auto"/>
              <w:rPr>
                <w:rFonts w:asciiTheme="minorHAnsi" w:hAnsiTheme="minorHAnsi" w:cstheme="minorHAnsi"/>
                <w:sz w:val="22"/>
                <w:szCs w:val="22"/>
              </w:rPr>
            </w:pPr>
            <w:r w:rsidRPr="005211B5">
              <w:rPr>
                <w:rFonts w:asciiTheme="minorHAnsi" w:hAnsiTheme="minorHAnsi"/>
                <w:sz w:val="22"/>
                <w:highlight w:val="black"/>
              </w:rPr>
              <w:t>xxxx</w:t>
            </w:r>
          </w:p>
        </w:tc>
      </w:tr>
    </w:tbl>
    <w:p w14:paraId="07971C7C" w14:textId="77777777" w:rsidR="006F4769" w:rsidRPr="0027548C" w:rsidRDefault="006F4769" w:rsidP="005C48B2">
      <w:pPr>
        <w:tabs>
          <w:tab w:val="left" w:pos="5245"/>
        </w:tabs>
        <w:spacing w:before="120" w:after="40" w:line="276" w:lineRule="auto"/>
        <w:rPr>
          <w:rFonts w:asciiTheme="minorHAnsi" w:hAnsiTheme="minorHAnsi" w:cstheme="minorHAnsi"/>
          <w:sz w:val="22"/>
          <w:szCs w:val="22"/>
        </w:rPr>
      </w:pPr>
    </w:p>
    <w:p w14:paraId="15737209" w14:textId="2DF2EABF" w:rsidR="00B22FEA" w:rsidRPr="008375C4" w:rsidRDefault="00B94C1C" w:rsidP="00B22FEA">
      <w:pPr>
        <w:tabs>
          <w:tab w:val="left" w:pos="5245"/>
        </w:tabs>
        <w:spacing w:before="120" w:after="40" w:line="276" w:lineRule="auto"/>
        <w:ind w:left="284"/>
        <w:jc w:val="both"/>
        <w:rPr>
          <w:rFonts w:asciiTheme="minorHAnsi" w:hAnsiTheme="minorHAnsi"/>
          <w:sz w:val="22"/>
        </w:rPr>
      </w:pPr>
      <w:r w:rsidRPr="00157DFD">
        <w:rPr>
          <w:rFonts w:asciiTheme="minorHAnsi" w:hAnsiTheme="minorHAnsi"/>
          <w:sz w:val="22"/>
          <w:highlight w:val="black"/>
        </w:rPr>
        <w:t>xxxx</w:t>
      </w:r>
    </w:p>
    <w:p w14:paraId="08EA7BC5" w14:textId="77777777" w:rsidR="00B22FEA" w:rsidRPr="008375C4" w:rsidRDefault="00B22FEA" w:rsidP="00B22FEA">
      <w:pPr>
        <w:tabs>
          <w:tab w:val="left" w:pos="5245"/>
        </w:tabs>
        <w:spacing w:before="120" w:after="40" w:line="276" w:lineRule="auto"/>
        <w:ind w:left="284"/>
        <w:jc w:val="both"/>
        <w:rPr>
          <w:rFonts w:asciiTheme="minorHAnsi" w:hAnsiTheme="minorHAnsi"/>
          <w:sz w:val="22"/>
        </w:rPr>
      </w:pPr>
    </w:p>
    <w:p w14:paraId="1F858284" w14:textId="43225DCF" w:rsidR="00B22FEA" w:rsidRPr="008375C4" w:rsidRDefault="00AA1124" w:rsidP="00B22FEA">
      <w:pPr>
        <w:tabs>
          <w:tab w:val="left" w:pos="5245"/>
        </w:tabs>
        <w:spacing w:before="120" w:after="40" w:line="276" w:lineRule="auto"/>
        <w:ind w:left="284"/>
        <w:jc w:val="both"/>
        <w:rPr>
          <w:rFonts w:asciiTheme="minorHAnsi" w:hAnsiTheme="minorHAnsi"/>
          <w:sz w:val="22"/>
        </w:rPr>
      </w:pPr>
      <w:r w:rsidRPr="00157DFD">
        <w:rPr>
          <w:rFonts w:asciiTheme="minorHAnsi" w:hAnsiTheme="minorHAnsi"/>
          <w:sz w:val="22"/>
          <w:highlight w:val="black"/>
        </w:rPr>
        <w:t>xxxx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11503B88" w14:textId="77777777" w:rsidR="00307241" w:rsidRDefault="00307241" w:rsidP="005C48B2">
      <w:pPr>
        <w:tabs>
          <w:tab w:val="left" w:pos="5245"/>
        </w:tabs>
        <w:spacing w:before="120" w:after="40" w:line="276" w:lineRule="auto"/>
        <w:rPr>
          <w:rFonts w:asciiTheme="minorHAnsi" w:hAnsiTheme="minorHAnsi" w:cstheme="minorHAnsi"/>
          <w:sz w:val="22"/>
          <w:szCs w:val="22"/>
        </w:rPr>
      </w:pPr>
    </w:p>
    <w:p w14:paraId="37C3C642" w14:textId="77777777" w:rsidR="00307241" w:rsidRDefault="00307241" w:rsidP="005C48B2">
      <w:pPr>
        <w:tabs>
          <w:tab w:val="left" w:pos="5245"/>
        </w:tabs>
        <w:spacing w:before="120" w:after="40" w:line="276" w:lineRule="auto"/>
        <w:rPr>
          <w:rFonts w:asciiTheme="minorHAnsi" w:hAnsiTheme="minorHAnsi" w:cstheme="minorHAnsi"/>
          <w:sz w:val="22"/>
          <w:szCs w:val="22"/>
        </w:rPr>
      </w:pPr>
    </w:p>
    <w:p w14:paraId="1BCD840C" w14:textId="77777777" w:rsidR="004B51BC" w:rsidRPr="00F671DD" w:rsidRDefault="004B51BC" w:rsidP="004B51B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364F8C0A" w14:textId="77777777" w:rsidR="004B51BC" w:rsidRPr="00F671DD" w:rsidRDefault="004B51BC" w:rsidP="004B51BC">
      <w:pPr>
        <w:spacing w:line="276" w:lineRule="auto"/>
        <w:rPr>
          <w:rFonts w:ascii="Calibri" w:hAnsi="Calibri" w:cs="Calibri"/>
          <w:sz w:val="22"/>
          <w:szCs w:val="22"/>
        </w:rPr>
      </w:pPr>
    </w:p>
    <w:p w14:paraId="24BC20A5" w14:textId="77777777" w:rsidR="004B51BC" w:rsidRPr="00F671DD" w:rsidRDefault="004B51BC" w:rsidP="004B51B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603D1894" w14:textId="77777777" w:rsidR="004B51BC" w:rsidRPr="00F671DD" w:rsidRDefault="004B51BC" w:rsidP="004B51BC">
      <w:pPr>
        <w:spacing w:line="276" w:lineRule="auto"/>
        <w:rPr>
          <w:rFonts w:ascii="Calibri" w:hAnsi="Calibri" w:cs="Calibri"/>
          <w:sz w:val="22"/>
          <w:szCs w:val="22"/>
        </w:rPr>
      </w:pPr>
    </w:p>
    <w:p w14:paraId="22E4E047" w14:textId="77777777" w:rsidR="004B51BC" w:rsidRPr="00F671DD" w:rsidRDefault="004B51BC" w:rsidP="004B51BC">
      <w:pPr>
        <w:spacing w:line="276" w:lineRule="auto"/>
        <w:rPr>
          <w:rFonts w:ascii="Calibri" w:hAnsi="Calibri" w:cs="Calibri"/>
          <w:sz w:val="22"/>
          <w:szCs w:val="22"/>
        </w:rPr>
      </w:pPr>
    </w:p>
    <w:p w14:paraId="417CB698" w14:textId="77777777" w:rsidR="004B51BC" w:rsidRPr="00F671DD" w:rsidRDefault="004B51BC" w:rsidP="004B51B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4B51BC" w:rsidRPr="00F671DD" w14:paraId="0ED52AA4" w14:textId="77777777" w:rsidTr="0022144F">
        <w:trPr>
          <w:trHeight w:val="1368"/>
        </w:trPr>
        <w:tc>
          <w:tcPr>
            <w:tcW w:w="4606" w:type="dxa"/>
            <w:hideMark/>
          </w:tcPr>
          <w:p w14:paraId="6875C4E6" w14:textId="77777777" w:rsidR="004B51BC" w:rsidRPr="00F671DD" w:rsidRDefault="004B51BC" w:rsidP="0022144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90FAA0A" w14:textId="77777777" w:rsidR="004B51BC" w:rsidRPr="00F671DD" w:rsidRDefault="004B51BC" w:rsidP="0022144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8FAE620" w14:textId="77777777" w:rsidR="004B51BC" w:rsidRPr="00F671DD" w:rsidRDefault="004B51BC" w:rsidP="0022144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0C5B1EB6" w14:textId="77777777" w:rsidR="004B51BC" w:rsidRPr="00F671DD" w:rsidRDefault="004B51BC" w:rsidP="0022144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1EB5F1BA" w14:textId="77777777" w:rsidR="004B51BC" w:rsidRPr="00F671DD" w:rsidRDefault="004B51BC" w:rsidP="0022144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5073C98" w14:textId="77777777" w:rsidR="004B51BC" w:rsidRDefault="004B51BC" w:rsidP="0022144F">
            <w:pPr>
              <w:tabs>
                <w:tab w:val="left" w:pos="5245"/>
              </w:tabs>
              <w:spacing w:after="40" w:line="276" w:lineRule="auto"/>
              <w:rPr>
                <w:rFonts w:ascii="Calibri" w:hAnsi="Calibri" w:cs="Calibri"/>
                <w:sz w:val="22"/>
                <w:szCs w:val="22"/>
              </w:rPr>
            </w:pPr>
            <w:r w:rsidRPr="00FF48DA">
              <w:rPr>
                <w:rFonts w:ascii="Calibri" w:hAnsi="Calibri" w:cs="Calibri"/>
                <w:sz w:val="22"/>
                <w:szCs w:val="22"/>
              </w:rPr>
              <w:t xml:space="preserve">Jakub Zadák, MBA </w:t>
            </w:r>
          </w:p>
          <w:p w14:paraId="41AC6CC2" w14:textId="77777777" w:rsidR="004B51BC" w:rsidRPr="00F671DD" w:rsidRDefault="004B51BC" w:rsidP="0022144F">
            <w:pPr>
              <w:tabs>
                <w:tab w:val="left" w:pos="5245"/>
              </w:tabs>
              <w:spacing w:after="40" w:line="276" w:lineRule="auto"/>
              <w:jc w:val="both"/>
              <w:rPr>
                <w:rFonts w:ascii="Calibri" w:hAnsi="Calibri" w:cs="Calibri"/>
                <w:sz w:val="22"/>
                <w:szCs w:val="22"/>
              </w:rPr>
            </w:pPr>
            <w:r w:rsidRPr="00FF48DA">
              <w:rPr>
                <w:rFonts w:ascii="Calibri" w:hAnsi="Calibri" w:cs="Calibri"/>
                <w:sz w:val="22"/>
                <w:szCs w:val="22"/>
              </w:rPr>
              <w:t xml:space="preserve">pověřený zaměstnanec společnosti Merck Sharp &amp; Dohme s.r.o., která zastupuje Držitele na základě plné moci </w:t>
            </w:r>
          </w:p>
        </w:tc>
      </w:tr>
    </w:tbl>
    <w:p w14:paraId="6BAA628C" w14:textId="56425D5E" w:rsidR="008D56DC" w:rsidRPr="00307241" w:rsidRDefault="008D56DC" w:rsidP="00307241">
      <w:pPr>
        <w:overflowPunct/>
        <w:autoSpaceDE/>
        <w:autoSpaceDN/>
        <w:adjustRightInd/>
        <w:spacing w:after="40" w:line="276" w:lineRule="auto"/>
        <w:textAlignment w:val="auto"/>
        <w:rPr>
          <w:rFonts w:asciiTheme="minorHAnsi" w:hAnsiTheme="minorHAnsi" w:cstheme="minorHAnsi"/>
          <w:sz w:val="22"/>
          <w:szCs w:val="22"/>
        </w:rPr>
      </w:pPr>
    </w:p>
    <w:sectPr w:rsidR="008D56DC" w:rsidRPr="00307241" w:rsidSect="0018509E">
      <w:headerReference w:type="even" r:id="rId11"/>
      <w:headerReference w:type="default" r:id="rId12"/>
      <w:footerReference w:type="default" r:id="rId13"/>
      <w:head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E2CA" w14:textId="77777777" w:rsidR="00212EF7" w:rsidRDefault="00212EF7">
      <w:r>
        <w:separator/>
      </w:r>
    </w:p>
  </w:endnote>
  <w:endnote w:type="continuationSeparator" w:id="0">
    <w:p w14:paraId="52A15F25" w14:textId="77777777" w:rsidR="00212EF7" w:rsidRDefault="00212EF7">
      <w:r>
        <w:continuationSeparator/>
      </w:r>
    </w:p>
  </w:endnote>
  <w:endnote w:type="continuationNotice" w:id="1">
    <w:p w14:paraId="0FB20E4F" w14:textId="77777777" w:rsidR="00212EF7" w:rsidRDefault="00212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A64B" w14:textId="77777777" w:rsidR="00212EF7" w:rsidRDefault="00212EF7">
      <w:r>
        <w:separator/>
      </w:r>
    </w:p>
  </w:footnote>
  <w:footnote w:type="continuationSeparator" w:id="0">
    <w:p w14:paraId="270CBC19" w14:textId="77777777" w:rsidR="00212EF7" w:rsidRDefault="00212EF7">
      <w:r>
        <w:continuationSeparator/>
      </w:r>
    </w:p>
  </w:footnote>
  <w:footnote w:type="continuationNotice" w:id="1">
    <w:p w14:paraId="3A7EE450" w14:textId="77777777" w:rsidR="00212EF7" w:rsidRDefault="00212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CA8" w14:textId="277FAE3D" w:rsidR="002B2C7A" w:rsidRDefault="002B2C7A">
    <w:pPr>
      <w:pStyle w:val="Zhlav"/>
    </w:pPr>
    <w:r>
      <w:rPr>
        <w:noProof/>
      </w:rPr>
      <mc:AlternateContent>
        <mc:Choice Requires="wps">
          <w:drawing>
            <wp:anchor distT="0" distB="0" distL="0" distR="0" simplePos="0" relativeHeight="251659264" behindDoc="0" locked="0" layoutInCell="1" allowOverlap="1" wp14:anchorId="684C2469" wp14:editId="7F8B2D6D">
              <wp:simplePos x="635" y="635"/>
              <wp:positionH relativeFrom="page">
                <wp:align>left</wp:align>
              </wp:positionH>
              <wp:positionV relativeFrom="page">
                <wp:align>top</wp:align>
              </wp:positionV>
              <wp:extent cx="980440" cy="376555"/>
              <wp:effectExtent l="0" t="0" r="10160" b="4445"/>
              <wp:wrapNone/>
              <wp:docPr id="1196804528" name="Textové pole 2"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0440" cy="376555"/>
                      </a:xfrm>
                      <a:prstGeom prst="rect">
                        <a:avLst/>
                      </a:prstGeom>
                      <a:noFill/>
                      <a:ln>
                        <a:noFill/>
                      </a:ln>
                    </wps:spPr>
                    <wps:txbx>
                      <w:txbxContent>
                        <w:p w14:paraId="1649156D" w14:textId="0CC7C5F3"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4C2469" id="_x0000_t202" coordsize="21600,21600" o:spt="202" path="m,l,21600r21600,l21600,xe">
              <v:stroke joinstyle="miter"/>
              <v:path gradientshapeok="t" o:connecttype="rect"/>
            </v:shapetype>
            <v:shape id="Textové pole 2" o:spid="_x0000_s1026" type="#_x0000_t202" alt="Proprietary" style="position:absolute;margin-left:0;margin-top:0;width:77.2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" filled="f" stroked="f">
              <v:textbox style="mso-fit-shape-to-text:t" inset="20pt,15pt,0,0">
                <w:txbxContent>
                  <w:p w14:paraId="1649156D" w14:textId="0CC7C5F3"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4707BF2F" w:rsidR="002F1EB2" w:rsidRPr="0018509E" w:rsidRDefault="002B2C7A">
    <w:pPr>
      <w:pStyle w:val="Zhlav"/>
    </w:pPr>
    <w:r>
      <w:rPr>
        <w:noProof/>
      </w:rPr>
      <mc:AlternateContent>
        <mc:Choice Requires="wps">
          <w:drawing>
            <wp:anchor distT="0" distB="0" distL="0" distR="0" simplePos="0" relativeHeight="251660288" behindDoc="0" locked="0" layoutInCell="1" allowOverlap="1" wp14:anchorId="0F3E53D5" wp14:editId="4CD35338">
              <wp:simplePos x="685800" y="447675"/>
              <wp:positionH relativeFrom="page">
                <wp:align>left</wp:align>
              </wp:positionH>
              <wp:positionV relativeFrom="page">
                <wp:align>top</wp:align>
              </wp:positionV>
              <wp:extent cx="980440" cy="376555"/>
              <wp:effectExtent l="0" t="0" r="10160" b="4445"/>
              <wp:wrapNone/>
              <wp:docPr id="475375130" name="Textové pole 3"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0440" cy="376555"/>
                      </a:xfrm>
                      <a:prstGeom prst="rect">
                        <a:avLst/>
                      </a:prstGeom>
                      <a:noFill/>
                      <a:ln>
                        <a:noFill/>
                      </a:ln>
                    </wps:spPr>
                    <wps:txbx>
                      <w:txbxContent>
                        <w:p w14:paraId="14D7436A" w14:textId="2141EE69"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3E53D5" id="_x0000_t202" coordsize="21600,21600" o:spt="202" path="m,l,21600r21600,l21600,xe">
              <v:stroke joinstyle="miter"/>
              <v:path gradientshapeok="t" o:connecttype="rect"/>
            </v:shapetype>
            <v:shape id="Textové pole 3" o:spid="_x0000_s1027" type="#_x0000_t202" alt="Proprietary" style="position:absolute;margin-left:0;margin-top:0;width:77.2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" filled="f" stroked="f">
              <v:textbox style="mso-fit-shape-to-text:t" inset="20pt,15pt,0,0">
                <w:txbxContent>
                  <w:p w14:paraId="14D7436A" w14:textId="2141EE69"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72FC" w14:textId="78BC4740" w:rsidR="002B2C7A" w:rsidRDefault="002B2C7A">
    <w:pPr>
      <w:pStyle w:val="Zhlav"/>
    </w:pPr>
    <w:r>
      <w:rPr>
        <w:noProof/>
      </w:rPr>
      <mc:AlternateContent>
        <mc:Choice Requires="wps">
          <w:drawing>
            <wp:anchor distT="0" distB="0" distL="0" distR="0" simplePos="0" relativeHeight="251658240" behindDoc="0" locked="0" layoutInCell="1" allowOverlap="1" wp14:anchorId="6A06660C" wp14:editId="4DB31C8E">
              <wp:simplePos x="635" y="635"/>
              <wp:positionH relativeFrom="page">
                <wp:align>left</wp:align>
              </wp:positionH>
              <wp:positionV relativeFrom="page">
                <wp:align>top</wp:align>
              </wp:positionV>
              <wp:extent cx="980440" cy="376555"/>
              <wp:effectExtent l="0" t="0" r="10160" b="4445"/>
              <wp:wrapNone/>
              <wp:docPr id="539312387" name="Textové pole 1"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0440" cy="376555"/>
                      </a:xfrm>
                      <a:prstGeom prst="rect">
                        <a:avLst/>
                      </a:prstGeom>
                      <a:noFill/>
                      <a:ln>
                        <a:noFill/>
                      </a:ln>
                    </wps:spPr>
                    <wps:txbx>
                      <w:txbxContent>
                        <w:p w14:paraId="07693B7E" w14:textId="6B1C0D50"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06660C" id="_x0000_t202" coordsize="21600,21600" o:spt="202" path="m,l,21600r21600,l21600,xe">
              <v:stroke joinstyle="miter"/>
              <v:path gradientshapeok="t" o:connecttype="rect"/>
            </v:shapetype>
            <v:shape id="Textové pole 1" o:spid="_x0000_s1028" type="#_x0000_t202" alt="Proprietary" style="position:absolute;margin-left:0;margin-top:0;width:77.2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" filled="f" stroked="f">
              <v:textbox style="mso-fit-shape-to-text:t" inset="20pt,15pt,0,0">
                <w:txbxContent>
                  <w:p w14:paraId="07693B7E" w14:textId="6B1C0D50" w:rsidR="002B2C7A" w:rsidRPr="002B2C7A" w:rsidRDefault="002B2C7A" w:rsidP="002B2C7A">
                    <w:pPr>
                      <w:rPr>
                        <w:rFonts w:ascii="Aptos" w:eastAsia="Aptos" w:hAnsi="Aptos" w:cs="Aptos"/>
                        <w:noProof/>
                        <w:color w:val="00B294"/>
                        <w:sz w:val="24"/>
                        <w:szCs w:val="24"/>
                      </w:rPr>
                    </w:pPr>
                    <w:r w:rsidRPr="002B2C7A">
                      <w:rPr>
                        <w:rFonts w:ascii="Aptos" w:eastAsia="Aptos" w:hAnsi="Aptos" w:cs="Aptos"/>
                        <w:noProof/>
                        <w:color w:val="00B294"/>
                        <w:sz w:val="24"/>
                        <w:szCs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A5498"/>
    <w:multiLevelType w:val="hybridMultilevel"/>
    <w:tmpl w:val="371C8902"/>
    <w:lvl w:ilvl="0" w:tplc="4CAE2184">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9"/>
  </w:num>
  <w:num w:numId="2" w16cid:durableId="1242105925">
    <w:abstractNumId w:val="29"/>
  </w:num>
  <w:num w:numId="3" w16cid:durableId="1932464733">
    <w:abstractNumId w:val="29"/>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6"/>
  </w:num>
  <w:num w:numId="5" w16cid:durableId="897936593">
    <w:abstractNumId w:val="5"/>
  </w:num>
  <w:num w:numId="6" w16cid:durableId="2017074433">
    <w:abstractNumId w:val="15"/>
  </w:num>
  <w:num w:numId="7" w16cid:durableId="1957370210">
    <w:abstractNumId w:val="7"/>
  </w:num>
  <w:num w:numId="8" w16cid:durableId="1813012125">
    <w:abstractNumId w:val="23"/>
  </w:num>
  <w:num w:numId="9" w16cid:durableId="811869903">
    <w:abstractNumId w:val="18"/>
  </w:num>
  <w:num w:numId="10" w16cid:durableId="1291401973">
    <w:abstractNumId w:val="20"/>
  </w:num>
  <w:num w:numId="11" w16cid:durableId="1950550707">
    <w:abstractNumId w:val="24"/>
  </w:num>
  <w:num w:numId="12" w16cid:durableId="1300576630">
    <w:abstractNumId w:val="22"/>
  </w:num>
  <w:num w:numId="13" w16cid:durableId="315841942">
    <w:abstractNumId w:val="25"/>
  </w:num>
  <w:num w:numId="14" w16cid:durableId="958609798">
    <w:abstractNumId w:val="12"/>
  </w:num>
  <w:num w:numId="15" w16cid:durableId="54931746">
    <w:abstractNumId w:val="3"/>
  </w:num>
  <w:num w:numId="16" w16cid:durableId="1389839681">
    <w:abstractNumId w:val="28"/>
  </w:num>
  <w:num w:numId="17" w16cid:durableId="860322131">
    <w:abstractNumId w:val="2"/>
  </w:num>
  <w:num w:numId="18" w16cid:durableId="767576413">
    <w:abstractNumId w:val="7"/>
    <w:lvlOverride w:ilvl="0">
      <w:startOverride w:val="1"/>
    </w:lvlOverride>
  </w:num>
  <w:num w:numId="19" w16cid:durableId="1154031646">
    <w:abstractNumId w:val="16"/>
  </w:num>
  <w:num w:numId="20" w16cid:durableId="1591963423">
    <w:abstractNumId w:val="21"/>
  </w:num>
  <w:num w:numId="21" w16cid:durableId="1680424127">
    <w:abstractNumId w:val="26"/>
  </w:num>
  <w:num w:numId="22" w16cid:durableId="91439798">
    <w:abstractNumId w:val="14"/>
  </w:num>
  <w:num w:numId="23" w16cid:durableId="1833519524">
    <w:abstractNumId w:val="1"/>
  </w:num>
  <w:num w:numId="24" w16cid:durableId="1936790058">
    <w:abstractNumId w:val="10"/>
  </w:num>
  <w:num w:numId="25" w16cid:durableId="2008241951">
    <w:abstractNumId w:val="11"/>
  </w:num>
  <w:num w:numId="26" w16cid:durableId="854809558">
    <w:abstractNumId w:val="9"/>
  </w:num>
  <w:num w:numId="27" w16cid:durableId="732239179">
    <w:abstractNumId w:val="13"/>
  </w:num>
  <w:num w:numId="28" w16cid:durableId="963463155">
    <w:abstractNumId w:val="8"/>
  </w:num>
  <w:num w:numId="29" w16cid:durableId="213128561">
    <w:abstractNumId w:val="17"/>
  </w:num>
  <w:num w:numId="30" w16cid:durableId="112553153">
    <w:abstractNumId w:val="27"/>
  </w:num>
  <w:num w:numId="31" w16cid:durableId="713700855">
    <w:abstractNumId w:val="30"/>
  </w:num>
  <w:num w:numId="32" w16cid:durableId="11059271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07D35"/>
    <w:rsid w:val="000105DF"/>
    <w:rsid w:val="00010BDB"/>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697E"/>
    <w:rsid w:val="00047E3D"/>
    <w:rsid w:val="00051396"/>
    <w:rsid w:val="00054275"/>
    <w:rsid w:val="0005778D"/>
    <w:rsid w:val="000642C0"/>
    <w:rsid w:val="00064789"/>
    <w:rsid w:val="000660C9"/>
    <w:rsid w:val="000706C4"/>
    <w:rsid w:val="00074803"/>
    <w:rsid w:val="00075826"/>
    <w:rsid w:val="0007720F"/>
    <w:rsid w:val="00087DF9"/>
    <w:rsid w:val="00091628"/>
    <w:rsid w:val="00095CF5"/>
    <w:rsid w:val="000A2BE1"/>
    <w:rsid w:val="000A70F2"/>
    <w:rsid w:val="000A7949"/>
    <w:rsid w:val="000B6B53"/>
    <w:rsid w:val="000B7E3D"/>
    <w:rsid w:val="000C11CB"/>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20FB"/>
    <w:rsid w:val="001331D5"/>
    <w:rsid w:val="00134F9A"/>
    <w:rsid w:val="0013561C"/>
    <w:rsid w:val="001376E1"/>
    <w:rsid w:val="001421D0"/>
    <w:rsid w:val="00142404"/>
    <w:rsid w:val="0014278F"/>
    <w:rsid w:val="00142CE1"/>
    <w:rsid w:val="00144CB1"/>
    <w:rsid w:val="00144F15"/>
    <w:rsid w:val="0014596E"/>
    <w:rsid w:val="00146A95"/>
    <w:rsid w:val="001473B9"/>
    <w:rsid w:val="00147B7B"/>
    <w:rsid w:val="00151842"/>
    <w:rsid w:val="001521DC"/>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477A"/>
    <w:rsid w:val="00196D6E"/>
    <w:rsid w:val="001A1C74"/>
    <w:rsid w:val="001A23B4"/>
    <w:rsid w:val="001A29CD"/>
    <w:rsid w:val="001A47E5"/>
    <w:rsid w:val="001A50E1"/>
    <w:rsid w:val="001A5DB0"/>
    <w:rsid w:val="001A6D6C"/>
    <w:rsid w:val="001B0DBF"/>
    <w:rsid w:val="001B2165"/>
    <w:rsid w:val="001B3047"/>
    <w:rsid w:val="001B4B25"/>
    <w:rsid w:val="001B55CB"/>
    <w:rsid w:val="001B7459"/>
    <w:rsid w:val="001C025B"/>
    <w:rsid w:val="001C03D9"/>
    <w:rsid w:val="001C0E44"/>
    <w:rsid w:val="001C14DE"/>
    <w:rsid w:val="001C7184"/>
    <w:rsid w:val="001D2AF4"/>
    <w:rsid w:val="001D4D39"/>
    <w:rsid w:val="001D56C6"/>
    <w:rsid w:val="001E0159"/>
    <w:rsid w:val="001E15EE"/>
    <w:rsid w:val="001E573E"/>
    <w:rsid w:val="001F0A55"/>
    <w:rsid w:val="00201BDB"/>
    <w:rsid w:val="002035F4"/>
    <w:rsid w:val="00206A9D"/>
    <w:rsid w:val="00212EF7"/>
    <w:rsid w:val="00214C8F"/>
    <w:rsid w:val="00221720"/>
    <w:rsid w:val="002238FE"/>
    <w:rsid w:val="0022520E"/>
    <w:rsid w:val="00226E89"/>
    <w:rsid w:val="00233315"/>
    <w:rsid w:val="0023615E"/>
    <w:rsid w:val="00240311"/>
    <w:rsid w:val="00241C51"/>
    <w:rsid w:val="00243B9F"/>
    <w:rsid w:val="00243D85"/>
    <w:rsid w:val="00245038"/>
    <w:rsid w:val="002503ED"/>
    <w:rsid w:val="00256DF9"/>
    <w:rsid w:val="00262AA7"/>
    <w:rsid w:val="002659EE"/>
    <w:rsid w:val="00265AB5"/>
    <w:rsid w:val="0026764A"/>
    <w:rsid w:val="0027018F"/>
    <w:rsid w:val="0027029D"/>
    <w:rsid w:val="00272CF1"/>
    <w:rsid w:val="00274342"/>
    <w:rsid w:val="00274E3E"/>
    <w:rsid w:val="0027548C"/>
    <w:rsid w:val="00276D38"/>
    <w:rsid w:val="00280F1A"/>
    <w:rsid w:val="00281985"/>
    <w:rsid w:val="00283A2B"/>
    <w:rsid w:val="0028468C"/>
    <w:rsid w:val="00287F7A"/>
    <w:rsid w:val="002907CF"/>
    <w:rsid w:val="00294C1D"/>
    <w:rsid w:val="002973B9"/>
    <w:rsid w:val="00297959"/>
    <w:rsid w:val="002A1230"/>
    <w:rsid w:val="002A1E7A"/>
    <w:rsid w:val="002A3AD6"/>
    <w:rsid w:val="002A4E00"/>
    <w:rsid w:val="002B0D9C"/>
    <w:rsid w:val="002B1C96"/>
    <w:rsid w:val="002B2C7A"/>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241"/>
    <w:rsid w:val="00310065"/>
    <w:rsid w:val="00313100"/>
    <w:rsid w:val="00314128"/>
    <w:rsid w:val="00314E0B"/>
    <w:rsid w:val="003152CE"/>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0534"/>
    <w:rsid w:val="00392054"/>
    <w:rsid w:val="00393BDC"/>
    <w:rsid w:val="003A5150"/>
    <w:rsid w:val="003A6809"/>
    <w:rsid w:val="003B04DA"/>
    <w:rsid w:val="003B076E"/>
    <w:rsid w:val="003B0B9C"/>
    <w:rsid w:val="003B0F37"/>
    <w:rsid w:val="003B11DC"/>
    <w:rsid w:val="003B169C"/>
    <w:rsid w:val="003B1CE0"/>
    <w:rsid w:val="003B4044"/>
    <w:rsid w:val="003B4D57"/>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758A3"/>
    <w:rsid w:val="00482FCD"/>
    <w:rsid w:val="004866BA"/>
    <w:rsid w:val="00491DC5"/>
    <w:rsid w:val="00493ACF"/>
    <w:rsid w:val="00494134"/>
    <w:rsid w:val="00497921"/>
    <w:rsid w:val="004A53AD"/>
    <w:rsid w:val="004A6052"/>
    <w:rsid w:val="004A64ED"/>
    <w:rsid w:val="004A6C83"/>
    <w:rsid w:val="004A763F"/>
    <w:rsid w:val="004B51BC"/>
    <w:rsid w:val="004B6612"/>
    <w:rsid w:val="004B73CA"/>
    <w:rsid w:val="004C053B"/>
    <w:rsid w:val="004C366B"/>
    <w:rsid w:val="004C76D2"/>
    <w:rsid w:val="004D2BE3"/>
    <w:rsid w:val="004D365F"/>
    <w:rsid w:val="004D3B6E"/>
    <w:rsid w:val="004D698E"/>
    <w:rsid w:val="004E54CE"/>
    <w:rsid w:val="004E7104"/>
    <w:rsid w:val="004E7292"/>
    <w:rsid w:val="004F0B53"/>
    <w:rsid w:val="004F0DAF"/>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739"/>
    <w:rsid w:val="005224E0"/>
    <w:rsid w:val="00525B2E"/>
    <w:rsid w:val="00534E19"/>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000"/>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F4583"/>
    <w:rsid w:val="005F6257"/>
    <w:rsid w:val="005F684C"/>
    <w:rsid w:val="005F69F9"/>
    <w:rsid w:val="00600091"/>
    <w:rsid w:val="00602E97"/>
    <w:rsid w:val="006032EA"/>
    <w:rsid w:val="00607BF7"/>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77F34"/>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6DFA"/>
    <w:rsid w:val="006B1F1E"/>
    <w:rsid w:val="006B7D1D"/>
    <w:rsid w:val="006C2176"/>
    <w:rsid w:val="006C43E3"/>
    <w:rsid w:val="006C5EB2"/>
    <w:rsid w:val="006D0310"/>
    <w:rsid w:val="006D284E"/>
    <w:rsid w:val="006D3EB2"/>
    <w:rsid w:val="006D4CA4"/>
    <w:rsid w:val="006D6AFB"/>
    <w:rsid w:val="006E3D4E"/>
    <w:rsid w:val="006F0B2A"/>
    <w:rsid w:val="006F1AA8"/>
    <w:rsid w:val="006F1B96"/>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6F52"/>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31E"/>
    <w:rsid w:val="007C0C91"/>
    <w:rsid w:val="007C0FD5"/>
    <w:rsid w:val="007C27C7"/>
    <w:rsid w:val="007C2DEA"/>
    <w:rsid w:val="007C3BEB"/>
    <w:rsid w:val="007C4AE6"/>
    <w:rsid w:val="007C75B5"/>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1368"/>
    <w:rsid w:val="008068FC"/>
    <w:rsid w:val="008122F1"/>
    <w:rsid w:val="00814572"/>
    <w:rsid w:val="00817140"/>
    <w:rsid w:val="00822EAC"/>
    <w:rsid w:val="0082607A"/>
    <w:rsid w:val="0083076A"/>
    <w:rsid w:val="008309F7"/>
    <w:rsid w:val="00833D6B"/>
    <w:rsid w:val="00843B69"/>
    <w:rsid w:val="00844DC8"/>
    <w:rsid w:val="00851A71"/>
    <w:rsid w:val="00851F7C"/>
    <w:rsid w:val="00857D3F"/>
    <w:rsid w:val="00860723"/>
    <w:rsid w:val="00866B7C"/>
    <w:rsid w:val="00867D1C"/>
    <w:rsid w:val="00872575"/>
    <w:rsid w:val="00874F56"/>
    <w:rsid w:val="00874F84"/>
    <w:rsid w:val="008751D7"/>
    <w:rsid w:val="008777E7"/>
    <w:rsid w:val="008805A4"/>
    <w:rsid w:val="008833CC"/>
    <w:rsid w:val="00883680"/>
    <w:rsid w:val="00883718"/>
    <w:rsid w:val="008853C1"/>
    <w:rsid w:val="00886867"/>
    <w:rsid w:val="00887983"/>
    <w:rsid w:val="00891929"/>
    <w:rsid w:val="008962DE"/>
    <w:rsid w:val="008975AD"/>
    <w:rsid w:val="008A056E"/>
    <w:rsid w:val="008A20A2"/>
    <w:rsid w:val="008A3DCB"/>
    <w:rsid w:val="008A4195"/>
    <w:rsid w:val="008B21EF"/>
    <w:rsid w:val="008B2A1C"/>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08C9"/>
    <w:rsid w:val="008E1AD7"/>
    <w:rsid w:val="008E1F26"/>
    <w:rsid w:val="008E4798"/>
    <w:rsid w:val="008E55B9"/>
    <w:rsid w:val="008E703B"/>
    <w:rsid w:val="008F1852"/>
    <w:rsid w:val="008F19B8"/>
    <w:rsid w:val="008F1B5B"/>
    <w:rsid w:val="008F410D"/>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2563"/>
    <w:rsid w:val="00927A5E"/>
    <w:rsid w:val="00930C88"/>
    <w:rsid w:val="00930F96"/>
    <w:rsid w:val="00931181"/>
    <w:rsid w:val="0093555F"/>
    <w:rsid w:val="00935EF0"/>
    <w:rsid w:val="0093622D"/>
    <w:rsid w:val="009400B3"/>
    <w:rsid w:val="00940E33"/>
    <w:rsid w:val="009414B4"/>
    <w:rsid w:val="00942B3A"/>
    <w:rsid w:val="00944B84"/>
    <w:rsid w:val="00947932"/>
    <w:rsid w:val="00947F39"/>
    <w:rsid w:val="00950421"/>
    <w:rsid w:val="00951C19"/>
    <w:rsid w:val="00951F8C"/>
    <w:rsid w:val="009543A8"/>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909"/>
    <w:rsid w:val="00986D47"/>
    <w:rsid w:val="00987D03"/>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417B"/>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081A"/>
    <w:rsid w:val="00A423CC"/>
    <w:rsid w:val="00A441D5"/>
    <w:rsid w:val="00A45C91"/>
    <w:rsid w:val="00A46C13"/>
    <w:rsid w:val="00A50E01"/>
    <w:rsid w:val="00A56B0F"/>
    <w:rsid w:val="00A60006"/>
    <w:rsid w:val="00A621EB"/>
    <w:rsid w:val="00A630B7"/>
    <w:rsid w:val="00A637AE"/>
    <w:rsid w:val="00A66DCD"/>
    <w:rsid w:val="00A66F6A"/>
    <w:rsid w:val="00A70951"/>
    <w:rsid w:val="00A73946"/>
    <w:rsid w:val="00A81BD0"/>
    <w:rsid w:val="00A82654"/>
    <w:rsid w:val="00A84960"/>
    <w:rsid w:val="00A8612A"/>
    <w:rsid w:val="00A87870"/>
    <w:rsid w:val="00A90D5F"/>
    <w:rsid w:val="00A91CEA"/>
    <w:rsid w:val="00AA1124"/>
    <w:rsid w:val="00AA1639"/>
    <w:rsid w:val="00AA188A"/>
    <w:rsid w:val="00AA27C2"/>
    <w:rsid w:val="00AA2C14"/>
    <w:rsid w:val="00AA34FD"/>
    <w:rsid w:val="00AA431E"/>
    <w:rsid w:val="00AB0C71"/>
    <w:rsid w:val="00AB2D6B"/>
    <w:rsid w:val="00AB33AE"/>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2FEA"/>
    <w:rsid w:val="00B241A8"/>
    <w:rsid w:val="00B24266"/>
    <w:rsid w:val="00B26507"/>
    <w:rsid w:val="00B27677"/>
    <w:rsid w:val="00B30721"/>
    <w:rsid w:val="00B3265F"/>
    <w:rsid w:val="00B32D00"/>
    <w:rsid w:val="00B34AF1"/>
    <w:rsid w:val="00B35026"/>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5D34"/>
    <w:rsid w:val="00B707FD"/>
    <w:rsid w:val="00B717E7"/>
    <w:rsid w:val="00B71E62"/>
    <w:rsid w:val="00B73A96"/>
    <w:rsid w:val="00B73BD2"/>
    <w:rsid w:val="00B829B4"/>
    <w:rsid w:val="00B83BED"/>
    <w:rsid w:val="00B84A16"/>
    <w:rsid w:val="00B84DC8"/>
    <w:rsid w:val="00B85F71"/>
    <w:rsid w:val="00B87B18"/>
    <w:rsid w:val="00B87B83"/>
    <w:rsid w:val="00B901F4"/>
    <w:rsid w:val="00B90C0E"/>
    <w:rsid w:val="00B92F94"/>
    <w:rsid w:val="00B93150"/>
    <w:rsid w:val="00B932E7"/>
    <w:rsid w:val="00B94C1C"/>
    <w:rsid w:val="00B95D55"/>
    <w:rsid w:val="00B9606B"/>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0CDF"/>
    <w:rsid w:val="00BF207D"/>
    <w:rsid w:val="00BF6C8A"/>
    <w:rsid w:val="00C01A02"/>
    <w:rsid w:val="00C0401B"/>
    <w:rsid w:val="00C04984"/>
    <w:rsid w:val="00C0621A"/>
    <w:rsid w:val="00C12529"/>
    <w:rsid w:val="00C139C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5153"/>
    <w:rsid w:val="00C57210"/>
    <w:rsid w:val="00C572A7"/>
    <w:rsid w:val="00C60580"/>
    <w:rsid w:val="00C61E4A"/>
    <w:rsid w:val="00C62DC9"/>
    <w:rsid w:val="00C67056"/>
    <w:rsid w:val="00C67720"/>
    <w:rsid w:val="00C7116F"/>
    <w:rsid w:val="00C73F21"/>
    <w:rsid w:val="00C7512E"/>
    <w:rsid w:val="00C752EC"/>
    <w:rsid w:val="00C768D8"/>
    <w:rsid w:val="00C77D2D"/>
    <w:rsid w:val="00C82E59"/>
    <w:rsid w:val="00C83CE3"/>
    <w:rsid w:val="00C845EA"/>
    <w:rsid w:val="00C84888"/>
    <w:rsid w:val="00C84D20"/>
    <w:rsid w:val="00C87E2E"/>
    <w:rsid w:val="00C91473"/>
    <w:rsid w:val="00C9655F"/>
    <w:rsid w:val="00C96788"/>
    <w:rsid w:val="00C97AC9"/>
    <w:rsid w:val="00CA1448"/>
    <w:rsid w:val="00CA1B6B"/>
    <w:rsid w:val="00CA230F"/>
    <w:rsid w:val="00CA34C7"/>
    <w:rsid w:val="00CA3D6D"/>
    <w:rsid w:val="00CB11EA"/>
    <w:rsid w:val="00CB2DE2"/>
    <w:rsid w:val="00CB3161"/>
    <w:rsid w:val="00CB3A1B"/>
    <w:rsid w:val="00CB5CD0"/>
    <w:rsid w:val="00CB5CF8"/>
    <w:rsid w:val="00CB5D0E"/>
    <w:rsid w:val="00CB5D7E"/>
    <w:rsid w:val="00CC0646"/>
    <w:rsid w:val="00CC25A9"/>
    <w:rsid w:val="00CC2C32"/>
    <w:rsid w:val="00CC312F"/>
    <w:rsid w:val="00CC32C0"/>
    <w:rsid w:val="00CC37B3"/>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1571"/>
    <w:rsid w:val="00D75BCF"/>
    <w:rsid w:val="00D816C8"/>
    <w:rsid w:val="00D8648F"/>
    <w:rsid w:val="00D86F74"/>
    <w:rsid w:val="00D919E5"/>
    <w:rsid w:val="00D91F09"/>
    <w:rsid w:val="00D92BE0"/>
    <w:rsid w:val="00D92F6D"/>
    <w:rsid w:val="00DA0234"/>
    <w:rsid w:val="00DA1C3E"/>
    <w:rsid w:val="00DA30DA"/>
    <w:rsid w:val="00DA43A7"/>
    <w:rsid w:val="00DA7DA6"/>
    <w:rsid w:val="00DA7DCF"/>
    <w:rsid w:val="00DB03CE"/>
    <w:rsid w:val="00DB1F54"/>
    <w:rsid w:val="00DB6597"/>
    <w:rsid w:val="00DC0A27"/>
    <w:rsid w:val="00DC25E7"/>
    <w:rsid w:val="00DC5005"/>
    <w:rsid w:val="00DC681F"/>
    <w:rsid w:val="00DD28B0"/>
    <w:rsid w:val="00DD39F7"/>
    <w:rsid w:val="00DD7594"/>
    <w:rsid w:val="00DE05F0"/>
    <w:rsid w:val="00DE281A"/>
    <w:rsid w:val="00DE3559"/>
    <w:rsid w:val="00DF0A94"/>
    <w:rsid w:val="00DF2AAE"/>
    <w:rsid w:val="00DF3D62"/>
    <w:rsid w:val="00DF4265"/>
    <w:rsid w:val="00DF4C67"/>
    <w:rsid w:val="00DF6487"/>
    <w:rsid w:val="00DF6BBD"/>
    <w:rsid w:val="00E00C16"/>
    <w:rsid w:val="00E01873"/>
    <w:rsid w:val="00E0586F"/>
    <w:rsid w:val="00E06239"/>
    <w:rsid w:val="00E06B56"/>
    <w:rsid w:val="00E07A81"/>
    <w:rsid w:val="00E20E33"/>
    <w:rsid w:val="00E21C7E"/>
    <w:rsid w:val="00E222E7"/>
    <w:rsid w:val="00E2501D"/>
    <w:rsid w:val="00E26632"/>
    <w:rsid w:val="00E30AA6"/>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3"/>
    <w:rsid w:val="00E869C8"/>
    <w:rsid w:val="00E9727F"/>
    <w:rsid w:val="00EA18F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9EB"/>
    <w:rsid w:val="00EF0774"/>
    <w:rsid w:val="00EF10DF"/>
    <w:rsid w:val="00EF200A"/>
    <w:rsid w:val="00F019A1"/>
    <w:rsid w:val="00F0350F"/>
    <w:rsid w:val="00F04D33"/>
    <w:rsid w:val="00F05836"/>
    <w:rsid w:val="00F07A3D"/>
    <w:rsid w:val="00F10027"/>
    <w:rsid w:val="00F1163C"/>
    <w:rsid w:val="00F11E68"/>
    <w:rsid w:val="00F13DAC"/>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245"/>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F2980"/>
    <w:rsid w:val="00FF46FE"/>
    <w:rsid w:val="00FF48DA"/>
    <w:rsid w:val="00FF5447"/>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68392B7"/>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408CC7"/>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Text11">
    <w:name w:val="Text 1.1"/>
    <w:basedOn w:val="Normln"/>
    <w:qFormat/>
    <w:rsid w:val="00FF48DA"/>
    <w:pPr>
      <w:keepNext/>
      <w:overflowPunct/>
      <w:autoSpaceDE/>
      <w:autoSpaceDN/>
      <w:adjustRightInd/>
      <w:spacing w:before="120" w:after="120"/>
      <w:ind w:left="561"/>
      <w:jc w:val="both"/>
      <w:textAlignment w:val="auto"/>
    </w:pPr>
    <w:rPr>
      <w:sz w:val="22"/>
      <w:lang w:eastAsia="en-US"/>
    </w:rPr>
  </w:style>
  <w:style w:type="character" w:styleId="Nevyeenzmnka">
    <w:name w:val="Unresolved Mention"/>
    <w:basedOn w:val="Standardnpsmoodstavce"/>
    <w:uiPriority w:val="99"/>
    <w:semiHidden/>
    <w:unhideWhenUsed/>
    <w:rsid w:val="00801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14C37937-8EA1-48B9-B39B-23E57FB1A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3619</Words>
  <Characters>21319</Characters>
  <Application>Microsoft Office Word</Application>
  <DocSecurity>0</DocSecurity>
  <Lines>761</Lines>
  <Paragraphs>323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24</cp:revision>
  <cp:lastPrinted>2020-06-22T09:23:00Z</cp:lastPrinted>
  <dcterms:created xsi:type="dcterms:W3CDTF">2026-04-13T09:41:00Z</dcterms:created>
  <dcterms:modified xsi:type="dcterms:W3CDTF">2026-04-14T11:11:00Z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ClassificationContentMarkingHeaderShapeIds">
    <vt:lpwstr>20254103,4755c9b0,1c55a61a</vt:lpwstr>
  </property>
  <property fmtid="{D5CDD505-2E9C-101B-9397-08002B2CF9AE}" pid="5" name="ClassificationContentMarkingHeaderFontProps">
    <vt:lpwstr>#00b294,12,Aptos</vt:lpwstr>
  </property>
  <property fmtid="{D5CDD505-2E9C-101B-9397-08002B2CF9AE}" pid="6" name="ClassificationContentMarkingHeaderText">
    <vt:lpwstr>Proprietary</vt:lpwstr>
  </property>
  <property fmtid="{D5CDD505-2E9C-101B-9397-08002B2CF9AE}" pid="7" name="MSIP_Label_927fd646-07cb-4c4e-a107-4e4d6b30ba1b_Enabled">
    <vt:lpwstr>true</vt:lpwstr>
  </property>
  <property fmtid="{D5CDD505-2E9C-101B-9397-08002B2CF9AE}" pid="8" name="MSIP_Label_927fd646-07cb-4c4e-a107-4e4d6b30ba1b_SetDate">
    <vt:lpwstr>2026-03-26T12:16:38Z</vt:lpwstr>
  </property>
  <property fmtid="{D5CDD505-2E9C-101B-9397-08002B2CF9AE}" pid="9" name="MSIP_Label_927fd646-07cb-4c4e-a107-4e4d6b30ba1b_Method">
    <vt:lpwstr>Privileged</vt:lpwstr>
  </property>
  <property fmtid="{D5CDD505-2E9C-101B-9397-08002B2CF9AE}" pid="10" name="MSIP_Label_927fd646-07cb-4c4e-a107-4e4d6b30ba1b_Name">
    <vt:lpwstr>927fd646-07cb-4c4e-a107-4e4d6b30ba1b</vt:lpwstr>
  </property>
  <property fmtid="{D5CDD505-2E9C-101B-9397-08002B2CF9AE}" pid="11" name="MSIP_Label_927fd646-07cb-4c4e-a107-4e4d6b30ba1b_SiteId">
    <vt:lpwstr>a00de4ec-48a8-43a6-be74-e31274e2060d</vt:lpwstr>
  </property>
  <property fmtid="{D5CDD505-2E9C-101B-9397-08002B2CF9AE}" pid="12" name="MSIP_Label_927fd646-07cb-4c4e-a107-4e4d6b30ba1b_ActionId">
    <vt:lpwstr>5082cc82-e4ce-49aa-bd71-a43bdf885a3a</vt:lpwstr>
  </property>
  <property fmtid="{D5CDD505-2E9C-101B-9397-08002B2CF9AE}" pid="13" name="MSIP_Label_927fd646-07cb-4c4e-a107-4e4d6b30ba1b_ContentBits">
    <vt:lpwstr>1</vt:lpwstr>
  </property>
  <property fmtid="{D5CDD505-2E9C-101B-9397-08002B2CF9AE}" pid="14" name="MSIP_Label_927fd646-07cb-4c4e-a107-4e4d6b30ba1b_Tag">
    <vt:lpwstr>10, 0, 1, 1</vt:lpwstr>
  </property>
  <property fmtid="{D5CDD505-2E9C-101B-9397-08002B2CF9AE}" pid="15" name="_NewReviewCycle">
    <vt:lpwstr/>
  </property>
  <property fmtid="{D5CDD505-2E9C-101B-9397-08002B2CF9AE}" pid="16" name="MSIP_Label_f15a8442-68f3-4087-8f05-d564bed44e92_Enabled">
    <vt:lpwstr>true</vt:lpwstr>
  </property>
  <property fmtid="{D5CDD505-2E9C-101B-9397-08002B2CF9AE}" pid="17" name="MSIP_Label_f15a8442-68f3-4087-8f05-d564bed44e92_SetDate">
    <vt:lpwstr>2026-03-31T18:13:22Z</vt:lpwstr>
  </property>
  <property fmtid="{D5CDD505-2E9C-101B-9397-08002B2CF9AE}" pid="18" name="MSIP_Label_f15a8442-68f3-4087-8f05-d564bed44e92_Method">
    <vt:lpwstr>Standard</vt:lpwstr>
  </property>
  <property fmtid="{D5CDD505-2E9C-101B-9397-08002B2CF9AE}" pid="19" name="MSIP_Label_f15a8442-68f3-4087-8f05-d564bed44e92_Name">
    <vt:lpwstr>97171605-0670-4512-b8c8-ebe12520d29a</vt:lpwstr>
  </property>
  <property fmtid="{D5CDD505-2E9C-101B-9397-08002B2CF9AE}" pid="20" name="MSIP_Label_f15a8442-68f3-4087-8f05-d564bed44e92_SiteId">
    <vt:lpwstr>138f17b0-6ad5-4ddf-a195-24e73c3655fd</vt:lpwstr>
  </property>
  <property fmtid="{D5CDD505-2E9C-101B-9397-08002B2CF9AE}" pid="21" name="MSIP_Label_f15a8442-68f3-4087-8f05-d564bed44e92_ActionId">
    <vt:lpwstr>81183001-038c-4029-8ab3-829e7c49f821</vt:lpwstr>
  </property>
  <property fmtid="{D5CDD505-2E9C-101B-9397-08002B2CF9AE}" pid="22" name="MSIP_Label_f15a8442-68f3-4087-8f05-d564bed44e92_ContentBits">
    <vt:lpwstr>0</vt:lpwstr>
  </property>
  <property fmtid="{D5CDD505-2E9C-101B-9397-08002B2CF9AE}" pid="23" name="MSIP_Label_f15a8442-68f3-4087-8f05-d564bed44e92_Tag">
    <vt:lpwstr>10, 3, 0, 1</vt:lpwstr>
  </property>
</Properties>
</file>