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EF00" w14:textId="77777777" w:rsidR="00DA79B0" w:rsidRDefault="00DA79B0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AF10925" w14:textId="6AFC79C6" w:rsidR="00E7566F" w:rsidRPr="00E86816" w:rsidRDefault="00E7566F" w:rsidP="00E7566F">
      <w:pPr>
        <w:pStyle w:val="Zkladntext"/>
        <w:spacing w:line="273" w:lineRule="atLeast"/>
        <w:jc w:val="center"/>
        <w:rPr>
          <w:b/>
          <w:sz w:val="32"/>
          <w:szCs w:val="32"/>
        </w:rPr>
      </w:pPr>
      <w:r w:rsidRPr="00E86816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1</w:t>
      </w:r>
    </w:p>
    <w:p w14:paraId="5BF87C46" w14:textId="1B92AE8B" w:rsidR="00E7566F" w:rsidRPr="00E86816" w:rsidRDefault="00E7566F" w:rsidP="00E7566F">
      <w:pPr>
        <w:pStyle w:val="Zkladntext"/>
        <w:spacing w:line="273" w:lineRule="atLeast"/>
        <w:jc w:val="center"/>
        <w:rPr>
          <w:sz w:val="32"/>
          <w:szCs w:val="32"/>
        </w:rPr>
      </w:pPr>
      <w:r w:rsidRPr="00E86816">
        <w:rPr>
          <w:b/>
          <w:sz w:val="32"/>
          <w:szCs w:val="32"/>
        </w:rPr>
        <w:t>ke smlouvě č.</w:t>
      </w:r>
      <w:r>
        <w:rPr>
          <w:b/>
          <w:sz w:val="32"/>
          <w:szCs w:val="32"/>
        </w:rPr>
        <w:t xml:space="preserve"> 13163421</w:t>
      </w:r>
    </w:p>
    <w:p w14:paraId="66C46D3B" w14:textId="77777777" w:rsidR="00E7566F" w:rsidRDefault="00E7566F" w:rsidP="00E7566F">
      <w:pPr>
        <w:pStyle w:val="Zkladntext"/>
        <w:jc w:val="center"/>
        <w:rPr>
          <w:b/>
          <w:sz w:val="32"/>
          <w:szCs w:val="32"/>
        </w:rPr>
      </w:pPr>
      <w:r w:rsidRPr="00E86816">
        <w:rPr>
          <w:b/>
          <w:sz w:val="32"/>
          <w:szCs w:val="32"/>
        </w:rPr>
        <w:t xml:space="preserve">o poskytnutí </w:t>
      </w:r>
      <w:r>
        <w:rPr>
          <w:b/>
          <w:sz w:val="32"/>
          <w:szCs w:val="32"/>
        </w:rPr>
        <w:t>podpory</w:t>
      </w:r>
    </w:p>
    <w:p w14:paraId="189F6E8A" w14:textId="77777777" w:rsidR="00E7566F" w:rsidRDefault="00E7566F" w:rsidP="00E7566F">
      <w:pPr>
        <w:pStyle w:val="Zklad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ze Státního fondu životního prostředí ČR</w:t>
      </w:r>
    </w:p>
    <w:p w14:paraId="37607282" w14:textId="64FDB946" w:rsidR="00E7566F" w:rsidRPr="00E7566F" w:rsidRDefault="00E7566F" w:rsidP="00E7566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7566F">
        <w:rPr>
          <w:rFonts w:ascii="Segoe UI" w:hAnsi="Segoe UI" w:cs="Segoe UI"/>
          <w:b/>
          <w:color w:val="auto"/>
          <w:sz w:val="20"/>
        </w:rPr>
        <w:t>v rámci Operačního programu životní prostředí</w:t>
      </w:r>
    </w:p>
    <w:p w14:paraId="0A15BEEB" w14:textId="77777777" w:rsidR="00E7566F" w:rsidRDefault="00E7566F" w:rsidP="00E7566F">
      <w:pPr>
        <w:pStyle w:val="Zkladntext"/>
      </w:pPr>
    </w:p>
    <w:p w14:paraId="687E4608" w14:textId="77777777" w:rsidR="000231AE" w:rsidRDefault="000231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82702E" w14:textId="77777777" w:rsidR="000231AE" w:rsidRDefault="000231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A56F24" w14:textId="4F5185AF" w:rsidR="001D45AE" w:rsidRPr="00555D1D" w:rsidRDefault="001D45AE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 xml:space="preserve">Smluvní strany </w:t>
      </w:r>
    </w:p>
    <w:p w14:paraId="292163D4" w14:textId="1CC7AA23" w:rsidR="00344282" w:rsidRDefault="00344282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0B9C96F0" w14:textId="77777777" w:rsidR="000231AE" w:rsidRDefault="000231AE" w:rsidP="00265DE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1049CAAF" w14:textId="77777777" w:rsidR="00B446F7" w:rsidRPr="00555D1D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9F143E2" w14:textId="77777777" w:rsidR="00B446F7" w:rsidRPr="00555D1D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se sídlem</w:t>
      </w:r>
      <w:r w:rsidR="00C242B4" w:rsidRPr="00555D1D">
        <w:rPr>
          <w:rFonts w:ascii="Segoe UI" w:hAnsi="Segoe UI" w:cs="Segoe UI"/>
          <w:color w:val="auto"/>
          <w:sz w:val="20"/>
        </w:rPr>
        <w:t>:</w:t>
      </w:r>
      <w:r w:rsidRPr="00555D1D">
        <w:rPr>
          <w:rFonts w:ascii="Segoe UI" w:hAnsi="Segoe UI" w:cs="Segoe UI"/>
          <w:color w:val="auto"/>
          <w:sz w:val="20"/>
        </w:rPr>
        <w:t xml:space="preserve"> </w:t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>Kaplanova 1931/1, 148 00 Praha 11</w:t>
      </w:r>
    </w:p>
    <w:p w14:paraId="37C62AAA" w14:textId="77777777" w:rsidR="00B446F7" w:rsidRPr="00555D1D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8A5527"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>Olbrachtova 2006/9, 140 00 Praha 4</w:t>
      </w:r>
    </w:p>
    <w:p w14:paraId="485F9572" w14:textId="77777777" w:rsidR="00B446F7" w:rsidRPr="00555D1D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IČ</w:t>
      </w:r>
      <w:r w:rsidR="009052BB" w:rsidRPr="00555D1D">
        <w:rPr>
          <w:rFonts w:ascii="Segoe UI" w:hAnsi="Segoe UI" w:cs="Segoe UI"/>
          <w:color w:val="auto"/>
          <w:sz w:val="20"/>
        </w:rPr>
        <w:t>O</w:t>
      </w:r>
      <w:r w:rsidRPr="00555D1D">
        <w:rPr>
          <w:rFonts w:ascii="Segoe UI" w:hAnsi="Segoe UI" w:cs="Segoe UI"/>
          <w:color w:val="auto"/>
          <w:sz w:val="20"/>
        </w:rPr>
        <w:t xml:space="preserve">: </w:t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>00020729</w:t>
      </w:r>
    </w:p>
    <w:p w14:paraId="15F52084" w14:textId="77777777" w:rsidR="00F56057" w:rsidRPr="00555D1D" w:rsidRDefault="00997B8F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z</w:t>
      </w:r>
      <w:r w:rsidR="00F56057" w:rsidRPr="00555D1D">
        <w:rPr>
          <w:rFonts w:ascii="Segoe UI" w:hAnsi="Segoe UI" w:cs="Segoe UI"/>
          <w:color w:val="auto"/>
          <w:sz w:val="20"/>
        </w:rPr>
        <w:t>astoupený</w:t>
      </w:r>
      <w:r w:rsidR="007507E5" w:rsidRPr="00555D1D">
        <w:rPr>
          <w:rFonts w:ascii="Segoe UI" w:hAnsi="Segoe UI" w:cs="Segoe UI"/>
          <w:color w:val="auto"/>
          <w:sz w:val="20"/>
        </w:rPr>
        <w:t>:</w:t>
      </w:r>
      <w:r w:rsidR="00F56057" w:rsidRPr="00555D1D">
        <w:rPr>
          <w:rFonts w:ascii="Segoe UI" w:hAnsi="Segoe UI" w:cs="Segoe UI"/>
          <w:color w:val="auto"/>
          <w:sz w:val="20"/>
        </w:rPr>
        <w:t xml:space="preserve"> </w:t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D7A2F" w:rsidRPr="00555D1D">
        <w:rPr>
          <w:rFonts w:ascii="Segoe UI" w:hAnsi="Segoe UI" w:cs="Segoe UI"/>
          <w:color w:val="auto"/>
          <w:sz w:val="20"/>
        </w:rPr>
        <w:tab/>
      </w:r>
      <w:r w:rsidR="00F56057" w:rsidRPr="00555D1D">
        <w:rPr>
          <w:rFonts w:ascii="Segoe UI" w:hAnsi="Segoe UI" w:cs="Segoe UI"/>
          <w:color w:val="auto"/>
          <w:sz w:val="20"/>
        </w:rPr>
        <w:t xml:space="preserve">Ing. </w:t>
      </w:r>
      <w:r w:rsidR="005552DB" w:rsidRPr="00555D1D">
        <w:rPr>
          <w:rFonts w:ascii="Segoe UI" w:hAnsi="Segoe UI" w:cs="Segoe UI"/>
          <w:color w:val="auto"/>
          <w:sz w:val="20"/>
        </w:rPr>
        <w:t>Petrem V a l d m a n e m</w:t>
      </w:r>
      <w:r w:rsidR="00F56057" w:rsidRPr="00555D1D">
        <w:rPr>
          <w:rFonts w:ascii="Segoe UI" w:hAnsi="Segoe UI" w:cs="Segoe UI"/>
          <w:color w:val="auto"/>
          <w:sz w:val="20"/>
        </w:rPr>
        <w:t xml:space="preserve">, </w:t>
      </w:r>
      <w:r w:rsidR="00DC5685" w:rsidRPr="00555D1D">
        <w:rPr>
          <w:rFonts w:ascii="Segoe UI" w:hAnsi="Segoe UI" w:cs="Segoe UI"/>
          <w:color w:val="auto"/>
          <w:sz w:val="20"/>
        </w:rPr>
        <w:t>ře</w:t>
      </w:r>
      <w:r w:rsidR="00A5545B" w:rsidRPr="00555D1D">
        <w:rPr>
          <w:rFonts w:ascii="Segoe UI" w:hAnsi="Segoe UI" w:cs="Segoe UI"/>
          <w:color w:val="auto"/>
          <w:sz w:val="20"/>
        </w:rPr>
        <w:t>ditelem</w:t>
      </w:r>
      <w:r w:rsidR="00F56057" w:rsidRPr="00555D1D">
        <w:rPr>
          <w:rFonts w:ascii="Segoe UI" w:hAnsi="Segoe UI" w:cs="Segoe UI"/>
          <w:color w:val="auto"/>
          <w:sz w:val="20"/>
        </w:rPr>
        <w:t xml:space="preserve"> SFŽP ČR </w:t>
      </w:r>
    </w:p>
    <w:p w14:paraId="77ED2338" w14:textId="77777777" w:rsidR="00177043" w:rsidRPr="00555D1D" w:rsidRDefault="00177043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55D1D">
        <w:rPr>
          <w:rFonts w:ascii="Segoe UI" w:hAnsi="Segoe UI" w:cs="Segoe UI"/>
          <w:color w:val="auto"/>
          <w:sz w:val="20"/>
        </w:rPr>
        <w:t>„</w:t>
      </w:r>
      <w:r w:rsidRPr="00555D1D">
        <w:rPr>
          <w:rFonts w:ascii="Segoe UI" w:hAnsi="Segoe UI" w:cs="Segoe UI"/>
          <w:color w:val="auto"/>
          <w:sz w:val="20"/>
        </w:rPr>
        <w:t>Fond</w:t>
      </w:r>
      <w:r w:rsidR="00AF5EE9" w:rsidRPr="00555D1D">
        <w:rPr>
          <w:rFonts w:ascii="Segoe UI" w:hAnsi="Segoe UI" w:cs="Segoe UI"/>
          <w:color w:val="auto"/>
          <w:sz w:val="20"/>
        </w:rPr>
        <w:t>“</w:t>
      </w:r>
      <w:r w:rsidRPr="00555D1D">
        <w:rPr>
          <w:rFonts w:ascii="Segoe UI" w:hAnsi="Segoe UI" w:cs="Segoe UI"/>
          <w:color w:val="auto"/>
          <w:sz w:val="20"/>
        </w:rPr>
        <w:t>)</w:t>
      </w:r>
    </w:p>
    <w:p w14:paraId="5F6D0F2E" w14:textId="77777777" w:rsidR="00B446F7" w:rsidRPr="00555D1D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75EC5104" w14:textId="77777777" w:rsidR="00B446F7" w:rsidRPr="00555D1D" w:rsidRDefault="00B446F7" w:rsidP="00265DE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a</w:t>
      </w:r>
    </w:p>
    <w:p w14:paraId="345BB8C4" w14:textId="77777777" w:rsidR="00200DD4" w:rsidRPr="000231AE" w:rsidRDefault="00200DD4" w:rsidP="00200DD4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14:paraId="194AA24C" w14:textId="6EB9181A" w:rsidR="00993A1E" w:rsidRPr="00993A1E" w:rsidRDefault="00993A1E" w:rsidP="00993A1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93A1E">
        <w:rPr>
          <w:rFonts w:ascii="Segoe UI" w:hAnsi="Segoe UI" w:cs="Segoe UI"/>
          <w:b/>
          <w:color w:val="auto"/>
          <w:sz w:val="20"/>
        </w:rPr>
        <w:t xml:space="preserve">obec </w:t>
      </w:r>
      <w:r w:rsidR="00E7566F">
        <w:rPr>
          <w:rFonts w:ascii="Segoe UI" w:hAnsi="Segoe UI" w:cs="Segoe UI"/>
          <w:b/>
          <w:color w:val="auto"/>
          <w:sz w:val="20"/>
        </w:rPr>
        <w:t>Klínec</w:t>
      </w:r>
    </w:p>
    <w:p w14:paraId="5F410624" w14:textId="490337C8" w:rsidR="00993A1E" w:rsidRPr="00993A1E" w:rsidRDefault="00E7566F" w:rsidP="00993A1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se </w:t>
      </w:r>
      <w:proofErr w:type="gramStart"/>
      <w:r>
        <w:rPr>
          <w:rFonts w:ascii="Segoe UI" w:hAnsi="Segoe UI" w:cs="Segoe UI"/>
          <w:color w:val="auto"/>
          <w:sz w:val="20"/>
        </w:rPr>
        <w:t>sídlem</w:t>
      </w:r>
      <w:r w:rsidR="00227EEA">
        <w:rPr>
          <w:rFonts w:ascii="Segoe UI" w:hAnsi="Segoe UI" w:cs="Segoe UI"/>
          <w:color w:val="auto"/>
          <w:sz w:val="20"/>
        </w:rPr>
        <w:t xml:space="preserve">:   </w:t>
      </w:r>
      <w:proofErr w:type="gramEnd"/>
      <w:r w:rsidR="00227EEA">
        <w:rPr>
          <w:rFonts w:ascii="Segoe UI" w:hAnsi="Segoe UI" w:cs="Segoe UI"/>
          <w:color w:val="auto"/>
          <w:sz w:val="20"/>
        </w:rPr>
        <w:t xml:space="preserve">                                  Klínec 138, 252 10 </w:t>
      </w:r>
      <w:r w:rsidR="00227EEA" w:rsidRPr="00227EEA">
        <w:rPr>
          <w:rFonts w:ascii="Segoe UI" w:hAnsi="Segoe UI" w:cs="Segoe UI"/>
          <w:color w:val="auto"/>
          <w:sz w:val="20"/>
        </w:rPr>
        <w:t>Mníšek pod Brdy</w:t>
      </w:r>
      <w:r w:rsidR="00993A1E" w:rsidRPr="00993A1E"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 xml:space="preserve">    </w:t>
      </w:r>
    </w:p>
    <w:p w14:paraId="5C957D53" w14:textId="551E0DD4" w:rsidR="00993A1E" w:rsidRPr="00993A1E" w:rsidRDefault="00993A1E" w:rsidP="00993A1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93A1E">
        <w:rPr>
          <w:rFonts w:ascii="Segoe UI" w:hAnsi="Segoe UI" w:cs="Segoe UI"/>
          <w:color w:val="auto"/>
          <w:sz w:val="20"/>
        </w:rPr>
        <w:t>IČO:</w:t>
      </w:r>
      <w:r w:rsidRPr="00993A1E">
        <w:rPr>
          <w:rFonts w:ascii="Segoe UI" w:hAnsi="Segoe UI" w:cs="Segoe UI"/>
          <w:color w:val="auto"/>
          <w:sz w:val="20"/>
        </w:rPr>
        <w:tab/>
      </w:r>
      <w:r w:rsidRPr="00993A1E">
        <w:rPr>
          <w:rFonts w:ascii="Segoe UI" w:hAnsi="Segoe UI" w:cs="Segoe UI"/>
          <w:color w:val="auto"/>
          <w:sz w:val="20"/>
        </w:rPr>
        <w:tab/>
      </w:r>
      <w:r w:rsidRPr="00993A1E">
        <w:rPr>
          <w:rFonts w:ascii="Segoe UI" w:hAnsi="Segoe UI" w:cs="Segoe UI"/>
          <w:color w:val="auto"/>
          <w:sz w:val="20"/>
        </w:rPr>
        <w:tab/>
      </w:r>
      <w:r w:rsidRPr="00993A1E">
        <w:rPr>
          <w:rFonts w:ascii="Segoe UI" w:hAnsi="Segoe UI" w:cs="Segoe UI"/>
          <w:color w:val="auto"/>
          <w:sz w:val="20"/>
        </w:rPr>
        <w:tab/>
      </w:r>
      <w:r w:rsidR="00E7566F">
        <w:rPr>
          <w:rFonts w:ascii="Segoe UI" w:hAnsi="Segoe UI" w:cs="Segoe UI"/>
          <w:color w:val="auto"/>
          <w:sz w:val="20"/>
        </w:rPr>
        <w:t>00640719</w:t>
      </w:r>
    </w:p>
    <w:p w14:paraId="6DF5C8B8" w14:textId="714A01BA" w:rsidR="00993A1E" w:rsidRPr="00993A1E" w:rsidRDefault="00993A1E" w:rsidP="00993A1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93A1E">
        <w:rPr>
          <w:rFonts w:ascii="Segoe UI" w:hAnsi="Segoe UI" w:cs="Segoe UI"/>
          <w:color w:val="auto"/>
          <w:sz w:val="20"/>
        </w:rPr>
        <w:t>zastoupená:</w:t>
      </w:r>
      <w:r w:rsidRPr="00993A1E">
        <w:rPr>
          <w:rFonts w:ascii="Segoe UI" w:hAnsi="Segoe UI" w:cs="Segoe UI"/>
          <w:color w:val="auto"/>
          <w:sz w:val="20"/>
        </w:rPr>
        <w:tab/>
      </w:r>
      <w:r w:rsidRPr="00993A1E">
        <w:rPr>
          <w:rFonts w:ascii="Segoe UI" w:hAnsi="Segoe UI" w:cs="Segoe UI"/>
          <w:color w:val="auto"/>
          <w:sz w:val="20"/>
        </w:rPr>
        <w:tab/>
        <w:t xml:space="preserve">             </w:t>
      </w:r>
      <w:r w:rsidR="00227EEA">
        <w:rPr>
          <w:rFonts w:ascii="Segoe UI" w:hAnsi="Segoe UI" w:cs="Segoe UI"/>
          <w:color w:val="auto"/>
          <w:sz w:val="20"/>
        </w:rPr>
        <w:t xml:space="preserve">Bc. </w:t>
      </w:r>
      <w:r w:rsidR="00227EEA" w:rsidRPr="00227EEA">
        <w:rPr>
          <w:rFonts w:ascii="Segoe UI" w:hAnsi="Segoe UI" w:cs="Segoe UI"/>
          <w:color w:val="auto"/>
          <w:sz w:val="20"/>
        </w:rPr>
        <w:t>Markét</w:t>
      </w:r>
      <w:r w:rsidR="00227EEA">
        <w:rPr>
          <w:rFonts w:ascii="Segoe UI" w:hAnsi="Segoe UI" w:cs="Segoe UI"/>
          <w:color w:val="auto"/>
          <w:sz w:val="20"/>
        </w:rPr>
        <w:t xml:space="preserve">ou </w:t>
      </w:r>
      <w:r w:rsidR="00227EEA" w:rsidRPr="00227EEA">
        <w:rPr>
          <w:rFonts w:ascii="Segoe UI" w:hAnsi="Segoe UI" w:cs="Segoe UI"/>
          <w:color w:val="auto"/>
          <w:sz w:val="20"/>
        </w:rPr>
        <w:t>M</w:t>
      </w:r>
      <w:r w:rsidR="00227EEA">
        <w:rPr>
          <w:rFonts w:ascii="Segoe UI" w:hAnsi="Segoe UI" w:cs="Segoe UI"/>
          <w:color w:val="auto"/>
          <w:sz w:val="20"/>
        </w:rPr>
        <w:t xml:space="preserve"> </w:t>
      </w:r>
      <w:r w:rsidR="00227EEA" w:rsidRPr="00227EEA">
        <w:rPr>
          <w:rFonts w:ascii="Segoe UI" w:hAnsi="Segoe UI" w:cs="Segoe UI"/>
          <w:color w:val="auto"/>
          <w:sz w:val="20"/>
        </w:rPr>
        <w:t>o</w:t>
      </w:r>
      <w:r w:rsidR="00227EEA">
        <w:rPr>
          <w:rFonts w:ascii="Segoe UI" w:hAnsi="Segoe UI" w:cs="Segoe UI"/>
          <w:color w:val="auto"/>
          <w:sz w:val="20"/>
        </w:rPr>
        <w:t xml:space="preserve"> </w:t>
      </w:r>
      <w:r w:rsidR="00227EEA" w:rsidRPr="00227EEA">
        <w:rPr>
          <w:rFonts w:ascii="Segoe UI" w:hAnsi="Segoe UI" w:cs="Segoe UI"/>
          <w:color w:val="auto"/>
          <w:sz w:val="20"/>
        </w:rPr>
        <w:t>r</w:t>
      </w:r>
      <w:r w:rsidR="00227EEA">
        <w:rPr>
          <w:rFonts w:ascii="Segoe UI" w:hAnsi="Segoe UI" w:cs="Segoe UI"/>
          <w:color w:val="auto"/>
          <w:sz w:val="20"/>
        </w:rPr>
        <w:t xml:space="preserve"> </w:t>
      </w:r>
      <w:r w:rsidR="00227EEA" w:rsidRPr="00227EEA">
        <w:rPr>
          <w:rFonts w:ascii="Segoe UI" w:hAnsi="Segoe UI" w:cs="Segoe UI"/>
          <w:color w:val="auto"/>
          <w:sz w:val="20"/>
        </w:rPr>
        <w:t>á</w:t>
      </w:r>
      <w:r w:rsidR="00227EEA">
        <w:rPr>
          <w:rFonts w:ascii="Segoe UI" w:hAnsi="Segoe UI" w:cs="Segoe UI"/>
          <w:color w:val="auto"/>
          <w:sz w:val="20"/>
        </w:rPr>
        <w:t xml:space="preserve"> </w:t>
      </w:r>
      <w:r w:rsidR="00227EEA" w:rsidRPr="00227EEA">
        <w:rPr>
          <w:rFonts w:ascii="Segoe UI" w:hAnsi="Segoe UI" w:cs="Segoe UI"/>
          <w:color w:val="auto"/>
          <w:sz w:val="20"/>
        </w:rPr>
        <w:t>v</w:t>
      </w:r>
      <w:r w:rsidR="00227EEA">
        <w:rPr>
          <w:rFonts w:ascii="Segoe UI" w:hAnsi="Segoe UI" w:cs="Segoe UI"/>
          <w:color w:val="auto"/>
          <w:sz w:val="20"/>
        </w:rPr>
        <w:t> </w:t>
      </w:r>
      <w:r w:rsidR="00227EEA" w:rsidRPr="00227EEA">
        <w:rPr>
          <w:rFonts w:ascii="Segoe UI" w:hAnsi="Segoe UI" w:cs="Segoe UI"/>
          <w:color w:val="auto"/>
          <w:sz w:val="20"/>
        </w:rPr>
        <w:t>k</w:t>
      </w:r>
      <w:r w:rsidR="00227EEA">
        <w:rPr>
          <w:rFonts w:ascii="Segoe UI" w:hAnsi="Segoe UI" w:cs="Segoe UI"/>
          <w:color w:val="auto"/>
          <w:sz w:val="20"/>
        </w:rPr>
        <w:t> </w:t>
      </w:r>
      <w:r w:rsidR="00227EEA" w:rsidRPr="00227EEA">
        <w:rPr>
          <w:rFonts w:ascii="Segoe UI" w:hAnsi="Segoe UI" w:cs="Segoe UI"/>
          <w:color w:val="auto"/>
          <w:sz w:val="20"/>
        </w:rPr>
        <w:t>o</w:t>
      </w:r>
      <w:r w:rsidR="00227EEA">
        <w:rPr>
          <w:rFonts w:ascii="Segoe UI" w:hAnsi="Segoe UI" w:cs="Segoe UI"/>
          <w:color w:val="auto"/>
          <w:sz w:val="20"/>
        </w:rPr>
        <w:t xml:space="preserve"> </w:t>
      </w:r>
      <w:r w:rsidR="00227EEA" w:rsidRPr="00227EEA">
        <w:rPr>
          <w:rFonts w:ascii="Segoe UI" w:hAnsi="Segoe UI" w:cs="Segoe UI"/>
          <w:color w:val="auto"/>
          <w:sz w:val="20"/>
        </w:rPr>
        <w:t>v</w:t>
      </w:r>
      <w:r w:rsidR="00227EEA">
        <w:rPr>
          <w:rFonts w:ascii="Segoe UI" w:hAnsi="Segoe UI" w:cs="Segoe UI"/>
          <w:color w:val="auto"/>
          <w:sz w:val="20"/>
        </w:rPr>
        <w:t> o u, starostkou</w:t>
      </w:r>
    </w:p>
    <w:p w14:paraId="12F536A7" w14:textId="72DE430C" w:rsidR="005D3D4F" w:rsidRPr="009D0A65" w:rsidRDefault="005D3D4F" w:rsidP="00993A1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D0A65">
        <w:rPr>
          <w:rFonts w:ascii="Segoe UI" w:hAnsi="Segoe UI" w:cs="Segoe UI"/>
          <w:color w:val="auto"/>
          <w:sz w:val="20"/>
        </w:rPr>
        <w:t>(dále jen „příjemce podpory")</w:t>
      </w:r>
    </w:p>
    <w:p w14:paraId="720A6A3E" w14:textId="77777777" w:rsidR="00634FC7" w:rsidRDefault="00634FC7" w:rsidP="00634FC7">
      <w:pPr>
        <w:pStyle w:val="vodnnadpissmlouvy"/>
        <w:jc w:val="left"/>
        <w:rPr>
          <w:color w:val="auto"/>
          <w:sz w:val="20"/>
        </w:rPr>
      </w:pPr>
    </w:p>
    <w:p w14:paraId="0DBEBA96" w14:textId="77777777" w:rsidR="00634FC7" w:rsidRDefault="00634FC7" w:rsidP="00634FC7">
      <w:pPr>
        <w:pStyle w:val="vodnnadpissmlouvy"/>
        <w:jc w:val="left"/>
        <w:rPr>
          <w:color w:val="auto"/>
          <w:sz w:val="20"/>
        </w:rPr>
      </w:pPr>
    </w:p>
    <w:p w14:paraId="2E087814" w14:textId="371A430D" w:rsidR="00C4209E" w:rsidRPr="00E7566F" w:rsidRDefault="00E7566F" w:rsidP="00E7566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E7566F">
        <w:rPr>
          <w:rFonts w:ascii="Segoe UI" w:hAnsi="Segoe UI" w:cs="Segoe UI"/>
          <w:color w:val="auto"/>
          <w:sz w:val="20"/>
        </w:rPr>
        <w:t>se dohodly</w:t>
      </w:r>
      <w:r w:rsidR="00BD7117">
        <w:rPr>
          <w:rFonts w:ascii="Segoe UI" w:hAnsi="Segoe UI" w:cs="Segoe UI"/>
          <w:color w:val="auto"/>
          <w:sz w:val="20"/>
        </w:rPr>
        <w:t>,</w:t>
      </w:r>
      <w:r w:rsidRPr="00E7566F">
        <w:rPr>
          <w:rFonts w:ascii="Segoe UI" w:hAnsi="Segoe UI" w:cs="Segoe UI"/>
          <w:color w:val="auto"/>
          <w:sz w:val="20"/>
        </w:rPr>
        <w:t xml:space="preserve"> na základě změny č. 1 Rozhodnutí MŽP o poskytnutí dotace ze dne </w:t>
      </w:r>
      <w:r>
        <w:rPr>
          <w:rFonts w:ascii="Segoe UI" w:hAnsi="Segoe UI" w:cs="Segoe UI"/>
          <w:color w:val="auto"/>
          <w:sz w:val="20"/>
        </w:rPr>
        <w:t>2. 2. 2026</w:t>
      </w:r>
      <w:r w:rsidR="00BD7117">
        <w:rPr>
          <w:rFonts w:ascii="Segoe UI" w:hAnsi="Segoe UI" w:cs="Segoe UI"/>
          <w:color w:val="auto"/>
          <w:sz w:val="20"/>
        </w:rPr>
        <w:t>,</w:t>
      </w:r>
      <w:r w:rsidRPr="00E7566F">
        <w:rPr>
          <w:rFonts w:ascii="Segoe UI" w:hAnsi="Segoe UI" w:cs="Segoe UI"/>
          <w:color w:val="auto"/>
          <w:sz w:val="20"/>
        </w:rPr>
        <w:t xml:space="preserve"> na této změně </w:t>
      </w:r>
      <w:r>
        <w:rPr>
          <w:rFonts w:ascii="Segoe UI" w:hAnsi="Segoe UI" w:cs="Segoe UI"/>
          <w:color w:val="auto"/>
          <w:sz w:val="20"/>
        </w:rPr>
        <w:br/>
      </w:r>
      <w:r w:rsidRPr="00E7566F">
        <w:rPr>
          <w:rFonts w:ascii="Segoe UI" w:hAnsi="Segoe UI" w:cs="Segoe UI"/>
          <w:color w:val="auto"/>
          <w:sz w:val="20"/>
        </w:rPr>
        <w:t xml:space="preserve">a doplnění smlouvy č. </w:t>
      </w:r>
      <w:r>
        <w:rPr>
          <w:rFonts w:ascii="Segoe UI" w:hAnsi="Segoe UI" w:cs="Segoe UI"/>
          <w:color w:val="auto"/>
          <w:sz w:val="20"/>
        </w:rPr>
        <w:t>13163421</w:t>
      </w:r>
      <w:r w:rsidRPr="00E7566F">
        <w:rPr>
          <w:rFonts w:ascii="Segoe UI" w:hAnsi="Segoe UI" w:cs="Segoe UI"/>
          <w:color w:val="auto"/>
          <w:sz w:val="20"/>
        </w:rPr>
        <w:t xml:space="preserve"> o poskytnutí podpory ze Státního fondu životního prostředí ČR v rámci Operačního programu Životní prostředí ze dne </w:t>
      </w:r>
      <w:r>
        <w:rPr>
          <w:rFonts w:ascii="Segoe UI" w:hAnsi="Segoe UI" w:cs="Segoe UI"/>
          <w:color w:val="auto"/>
          <w:sz w:val="20"/>
        </w:rPr>
        <w:t xml:space="preserve">17. 3. 2015 </w:t>
      </w:r>
      <w:r w:rsidR="004119B5" w:rsidRPr="00E7566F">
        <w:rPr>
          <w:rFonts w:ascii="Segoe UI" w:hAnsi="Segoe UI" w:cs="Segoe UI"/>
          <w:color w:val="auto"/>
          <w:sz w:val="20"/>
        </w:rPr>
        <w:t>(dále jen „Smlouva“)</w:t>
      </w:r>
      <w:r w:rsidR="00C4209E" w:rsidRPr="00E7566F">
        <w:rPr>
          <w:rFonts w:ascii="Segoe UI" w:hAnsi="Segoe UI" w:cs="Segoe UI"/>
          <w:color w:val="auto"/>
          <w:sz w:val="20"/>
        </w:rPr>
        <w:t>:</w:t>
      </w:r>
    </w:p>
    <w:p w14:paraId="15F35F0D" w14:textId="768D8CC3" w:rsidR="00BB09B7" w:rsidRDefault="00BB09B7" w:rsidP="00C4209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9D6D879" w14:textId="77777777" w:rsidR="000803E4" w:rsidRPr="005D3D4F" w:rsidRDefault="000803E4" w:rsidP="000803E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D3D4F">
        <w:rPr>
          <w:rFonts w:ascii="Segoe UI" w:hAnsi="Segoe UI" w:cs="Segoe UI"/>
          <w:color w:val="auto"/>
          <w:sz w:val="20"/>
        </w:rPr>
        <w:t>1.</w:t>
      </w:r>
    </w:p>
    <w:p w14:paraId="3F66B326" w14:textId="4DA423F9" w:rsidR="00777990" w:rsidRPr="00BD7117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>Závaz</w:t>
      </w:r>
      <w:r w:rsidR="00BD7117">
        <w:rPr>
          <w:rFonts w:ascii="Segoe UI" w:hAnsi="Segoe UI" w:cs="Segoe UI"/>
          <w:snapToGrid w:val="0"/>
        </w:rPr>
        <w:t>ky</w:t>
      </w:r>
      <w:r w:rsidRPr="00777990">
        <w:rPr>
          <w:rFonts w:ascii="Segoe UI" w:hAnsi="Segoe UI" w:cs="Segoe UI"/>
          <w:snapToGrid w:val="0"/>
        </w:rPr>
        <w:t xml:space="preserve"> příjemce podpory, uveden</w:t>
      </w:r>
      <w:r w:rsidR="00BD7117">
        <w:rPr>
          <w:rFonts w:ascii="Segoe UI" w:hAnsi="Segoe UI" w:cs="Segoe UI"/>
          <w:snapToGrid w:val="0"/>
        </w:rPr>
        <w:t>é</w:t>
      </w:r>
      <w:r w:rsidRPr="00777990">
        <w:rPr>
          <w:rFonts w:ascii="Segoe UI" w:hAnsi="Segoe UI" w:cs="Segoe UI"/>
          <w:snapToGrid w:val="0"/>
        </w:rPr>
        <w:t xml:space="preserve"> v bodu 5. písm. e),</w:t>
      </w:r>
      <w:r>
        <w:rPr>
          <w:rFonts w:ascii="Segoe UI" w:hAnsi="Segoe UI" w:cs="Segoe UI"/>
          <w:snapToGrid w:val="0"/>
        </w:rPr>
        <w:t xml:space="preserve"> </w:t>
      </w:r>
      <w:r w:rsidRPr="00BD7117">
        <w:rPr>
          <w:rFonts w:ascii="Segoe UI" w:hAnsi="Segoe UI" w:cs="Segoe UI"/>
          <w:snapToGrid w:val="0"/>
        </w:rPr>
        <w:t>týkající se provozování vodohospodářské infrastruktury, se mění takto:</w:t>
      </w:r>
    </w:p>
    <w:p w14:paraId="0240AABE" w14:textId="48C89AC7" w:rsidR="005D3D4F" w:rsidRDefault="005D3D4F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BE70416" w14:textId="1C875C0F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Vodohospodářská infrastruktura bude nejméně po dobu deseti let od ukončení realizace akce provozována v rámci oddílného modelu, tzn., že ji bude provozovat subjekt, který je odlišný od příjemce podpory a který příjemce podpory neovládá ze 100 %. V průběhu uvedené doby nesmí být uplatněn bez předchozího souhlasu fondu jiný model provozování, a to ani přímo, ani skrytě (k modelům provozování infrastruktury viz „Metodika pro žadatele rozvádějící podmínky provozování vodohospodářské infrastruktury dle OPŽP“ zveřejněná na internetové stránce </w:t>
      </w:r>
      <w:hyperlink r:id="rId8" w:history="1">
        <w:r w:rsidRPr="00777990">
          <w:rPr>
            <w:rFonts w:ascii="Segoe UI" w:hAnsi="Segoe UI" w:cs="Segoe UI"/>
            <w:snapToGrid w:val="0"/>
          </w:rPr>
          <w:t>http://www.opzp.cz</w:t>
        </w:r>
      </w:hyperlink>
      <w:r w:rsidRPr="00777990">
        <w:rPr>
          <w:rFonts w:ascii="Segoe UI" w:hAnsi="Segoe UI" w:cs="Segoe UI"/>
          <w:snapToGrid w:val="0"/>
        </w:rPr>
        <w:t>, dále jen „Metodika“). Pro účely stanovení podmínek týkajících se provozování vodohospodářské infrastruktury</w:t>
      </w:r>
      <w:r w:rsidRPr="00777990" w:rsidDel="008B14F8">
        <w:rPr>
          <w:rFonts w:ascii="Segoe UI" w:hAnsi="Segoe UI" w:cs="Segoe UI"/>
          <w:snapToGrid w:val="0"/>
        </w:rPr>
        <w:t xml:space="preserve"> </w:t>
      </w:r>
      <w:r w:rsidRPr="00777990">
        <w:rPr>
          <w:rFonts w:ascii="Segoe UI" w:hAnsi="Segoe UI" w:cs="Segoe UI"/>
          <w:snapToGrid w:val="0"/>
        </w:rPr>
        <w:t xml:space="preserve">se vodohospodářskou infrastrukturou rozumí veškerá infrastruktura, která je předmětem smlouvy o provozování, na </w:t>
      </w:r>
      <w:proofErr w:type="gramStart"/>
      <w:r w:rsidRPr="00777990">
        <w:rPr>
          <w:rFonts w:ascii="Segoe UI" w:hAnsi="Segoe UI" w:cs="Segoe UI"/>
          <w:snapToGrid w:val="0"/>
        </w:rPr>
        <w:t>základě</w:t>
      </w:r>
      <w:proofErr w:type="gramEnd"/>
      <w:r w:rsidRPr="00777990">
        <w:rPr>
          <w:rFonts w:ascii="Segoe UI" w:hAnsi="Segoe UI" w:cs="Segoe UI"/>
          <w:snapToGrid w:val="0"/>
        </w:rPr>
        <w:t xml:space="preserve"> které bude provozována infrastruktura spolufinancovaná touto podporou.</w:t>
      </w:r>
    </w:p>
    <w:p w14:paraId="38946741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304A0959" w14:textId="41CE561C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V případě ukončení platnosti stávající provozní smlouvy příjemce podpory předloží Fondu k posouzení podklady k výběrovému řízení v souladu s aplikovatelnými účinnými právními předpisy a jeho dokumentace </w:t>
      </w:r>
      <w:r w:rsidRPr="00777990">
        <w:rPr>
          <w:rFonts w:ascii="Segoe UI" w:hAnsi="Segoe UI" w:cs="Segoe UI"/>
          <w:snapToGrid w:val="0"/>
        </w:rPr>
        <w:lastRenderedPageBreak/>
        <w:t xml:space="preserve">včetně návrhu smlouvy o provozování odpovídající požadavkům Metodiky účinné ke dni předložení návrhu provozní smlouvy, a to v dostatečném předstihu před zahájením výběrového řízení na provozovatele vodohospodářské infrastruktury za účelem umožnění jejich kontroly. Příjemce podpory následně v řádném výběrovém řízení provedeném v souladu s aplikovatelnými účinnými právními předpisy vybere nového provozovatele a uzavře novou smlouvu o provozování a bez zbytečného odkladu předloží platně uzavřenou smlouvu o provozování a dokumentaci výběrového řízení fondu. </w:t>
      </w:r>
    </w:p>
    <w:p w14:paraId="235561EB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1D9A2BE5" w14:textId="77777777" w:rsidR="00777990" w:rsidRPr="00777990" w:rsidRDefault="00777990" w:rsidP="00777990">
      <w:pPr>
        <w:spacing w:after="120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V případě zakázky zadávané přidružené osobě musí být naplněny požadavky dle účinných právních předpisů a Metodiky. </w:t>
      </w:r>
    </w:p>
    <w:p w14:paraId="3E92BA85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1E0A615A" w14:textId="2D04E87E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Příjemce podpory zajistí, že bude po dobu nejméně 10 let od prvního dne následujícího kalendářního/hospodářského roku po získání posledního kolaudačního souhlasu na investici realizovanou </w:t>
      </w:r>
      <w:r w:rsidR="00BD7117">
        <w:rPr>
          <w:rFonts w:ascii="Segoe UI" w:hAnsi="Segoe UI" w:cs="Segoe UI"/>
          <w:snapToGrid w:val="0"/>
        </w:rPr>
        <w:br/>
      </w:r>
      <w:r w:rsidRPr="00777990">
        <w:rPr>
          <w:rFonts w:ascii="Segoe UI" w:hAnsi="Segoe UI" w:cs="Segoe UI"/>
          <w:snapToGrid w:val="0"/>
        </w:rPr>
        <w:t>v rámci OPŽP</w:t>
      </w:r>
      <w:r w:rsidRPr="00777990" w:rsidDel="00CD34D9">
        <w:rPr>
          <w:rFonts w:ascii="Segoe UI" w:hAnsi="Segoe UI" w:cs="Segoe UI"/>
          <w:snapToGrid w:val="0"/>
        </w:rPr>
        <w:t xml:space="preserve"> </w:t>
      </w:r>
      <w:r w:rsidRPr="00777990">
        <w:rPr>
          <w:rFonts w:ascii="Segoe UI" w:hAnsi="Segoe UI" w:cs="Segoe UI"/>
          <w:snapToGrid w:val="0"/>
        </w:rPr>
        <w:t xml:space="preserve">zabezpečena finanční udržitelnost projektu s tím, že tvorba nájemného musí být zajištěna v níže uvedené výši již od prvního dne následujícího kalendářního/hospodářského roku po vydání tohoto rozhodnutí: </w:t>
      </w:r>
    </w:p>
    <w:p w14:paraId="0F4575CB" w14:textId="77777777" w:rsidR="00777990" w:rsidRPr="00777990" w:rsidRDefault="00777990" w:rsidP="00777990">
      <w:pPr>
        <w:numPr>
          <w:ilvl w:val="0"/>
          <w:numId w:val="61"/>
        </w:numPr>
        <w:tabs>
          <w:tab w:val="left" w:pos="1134"/>
        </w:tabs>
        <w:spacing w:line="276" w:lineRule="auto"/>
        <w:ind w:left="1134" w:hanging="850"/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Pokud příjemce neuplatňuje vyrovnávací platbu (dle definice ve standardním textu tzv. „Platebního mechanismu“ zveřejněného na </w:t>
      </w:r>
      <w:hyperlink r:id="rId9" w:history="1">
        <w:r w:rsidRPr="00777990">
          <w:rPr>
            <w:rFonts w:ascii="Segoe UI" w:hAnsi="Segoe UI" w:cs="Segoe UI"/>
            <w:snapToGrid w:val="0"/>
          </w:rPr>
          <w:t>www.opzp.cz</w:t>
        </w:r>
      </w:hyperlink>
      <w:r w:rsidRPr="00777990">
        <w:rPr>
          <w:rFonts w:ascii="Segoe UI" w:hAnsi="Segoe UI" w:cs="Segoe UI"/>
          <w:snapToGrid w:val="0"/>
        </w:rPr>
        <w:t>) ani služební provozní smlouvu (dle definice v Metodice), musí být zejména zajištěna tvorba nájemného ve složce dodávek pitné vody a/nebo odvádění a čištění odpadních vod konzistentního s relevantní finanční analýzou (dále jen „finanční analýza“). Tato výše nájemného je zakotvená ve finančním modelu, který tvoří povinnou součást provozní smlouvy (dále jen “finanční model“);</w:t>
      </w:r>
    </w:p>
    <w:p w14:paraId="76C493C8" w14:textId="77777777" w:rsidR="00777990" w:rsidRPr="00777990" w:rsidRDefault="00777990" w:rsidP="00777990">
      <w:pPr>
        <w:numPr>
          <w:ilvl w:val="0"/>
          <w:numId w:val="61"/>
        </w:numPr>
        <w:tabs>
          <w:tab w:val="left" w:pos="1134"/>
        </w:tabs>
        <w:spacing w:line="276" w:lineRule="auto"/>
        <w:ind w:left="1134" w:hanging="850"/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Pokud příjemce uplatňuje vyrovnávací platbu (dle definice ve standardním textu tzv. „Platebního mechanismu“ zveřejněného na </w:t>
      </w:r>
      <w:hyperlink r:id="rId10" w:history="1">
        <w:r w:rsidRPr="00777990">
          <w:rPr>
            <w:rFonts w:ascii="Segoe UI" w:hAnsi="Segoe UI" w:cs="Segoe UI"/>
            <w:snapToGrid w:val="0"/>
          </w:rPr>
          <w:t>www.opzp.cz</w:t>
        </w:r>
      </w:hyperlink>
      <w:r w:rsidRPr="00777990">
        <w:rPr>
          <w:rFonts w:ascii="Segoe UI" w:hAnsi="Segoe UI" w:cs="Segoe UI"/>
          <w:snapToGrid w:val="0"/>
        </w:rPr>
        <w:t>) nebo služební provozní smlouvu (dle definice v Metodice), musí být zejména zajištěn soulad s cenami pro vodné a/nebo stočné podle relevantní finanční analýzy (dále jen “finanční analýza“), a to za podmínek stanovených fondem.</w:t>
      </w:r>
    </w:p>
    <w:p w14:paraId="6E6651D8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Změna výše nájemného, případně cen pro vodné a/nebo stočné pod tuto výši, je přípustná pouze z důvodu(a) snížení na úroveň cen, které nepřekročí hranice sociální únosnosti, vypočtené dle metodiky finanční analýzy, nebo (b) dosažení cen, které prokazatelně vytvářejí zdroje pro správu, obnovu a případné rozšíření vodovodů a kanalizací minimálně ve výši „plných odpisů“, nebo (c) zajištění konzistence finančního modelu s finanční analýzou. V těchto případech je nezbytné, aby bylo fondu předloženo vysvětlení odchylky alespoň dva měsíce před vyhlášením nových cen a aby fond odsouhlasil navrženou odchylku předem. </w:t>
      </w:r>
    </w:p>
    <w:p w14:paraId="665EC4C7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5CAFE321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V případě, že příjemce neuplatňuje vyrovnávací platbu (dle definice ve standardním textu tzv. „Platebního mechanismu“ zveřejněného na </w:t>
      </w:r>
      <w:hyperlink r:id="rId11" w:history="1">
        <w:r w:rsidRPr="00777990">
          <w:rPr>
            <w:rFonts w:ascii="Segoe UI" w:hAnsi="Segoe UI" w:cs="Segoe UI"/>
            <w:snapToGrid w:val="0"/>
          </w:rPr>
          <w:t>www.opzp.cz</w:t>
        </w:r>
      </w:hyperlink>
      <w:r w:rsidRPr="00777990">
        <w:rPr>
          <w:rFonts w:ascii="Segoe UI" w:hAnsi="Segoe UI" w:cs="Segoe UI"/>
          <w:snapToGrid w:val="0"/>
        </w:rPr>
        <w:t>) ani služební provozní smlouvu (dle definice v Metodice) (bod (a) výše), platí, že skutečné nájemné musí dosahovat úrovně nájemného uvedeného ve finančním modelu.</w:t>
      </w:r>
    </w:p>
    <w:p w14:paraId="62A944D9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12C32D33" w14:textId="77777777" w:rsidR="00777990" w:rsidRPr="00777990" w:rsidRDefault="00777990" w:rsidP="00777990">
      <w:pPr>
        <w:tabs>
          <w:tab w:val="left" w:pos="851"/>
        </w:tabs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V případě, že příjemce uplatňuje vyrovnávací platbu (dle definice ve standardním textu tzv. „Platebního mechanismu“ zveřejněného na </w:t>
      </w:r>
      <w:hyperlink r:id="rId12" w:history="1">
        <w:r w:rsidRPr="00777990">
          <w:rPr>
            <w:rFonts w:ascii="Segoe UI" w:hAnsi="Segoe UI" w:cs="Segoe UI"/>
            <w:snapToGrid w:val="0"/>
          </w:rPr>
          <w:t>www.opzp.cz</w:t>
        </w:r>
      </w:hyperlink>
      <w:r w:rsidRPr="00777990">
        <w:rPr>
          <w:rFonts w:ascii="Segoe UI" w:hAnsi="Segoe UI" w:cs="Segoe UI"/>
          <w:snapToGrid w:val="0"/>
        </w:rPr>
        <w:t xml:space="preserve">) nebo služební provozní smlouvu (dle definice v Metodice) (bod (b) výše), platí, že podmínka zajištění souladu cen bude považována za splněnou, budou-li skutečné ceny pro vodné a/nebo stočné dosahovat alespoň 90 % cen pro vodné a/nebo stočné stanovených ve finanční analýze, a to i v případě, že nebudou opodstatněny některým z výše uvedených důvodů; přičemž za účelem posouzení splnění této podmínky, relevantní ceny pro vodné a/nebo stočné jsou ceny uplatněné ve vztahu k vodohospodářské infrastruktuře. </w:t>
      </w:r>
    </w:p>
    <w:p w14:paraId="64A9B45F" w14:textId="77777777" w:rsidR="00777990" w:rsidRPr="00777990" w:rsidRDefault="00777990" w:rsidP="00777990">
      <w:pPr>
        <w:tabs>
          <w:tab w:val="left" w:pos="851"/>
        </w:tabs>
        <w:jc w:val="both"/>
        <w:rPr>
          <w:rFonts w:ascii="Segoe UI" w:hAnsi="Segoe UI" w:cs="Segoe UI"/>
          <w:snapToGrid w:val="0"/>
        </w:rPr>
      </w:pPr>
    </w:p>
    <w:p w14:paraId="5D799F37" w14:textId="23CA568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 xml:space="preserve">- Nájemné (nebo v případě služebních provozních smluv i čistý příjem) z provozování vodohospodářské infrastruktury bude použito pouze pro správu, obnovu a případné rozšíření vodovodů a/nebo kanalizace, </w:t>
      </w:r>
      <w:r>
        <w:rPr>
          <w:rFonts w:ascii="Segoe UI" w:hAnsi="Segoe UI" w:cs="Segoe UI"/>
          <w:snapToGrid w:val="0"/>
        </w:rPr>
        <w:br/>
      </w:r>
      <w:r w:rsidRPr="00777990">
        <w:rPr>
          <w:rFonts w:ascii="Segoe UI" w:hAnsi="Segoe UI" w:cs="Segoe UI"/>
          <w:snapToGrid w:val="0"/>
        </w:rPr>
        <w:t>a to za podmínek stanovených fondem.</w:t>
      </w:r>
    </w:p>
    <w:p w14:paraId="1DDDE0BE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640391BE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>- Příjemce podpory je povinen zajistit, že relevantní požadavky kladené na provozní smlouvy budou aplikovány na „související provozní smlouvy“ ve smyslu Metodiky s tím, že v případě ukončení platnosti související provozní smlouvy je vlastník infrastruktury, která je předmětem související provozní smlouvy, oprávněn změnit provozní model.</w:t>
      </w:r>
    </w:p>
    <w:p w14:paraId="77FB131E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</w:p>
    <w:p w14:paraId="761951B8" w14:textId="77777777" w:rsidR="00777990" w:rsidRPr="00777990" w:rsidRDefault="00777990" w:rsidP="00777990">
      <w:pPr>
        <w:jc w:val="both"/>
        <w:rPr>
          <w:rFonts w:ascii="Segoe UI" w:hAnsi="Segoe UI" w:cs="Segoe UI"/>
          <w:snapToGrid w:val="0"/>
        </w:rPr>
      </w:pPr>
      <w:r w:rsidRPr="00777990">
        <w:rPr>
          <w:rFonts w:ascii="Segoe UI" w:hAnsi="Segoe UI" w:cs="Segoe UI"/>
          <w:snapToGrid w:val="0"/>
        </w:rPr>
        <w:t>- Příjemce podpory je povinen veškeré změny ve smlouvě o provozování, které mohou ovlivnit plnění podmínek týkajících se provozování vodohospodářské infrastruktury v rámci Operačního programu Životní prostředí a soulad s Metodikou, uskutečnit pouze se souhlasem fondu.</w:t>
      </w:r>
    </w:p>
    <w:p w14:paraId="1C41C5AF" w14:textId="77777777" w:rsidR="00777990" w:rsidRDefault="00777990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6980D30C" w14:textId="77777777" w:rsidR="00777990" w:rsidRDefault="00777990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00C2AC79" w14:textId="77777777" w:rsidR="00777990" w:rsidRDefault="00777990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1BC416CB" w14:textId="77777777" w:rsidR="00993A1E" w:rsidRDefault="006A6C99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2. </w:t>
      </w:r>
    </w:p>
    <w:p w14:paraId="2155D440" w14:textId="6C4B5222" w:rsidR="00200DD4" w:rsidRPr="00200DD4" w:rsidRDefault="004119B5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Ostatní ustanovení Sm</w:t>
      </w:r>
      <w:r w:rsidR="00C4209E" w:rsidRPr="00555D1D">
        <w:rPr>
          <w:rFonts w:ascii="Segoe UI" w:hAnsi="Segoe UI" w:cs="Segoe UI"/>
          <w:color w:val="auto"/>
          <w:sz w:val="20"/>
        </w:rPr>
        <w:t>louvy se nemění.</w:t>
      </w:r>
    </w:p>
    <w:p w14:paraId="7FAAAF4A" w14:textId="77777777" w:rsidR="006F4F9D" w:rsidRDefault="006F4F9D" w:rsidP="008515C0">
      <w:pPr>
        <w:pStyle w:val="Zkladntext"/>
        <w:snapToGrid w:val="0"/>
        <w:jc w:val="both"/>
        <w:rPr>
          <w:rFonts w:ascii="Segoe UI" w:hAnsi="Segoe UI" w:cs="Segoe UI"/>
          <w:snapToGrid/>
          <w:color w:val="auto"/>
          <w:sz w:val="20"/>
        </w:rPr>
      </w:pPr>
    </w:p>
    <w:p w14:paraId="7690BC1D" w14:textId="61757315" w:rsidR="008515C0" w:rsidRDefault="00777990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snapToGrid/>
          <w:color w:val="auto"/>
          <w:sz w:val="20"/>
        </w:rPr>
        <w:t>3</w:t>
      </w:r>
      <w:r w:rsidR="008515C0">
        <w:rPr>
          <w:rFonts w:ascii="Segoe UI" w:hAnsi="Segoe UI" w:cs="Segoe UI"/>
          <w:snapToGrid/>
          <w:color w:val="auto"/>
          <w:sz w:val="20"/>
        </w:rPr>
        <w:t>.</w:t>
      </w:r>
    </w:p>
    <w:p w14:paraId="5885B54F" w14:textId="5721BDC5" w:rsidR="00993A1E" w:rsidRPr="00777990" w:rsidRDefault="004119B5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  <w:r w:rsidRPr="008515C0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8515C0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8515C0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8515C0">
        <w:rPr>
          <w:rFonts w:ascii="Segoe UI" w:hAnsi="Segoe UI" w:cs="Segoe UI"/>
          <w:color w:val="auto"/>
          <w:sz w:val="20"/>
        </w:rPr>
        <w:t>.</w:t>
      </w:r>
    </w:p>
    <w:p w14:paraId="6122FDCD" w14:textId="77777777" w:rsidR="00993A1E" w:rsidRDefault="00993A1E" w:rsidP="008515C0">
      <w:pPr>
        <w:pStyle w:val="Zkladntext"/>
        <w:snapToGrid w:val="0"/>
        <w:jc w:val="both"/>
        <w:rPr>
          <w:rFonts w:ascii="Segoe UI" w:hAnsi="Segoe UI" w:cs="Segoe UI"/>
          <w:snapToGrid/>
          <w:color w:val="auto"/>
          <w:sz w:val="20"/>
        </w:rPr>
      </w:pPr>
    </w:p>
    <w:p w14:paraId="18B16565" w14:textId="5DB72C0C" w:rsidR="008515C0" w:rsidRPr="006046B3" w:rsidRDefault="00777990" w:rsidP="008515C0">
      <w:pPr>
        <w:pStyle w:val="Zkladntext"/>
        <w:snapToGrid w:val="0"/>
        <w:jc w:val="both"/>
        <w:rPr>
          <w:rFonts w:ascii="Segoe UI" w:hAnsi="Segoe UI" w:cs="Segoe UI"/>
          <w:snapToGrid/>
          <w:color w:val="auto"/>
          <w:sz w:val="20"/>
        </w:rPr>
      </w:pPr>
      <w:r>
        <w:rPr>
          <w:rFonts w:ascii="Segoe UI" w:hAnsi="Segoe UI" w:cs="Segoe UI"/>
          <w:snapToGrid/>
          <w:color w:val="auto"/>
          <w:sz w:val="20"/>
        </w:rPr>
        <w:t>4</w:t>
      </w:r>
      <w:r w:rsidR="008515C0">
        <w:rPr>
          <w:rFonts w:ascii="Segoe UI" w:hAnsi="Segoe UI" w:cs="Segoe UI"/>
          <w:snapToGrid/>
          <w:color w:val="auto"/>
          <w:sz w:val="20"/>
        </w:rPr>
        <w:t>.</w:t>
      </w:r>
    </w:p>
    <w:p w14:paraId="688B9567" w14:textId="77777777" w:rsidR="00DA79B0" w:rsidRPr="00555D1D" w:rsidRDefault="00C4209E" w:rsidP="008515C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Tento dodat</w:t>
      </w:r>
      <w:r w:rsidR="00DA79B0" w:rsidRPr="00555D1D">
        <w:rPr>
          <w:rFonts w:ascii="Segoe UI" w:hAnsi="Segoe UI" w:cs="Segoe UI"/>
          <w:color w:val="auto"/>
          <w:sz w:val="20"/>
        </w:rPr>
        <w:t xml:space="preserve">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 </w:t>
      </w:r>
    </w:p>
    <w:p w14:paraId="4DEF75B8" w14:textId="77777777" w:rsidR="00DA79B0" w:rsidRPr="00555D1D" w:rsidRDefault="00DA79B0" w:rsidP="00DA79B0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768403DC" w14:textId="77777777" w:rsidR="00C4209E" w:rsidRPr="00555D1D" w:rsidRDefault="00C4209E" w:rsidP="00C4209E">
      <w:pPr>
        <w:pStyle w:val="Zkladntext"/>
        <w:rPr>
          <w:rFonts w:ascii="Segoe UI" w:hAnsi="Segoe UI" w:cs="Segoe UI"/>
          <w:color w:val="auto"/>
          <w:sz w:val="20"/>
        </w:rPr>
      </w:pPr>
    </w:p>
    <w:p w14:paraId="4194FDF7" w14:textId="77777777" w:rsidR="0052138B" w:rsidRPr="00555D1D" w:rsidRDefault="0052138B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14:paraId="0BDFCE11" w14:textId="77777777" w:rsidR="005505D3" w:rsidRPr="00555D1D" w:rsidRDefault="005505D3" w:rsidP="00CC25F3">
      <w:pPr>
        <w:pStyle w:val="Zkladntext"/>
        <w:rPr>
          <w:rFonts w:ascii="Segoe UI" w:hAnsi="Segoe UI" w:cs="Segoe UI"/>
          <w:color w:val="auto"/>
          <w:sz w:val="20"/>
        </w:rPr>
      </w:pPr>
    </w:p>
    <w:p w14:paraId="23F113C8" w14:textId="77777777" w:rsidR="00CC25F3" w:rsidRPr="00555D1D" w:rsidRDefault="00397003" w:rsidP="00CC25F3">
      <w:pPr>
        <w:pStyle w:val="Zkladntext"/>
        <w:rPr>
          <w:rFonts w:ascii="Segoe UI" w:hAnsi="Segoe UI" w:cs="Segoe UI"/>
          <w:color w:val="auto"/>
          <w:sz w:val="20"/>
        </w:rPr>
      </w:pPr>
      <w:proofErr w:type="gramStart"/>
      <w:r w:rsidRPr="00555D1D">
        <w:rPr>
          <w:rFonts w:ascii="Segoe UI" w:hAnsi="Segoe UI" w:cs="Segoe UI"/>
          <w:color w:val="auto"/>
          <w:sz w:val="20"/>
        </w:rPr>
        <w:t xml:space="preserve">V: </w:t>
      </w:r>
      <w:r w:rsidR="00CC25F3" w:rsidRPr="00555D1D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CC25F3" w:rsidRPr="00555D1D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V Praze dne:</w:t>
      </w:r>
    </w:p>
    <w:p w14:paraId="72909C92" w14:textId="77777777" w:rsidR="00A471E4" w:rsidRPr="00555D1D" w:rsidRDefault="00A471E4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30D380BB" w14:textId="77777777" w:rsidR="00397003" w:rsidRPr="00555D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dne:</w:t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</w:p>
    <w:p w14:paraId="3CFE4ACB" w14:textId="77777777" w:rsidR="009052BB" w:rsidRPr="00555D1D" w:rsidRDefault="009052BB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028824D1" w14:textId="77777777" w:rsidR="00787507" w:rsidRPr="00555D1D" w:rsidRDefault="00787507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3BF91BF3" w14:textId="77777777" w:rsidR="005505D3" w:rsidRPr="00555D1D" w:rsidRDefault="005505D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5EB211B2" w14:textId="77777777" w:rsidR="005505D3" w:rsidRPr="00555D1D" w:rsidRDefault="005505D3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705DB107" w14:textId="77777777" w:rsidR="00397003" w:rsidRPr="00555D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55D51CD" w14:textId="77777777" w:rsidR="00397003" w:rsidRPr="00555D1D" w:rsidRDefault="00397003" w:rsidP="00397003">
      <w:pPr>
        <w:pStyle w:val="Zkladntext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55D1D">
        <w:rPr>
          <w:rFonts w:ascii="Segoe UI" w:hAnsi="Segoe UI" w:cs="Segoe UI"/>
          <w:color w:val="auto"/>
          <w:sz w:val="20"/>
        </w:rPr>
        <w:t>……….</w:t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="0052138B" w:rsidRPr="00555D1D">
        <w:rPr>
          <w:rFonts w:ascii="Segoe UI" w:hAnsi="Segoe UI" w:cs="Segoe UI"/>
          <w:color w:val="auto"/>
          <w:sz w:val="20"/>
        </w:rPr>
        <w:t>...............</w:t>
      </w:r>
      <w:r w:rsidRPr="00555D1D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81813D7" w14:textId="77777777" w:rsidR="005505D3" w:rsidRPr="00555D1D" w:rsidRDefault="00397003" w:rsidP="005505D3">
      <w:pPr>
        <w:pStyle w:val="Zkladntext"/>
        <w:rPr>
          <w:rFonts w:ascii="Segoe UI" w:hAnsi="Segoe UI" w:cs="Segoe UI"/>
          <w:color w:val="auto"/>
          <w:sz w:val="20"/>
        </w:rPr>
      </w:pPr>
      <w:r w:rsidRPr="00555D1D">
        <w:rPr>
          <w:rFonts w:ascii="Segoe UI" w:hAnsi="Segoe UI" w:cs="Segoe UI"/>
          <w:color w:val="auto"/>
          <w:sz w:val="20"/>
        </w:rPr>
        <w:t>zástupce příjemce podpory</w:t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</w:r>
      <w:r w:rsidRPr="00555D1D">
        <w:rPr>
          <w:rFonts w:ascii="Segoe UI" w:hAnsi="Segoe UI" w:cs="Segoe UI"/>
          <w:color w:val="auto"/>
          <w:sz w:val="20"/>
        </w:rPr>
        <w:tab/>
        <w:t>zástupce Fondu</w:t>
      </w:r>
    </w:p>
    <w:sectPr w:rsidR="005505D3" w:rsidRPr="00555D1D" w:rsidSect="00C34C13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016B" w14:textId="77777777" w:rsidR="00D46EB8" w:rsidRDefault="00D46EB8">
      <w:r>
        <w:separator/>
      </w:r>
    </w:p>
  </w:endnote>
  <w:endnote w:type="continuationSeparator" w:id="0">
    <w:p w14:paraId="7AA74594" w14:textId="77777777" w:rsidR="00D46EB8" w:rsidRDefault="00D4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D54E" w14:textId="77777777" w:rsidR="00561A33" w:rsidRDefault="00561A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5660F84" w14:textId="77777777" w:rsidR="00561A33" w:rsidRDefault="00561A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313"/>
      <w:docPartObj>
        <w:docPartGallery w:val="Page Numbers (Bottom of Page)"/>
        <w:docPartUnique/>
      </w:docPartObj>
    </w:sdtPr>
    <w:sdtEndPr/>
    <w:sdtContent>
      <w:p w14:paraId="3474092E" w14:textId="77777777" w:rsidR="00561A33" w:rsidRDefault="00561A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290EDD2" w14:textId="77777777" w:rsidR="00561A33" w:rsidRDefault="00561A3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501"/>
      <w:docPartObj>
        <w:docPartGallery w:val="Page Numbers (Bottom of Page)"/>
        <w:docPartUnique/>
      </w:docPartObj>
    </w:sdtPr>
    <w:sdtEndPr/>
    <w:sdtContent>
      <w:p w14:paraId="44BE7B4A" w14:textId="77777777" w:rsidR="00561A33" w:rsidRDefault="00561A3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8C9AA0" w14:textId="77777777" w:rsidR="00561A33" w:rsidRDefault="00561A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CB63" w14:textId="77777777" w:rsidR="00D46EB8" w:rsidRDefault="00D46EB8">
      <w:r>
        <w:separator/>
      </w:r>
    </w:p>
  </w:footnote>
  <w:footnote w:type="continuationSeparator" w:id="0">
    <w:p w14:paraId="28FD8A93" w14:textId="77777777" w:rsidR="00D46EB8" w:rsidRDefault="00D4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4B95" w14:textId="77777777" w:rsidR="00561A33" w:rsidRDefault="00561A33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B0463"/>
    <w:multiLevelType w:val="hybridMultilevel"/>
    <w:tmpl w:val="080E7A94"/>
    <w:lvl w:ilvl="0" w:tplc="602E361A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17674">
    <w:abstractNumId w:val="27"/>
  </w:num>
  <w:num w:numId="2" w16cid:durableId="1812866235">
    <w:abstractNumId w:val="21"/>
  </w:num>
  <w:num w:numId="3" w16cid:durableId="576860100">
    <w:abstractNumId w:val="23"/>
  </w:num>
  <w:num w:numId="4" w16cid:durableId="1766800091">
    <w:abstractNumId w:val="26"/>
  </w:num>
  <w:num w:numId="5" w16cid:durableId="219904772">
    <w:abstractNumId w:val="9"/>
  </w:num>
  <w:num w:numId="6" w16cid:durableId="482352932">
    <w:abstractNumId w:val="28"/>
  </w:num>
  <w:num w:numId="7" w16cid:durableId="6178308">
    <w:abstractNumId w:val="45"/>
  </w:num>
  <w:num w:numId="8" w16cid:durableId="893085637">
    <w:abstractNumId w:val="53"/>
  </w:num>
  <w:num w:numId="9" w16cid:durableId="1232541695">
    <w:abstractNumId w:val="25"/>
  </w:num>
  <w:num w:numId="10" w16cid:durableId="1075593411">
    <w:abstractNumId w:val="35"/>
  </w:num>
  <w:num w:numId="11" w16cid:durableId="1385255382">
    <w:abstractNumId w:val="49"/>
  </w:num>
  <w:num w:numId="12" w16cid:durableId="1605729101">
    <w:abstractNumId w:val="24"/>
  </w:num>
  <w:num w:numId="13" w16cid:durableId="737216231">
    <w:abstractNumId w:val="51"/>
  </w:num>
  <w:num w:numId="14" w16cid:durableId="1372683243">
    <w:abstractNumId w:val="52"/>
  </w:num>
  <w:num w:numId="15" w16cid:durableId="1544906169">
    <w:abstractNumId w:val="31"/>
  </w:num>
  <w:num w:numId="16" w16cid:durableId="2031251400">
    <w:abstractNumId w:val="50"/>
  </w:num>
  <w:num w:numId="17" w16cid:durableId="1879048551">
    <w:abstractNumId w:val="1"/>
  </w:num>
  <w:num w:numId="18" w16cid:durableId="2105102173">
    <w:abstractNumId w:val="12"/>
  </w:num>
  <w:num w:numId="19" w16cid:durableId="421027130">
    <w:abstractNumId w:val="6"/>
  </w:num>
  <w:num w:numId="20" w16cid:durableId="832064410">
    <w:abstractNumId w:val="14"/>
  </w:num>
  <w:num w:numId="21" w16cid:durableId="1381982171">
    <w:abstractNumId w:val="18"/>
  </w:num>
  <w:num w:numId="22" w16cid:durableId="632061405">
    <w:abstractNumId w:val="45"/>
  </w:num>
  <w:num w:numId="23" w16cid:durableId="139155917">
    <w:abstractNumId w:val="23"/>
    <w:lvlOverride w:ilvl="0">
      <w:startOverride w:val="1"/>
    </w:lvlOverride>
  </w:num>
  <w:num w:numId="24" w16cid:durableId="206843039">
    <w:abstractNumId w:val="45"/>
  </w:num>
  <w:num w:numId="25" w16cid:durableId="1221329067">
    <w:abstractNumId w:val="53"/>
  </w:num>
  <w:num w:numId="26" w16cid:durableId="1460537814">
    <w:abstractNumId w:val="24"/>
  </w:num>
  <w:num w:numId="27" w16cid:durableId="125435981">
    <w:abstractNumId w:val="51"/>
  </w:num>
  <w:num w:numId="28" w16cid:durableId="1505389361">
    <w:abstractNumId w:val="4"/>
  </w:num>
  <w:num w:numId="29" w16cid:durableId="2140299643">
    <w:abstractNumId w:val="54"/>
  </w:num>
  <w:num w:numId="30" w16cid:durableId="1310674926">
    <w:abstractNumId w:val="13"/>
  </w:num>
  <w:num w:numId="31" w16cid:durableId="437874428">
    <w:abstractNumId w:val="43"/>
  </w:num>
  <w:num w:numId="32" w16cid:durableId="295306715">
    <w:abstractNumId w:val="38"/>
  </w:num>
  <w:num w:numId="33" w16cid:durableId="1808543735">
    <w:abstractNumId w:val="19"/>
  </w:num>
  <w:num w:numId="34" w16cid:durableId="1579512528">
    <w:abstractNumId w:val="8"/>
  </w:num>
  <w:num w:numId="35" w16cid:durableId="1778716777">
    <w:abstractNumId w:val="29"/>
  </w:num>
  <w:num w:numId="36" w16cid:durableId="1530532202">
    <w:abstractNumId w:val="48"/>
  </w:num>
  <w:num w:numId="37" w16cid:durableId="614797169">
    <w:abstractNumId w:val="46"/>
  </w:num>
  <w:num w:numId="38" w16cid:durableId="1245142174">
    <w:abstractNumId w:val="37"/>
  </w:num>
  <w:num w:numId="39" w16cid:durableId="1476147030">
    <w:abstractNumId w:val="41"/>
  </w:num>
  <w:num w:numId="40" w16cid:durableId="1262058959">
    <w:abstractNumId w:val="42"/>
  </w:num>
  <w:num w:numId="41" w16cid:durableId="803894159">
    <w:abstractNumId w:val="2"/>
  </w:num>
  <w:num w:numId="42" w16cid:durableId="1691102530">
    <w:abstractNumId w:val="40"/>
  </w:num>
  <w:num w:numId="43" w16cid:durableId="1626305487">
    <w:abstractNumId w:val="15"/>
  </w:num>
  <w:num w:numId="44" w16cid:durableId="1539397247">
    <w:abstractNumId w:val="44"/>
  </w:num>
  <w:num w:numId="45" w16cid:durableId="857698499">
    <w:abstractNumId w:val="47"/>
  </w:num>
  <w:num w:numId="46" w16cid:durableId="169416435">
    <w:abstractNumId w:val="17"/>
  </w:num>
  <w:num w:numId="47" w16cid:durableId="1791893416">
    <w:abstractNumId w:val="33"/>
  </w:num>
  <w:num w:numId="48" w16cid:durableId="1585260423">
    <w:abstractNumId w:val="10"/>
  </w:num>
  <w:num w:numId="49" w16cid:durableId="847207863">
    <w:abstractNumId w:val="3"/>
  </w:num>
  <w:num w:numId="50" w16cid:durableId="930548997">
    <w:abstractNumId w:val="32"/>
  </w:num>
  <w:num w:numId="51" w16cid:durableId="2076510885">
    <w:abstractNumId w:val="5"/>
  </w:num>
  <w:num w:numId="52" w16cid:durableId="1677921928">
    <w:abstractNumId w:val="36"/>
  </w:num>
  <w:num w:numId="53" w16cid:durableId="1031805639">
    <w:abstractNumId w:val="7"/>
  </w:num>
  <w:num w:numId="54" w16cid:durableId="1879513024">
    <w:abstractNumId w:val="0"/>
  </w:num>
  <w:num w:numId="55" w16cid:durableId="634603653">
    <w:abstractNumId w:val="34"/>
  </w:num>
  <w:num w:numId="56" w16cid:durableId="236938513">
    <w:abstractNumId w:val="16"/>
  </w:num>
  <w:num w:numId="57" w16cid:durableId="9316268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0442990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15032232">
    <w:abstractNumId w:val="11"/>
  </w:num>
  <w:num w:numId="60" w16cid:durableId="2009475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65090698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1AE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03E4"/>
    <w:rsid w:val="00082C98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5B2B"/>
    <w:rsid w:val="000A68BC"/>
    <w:rsid w:val="000B0357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039E"/>
    <w:rsid w:val="001111CE"/>
    <w:rsid w:val="001132B2"/>
    <w:rsid w:val="001160B8"/>
    <w:rsid w:val="00120C69"/>
    <w:rsid w:val="00123EB6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D0A"/>
    <w:rsid w:val="001865CA"/>
    <w:rsid w:val="001873D3"/>
    <w:rsid w:val="00187F28"/>
    <w:rsid w:val="00190BFC"/>
    <w:rsid w:val="001912C2"/>
    <w:rsid w:val="00191485"/>
    <w:rsid w:val="00192A8F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C4AC0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0DD4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27EEA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3D48"/>
    <w:rsid w:val="00264429"/>
    <w:rsid w:val="00265BAA"/>
    <w:rsid w:val="00265DE7"/>
    <w:rsid w:val="0026661B"/>
    <w:rsid w:val="002737F6"/>
    <w:rsid w:val="002743CF"/>
    <w:rsid w:val="00274EB2"/>
    <w:rsid w:val="002817F9"/>
    <w:rsid w:val="00281F5C"/>
    <w:rsid w:val="0028371D"/>
    <w:rsid w:val="00285F5B"/>
    <w:rsid w:val="00286404"/>
    <w:rsid w:val="00286B2D"/>
    <w:rsid w:val="00286FF0"/>
    <w:rsid w:val="00290371"/>
    <w:rsid w:val="0029440B"/>
    <w:rsid w:val="002A0051"/>
    <w:rsid w:val="002A05ED"/>
    <w:rsid w:val="002A10AD"/>
    <w:rsid w:val="002A2EA4"/>
    <w:rsid w:val="002A55F1"/>
    <w:rsid w:val="002B1E9F"/>
    <w:rsid w:val="002B24A7"/>
    <w:rsid w:val="002B4167"/>
    <w:rsid w:val="002B5BDB"/>
    <w:rsid w:val="002B63A2"/>
    <w:rsid w:val="002B7443"/>
    <w:rsid w:val="002C13A7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7FD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4282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0B1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07BEE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38DC"/>
    <w:rsid w:val="00444408"/>
    <w:rsid w:val="004459D0"/>
    <w:rsid w:val="00445C1C"/>
    <w:rsid w:val="00456F75"/>
    <w:rsid w:val="00457BDB"/>
    <w:rsid w:val="004605F6"/>
    <w:rsid w:val="0046286D"/>
    <w:rsid w:val="00463297"/>
    <w:rsid w:val="00464275"/>
    <w:rsid w:val="004651C9"/>
    <w:rsid w:val="00465EA7"/>
    <w:rsid w:val="00466881"/>
    <w:rsid w:val="00466C19"/>
    <w:rsid w:val="00470989"/>
    <w:rsid w:val="004730F9"/>
    <w:rsid w:val="004735B3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6C3B"/>
    <w:rsid w:val="004A7B57"/>
    <w:rsid w:val="004B2776"/>
    <w:rsid w:val="004B30AE"/>
    <w:rsid w:val="004B5C79"/>
    <w:rsid w:val="004B61A9"/>
    <w:rsid w:val="004B6EAB"/>
    <w:rsid w:val="004B759D"/>
    <w:rsid w:val="004C0AE8"/>
    <w:rsid w:val="004D41F0"/>
    <w:rsid w:val="004D76BF"/>
    <w:rsid w:val="004E0EA5"/>
    <w:rsid w:val="004E5009"/>
    <w:rsid w:val="004E5FB2"/>
    <w:rsid w:val="004F2EDD"/>
    <w:rsid w:val="004F73CE"/>
    <w:rsid w:val="00504E89"/>
    <w:rsid w:val="00505F15"/>
    <w:rsid w:val="005069BE"/>
    <w:rsid w:val="00507829"/>
    <w:rsid w:val="00512503"/>
    <w:rsid w:val="00513FAA"/>
    <w:rsid w:val="0051514F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56FD"/>
    <w:rsid w:val="00547068"/>
    <w:rsid w:val="005505D3"/>
    <w:rsid w:val="005507DB"/>
    <w:rsid w:val="0055158F"/>
    <w:rsid w:val="00554A56"/>
    <w:rsid w:val="00554BE0"/>
    <w:rsid w:val="005552DB"/>
    <w:rsid w:val="00555D1D"/>
    <w:rsid w:val="00556662"/>
    <w:rsid w:val="00561A33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2D5B"/>
    <w:rsid w:val="005858E6"/>
    <w:rsid w:val="005861C5"/>
    <w:rsid w:val="005866A2"/>
    <w:rsid w:val="00586AB9"/>
    <w:rsid w:val="00590245"/>
    <w:rsid w:val="005910DE"/>
    <w:rsid w:val="0059598A"/>
    <w:rsid w:val="005A07A4"/>
    <w:rsid w:val="005A3156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30E3"/>
    <w:rsid w:val="005D3D4F"/>
    <w:rsid w:val="005D4EB4"/>
    <w:rsid w:val="005D6D2A"/>
    <w:rsid w:val="005E1207"/>
    <w:rsid w:val="005E2A51"/>
    <w:rsid w:val="005E2C9E"/>
    <w:rsid w:val="005E33A8"/>
    <w:rsid w:val="005E3532"/>
    <w:rsid w:val="005E39CE"/>
    <w:rsid w:val="005E50C6"/>
    <w:rsid w:val="005E66AC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46B3"/>
    <w:rsid w:val="0061239B"/>
    <w:rsid w:val="00612625"/>
    <w:rsid w:val="00613318"/>
    <w:rsid w:val="00614627"/>
    <w:rsid w:val="006244D6"/>
    <w:rsid w:val="00625404"/>
    <w:rsid w:val="00630925"/>
    <w:rsid w:val="00631E42"/>
    <w:rsid w:val="00634FC7"/>
    <w:rsid w:val="0064411B"/>
    <w:rsid w:val="00644633"/>
    <w:rsid w:val="00646D14"/>
    <w:rsid w:val="00647BAD"/>
    <w:rsid w:val="006532BE"/>
    <w:rsid w:val="00653E45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C99"/>
    <w:rsid w:val="006B1FC4"/>
    <w:rsid w:val="006B425E"/>
    <w:rsid w:val="006B4DF6"/>
    <w:rsid w:val="006B5F80"/>
    <w:rsid w:val="006B7A18"/>
    <w:rsid w:val="006C123C"/>
    <w:rsid w:val="006C39D6"/>
    <w:rsid w:val="006C61CF"/>
    <w:rsid w:val="006C684C"/>
    <w:rsid w:val="006C688E"/>
    <w:rsid w:val="006C7016"/>
    <w:rsid w:val="006C7DE8"/>
    <w:rsid w:val="006D06C7"/>
    <w:rsid w:val="006D305D"/>
    <w:rsid w:val="006D4E25"/>
    <w:rsid w:val="006D6F00"/>
    <w:rsid w:val="006D709E"/>
    <w:rsid w:val="006E049A"/>
    <w:rsid w:val="006E143C"/>
    <w:rsid w:val="006E2CAB"/>
    <w:rsid w:val="006E3777"/>
    <w:rsid w:val="006E4EAC"/>
    <w:rsid w:val="006E62D8"/>
    <w:rsid w:val="006F028A"/>
    <w:rsid w:val="006F0EB4"/>
    <w:rsid w:val="006F139C"/>
    <w:rsid w:val="006F1DF7"/>
    <w:rsid w:val="006F218B"/>
    <w:rsid w:val="006F23F1"/>
    <w:rsid w:val="006F4F9D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0F28"/>
    <w:rsid w:val="007628CF"/>
    <w:rsid w:val="00764071"/>
    <w:rsid w:val="00770CB5"/>
    <w:rsid w:val="00772B8E"/>
    <w:rsid w:val="00773B56"/>
    <w:rsid w:val="0077459A"/>
    <w:rsid w:val="00777990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C00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D4627"/>
    <w:rsid w:val="007E0446"/>
    <w:rsid w:val="007E48E9"/>
    <w:rsid w:val="007E69D4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6C6C"/>
    <w:rsid w:val="00827937"/>
    <w:rsid w:val="008301AA"/>
    <w:rsid w:val="00830BBD"/>
    <w:rsid w:val="0083147D"/>
    <w:rsid w:val="0083341B"/>
    <w:rsid w:val="008413C8"/>
    <w:rsid w:val="00841C95"/>
    <w:rsid w:val="00842EC9"/>
    <w:rsid w:val="008433A1"/>
    <w:rsid w:val="008437A4"/>
    <w:rsid w:val="008444FC"/>
    <w:rsid w:val="00845099"/>
    <w:rsid w:val="00845D1C"/>
    <w:rsid w:val="008515C0"/>
    <w:rsid w:val="00852321"/>
    <w:rsid w:val="0085547F"/>
    <w:rsid w:val="0085565B"/>
    <w:rsid w:val="008556B4"/>
    <w:rsid w:val="00860A0C"/>
    <w:rsid w:val="0086153A"/>
    <w:rsid w:val="008628B3"/>
    <w:rsid w:val="00863234"/>
    <w:rsid w:val="008644B9"/>
    <w:rsid w:val="008718A3"/>
    <w:rsid w:val="00872C90"/>
    <w:rsid w:val="008831A5"/>
    <w:rsid w:val="0088405F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B7128"/>
    <w:rsid w:val="008B7A86"/>
    <w:rsid w:val="008B7B7E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24AC"/>
    <w:rsid w:val="00912A89"/>
    <w:rsid w:val="00914D27"/>
    <w:rsid w:val="00917A3A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2FD1"/>
    <w:rsid w:val="009777EA"/>
    <w:rsid w:val="009807DC"/>
    <w:rsid w:val="00983B44"/>
    <w:rsid w:val="00985F9A"/>
    <w:rsid w:val="00986758"/>
    <w:rsid w:val="00990061"/>
    <w:rsid w:val="00990A09"/>
    <w:rsid w:val="00993A1E"/>
    <w:rsid w:val="00997B8F"/>
    <w:rsid w:val="009A0407"/>
    <w:rsid w:val="009A196E"/>
    <w:rsid w:val="009A1AD8"/>
    <w:rsid w:val="009A1D82"/>
    <w:rsid w:val="009A1FA6"/>
    <w:rsid w:val="009A2731"/>
    <w:rsid w:val="009A3082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D77FF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36FF7"/>
    <w:rsid w:val="00A3720B"/>
    <w:rsid w:val="00A42F79"/>
    <w:rsid w:val="00A44683"/>
    <w:rsid w:val="00A463F8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4209"/>
    <w:rsid w:val="00AD6BDB"/>
    <w:rsid w:val="00AE04CA"/>
    <w:rsid w:val="00AE0BC9"/>
    <w:rsid w:val="00AE542A"/>
    <w:rsid w:val="00AF4646"/>
    <w:rsid w:val="00AF5A95"/>
    <w:rsid w:val="00AF5E58"/>
    <w:rsid w:val="00AF5EE9"/>
    <w:rsid w:val="00AF630E"/>
    <w:rsid w:val="00AF7DCC"/>
    <w:rsid w:val="00B012CE"/>
    <w:rsid w:val="00B0241D"/>
    <w:rsid w:val="00B04967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5400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5392"/>
    <w:rsid w:val="00B55B95"/>
    <w:rsid w:val="00B66BA6"/>
    <w:rsid w:val="00B67FEC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6AC0"/>
    <w:rsid w:val="00BB09B7"/>
    <w:rsid w:val="00BB15D4"/>
    <w:rsid w:val="00BB3B01"/>
    <w:rsid w:val="00BC2DC0"/>
    <w:rsid w:val="00BD36EA"/>
    <w:rsid w:val="00BD7117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2807"/>
    <w:rsid w:val="00C242B4"/>
    <w:rsid w:val="00C24BA3"/>
    <w:rsid w:val="00C2549E"/>
    <w:rsid w:val="00C331D2"/>
    <w:rsid w:val="00C34629"/>
    <w:rsid w:val="00C34C13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68C0"/>
    <w:rsid w:val="00C979C6"/>
    <w:rsid w:val="00CA3602"/>
    <w:rsid w:val="00CA505F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4CBA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6EB8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43A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A79B0"/>
    <w:rsid w:val="00DB071A"/>
    <w:rsid w:val="00DB156B"/>
    <w:rsid w:val="00DB1C0B"/>
    <w:rsid w:val="00DB6FA9"/>
    <w:rsid w:val="00DC1D5F"/>
    <w:rsid w:val="00DC5685"/>
    <w:rsid w:val="00DD0205"/>
    <w:rsid w:val="00DD3929"/>
    <w:rsid w:val="00DD3F50"/>
    <w:rsid w:val="00DD41D4"/>
    <w:rsid w:val="00DD487C"/>
    <w:rsid w:val="00DE324F"/>
    <w:rsid w:val="00DE46F4"/>
    <w:rsid w:val="00DE4DDA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5932"/>
    <w:rsid w:val="00E459A3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566F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1B18"/>
    <w:rsid w:val="00F069EB"/>
    <w:rsid w:val="00F07272"/>
    <w:rsid w:val="00F10C7F"/>
    <w:rsid w:val="00F1193E"/>
    <w:rsid w:val="00F136C8"/>
    <w:rsid w:val="00F15724"/>
    <w:rsid w:val="00F15FB4"/>
    <w:rsid w:val="00F24D3A"/>
    <w:rsid w:val="00F25D0B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535"/>
    <w:rsid w:val="00F52682"/>
    <w:rsid w:val="00F56057"/>
    <w:rsid w:val="00F62C67"/>
    <w:rsid w:val="00F63D96"/>
    <w:rsid w:val="00F64DF1"/>
    <w:rsid w:val="00F657B0"/>
    <w:rsid w:val="00F66DA0"/>
    <w:rsid w:val="00F700B6"/>
    <w:rsid w:val="00F70D3A"/>
    <w:rsid w:val="00F7227B"/>
    <w:rsid w:val="00F75C6B"/>
    <w:rsid w:val="00F85C1B"/>
    <w:rsid w:val="00F90974"/>
    <w:rsid w:val="00F9220B"/>
    <w:rsid w:val="00F934B6"/>
    <w:rsid w:val="00F94A1F"/>
    <w:rsid w:val="00F95DDC"/>
    <w:rsid w:val="00F9700C"/>
    <w:rsid w:val="00F979B2"/>
    <w:rsid w:val="00F97D36"/>
    <w:rsid w:val="00FA0B3A"/>
    <w:rsid w:val="00FA2B3E"/>
    <w:rsid w:val="00FA449A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EEA5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4CBA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DA79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Hlavika">
    <w:name w:val="Hlavička"/>
    <w:basedOn w:val="Zkladntext"/>
    <w:link w:val="HlavikaChar"/>
    <w:qFormat/>
    <w:rsid w:val="000A5B2B"/>
    <w:pPr>
      <w:jc w:val="both"/>
    </w:pPr>
    <w:rPr>
      <w:rFonts w:ascii="Segoe UI" w:hAnsi="Segoe UI"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0A5B2B"/>
    <w:rPr>
      <w:rFonts w:ascii="Segoe UI" w:hAnsi="Segoe UI" w:cs="Segoe UI"/>
      <w:b/>
    </w:rPr>
  </w:style>
  <w:style w:type="character" w:customStyle="1" w:styleId="HlavikaChar">
    <w:name w:val="Hlavička Char"/>
    <w:basedOn w:val="ZkladntextChar"/>
    <w:link w:val="Hlavika"/>
    <w:rsid w:val="000A5B2B"/>
    <w:rPr>
      <w:rFonts w:ascii="Segoe UI" w:hAnsi="Segoe UI" w:cs="Segoe UI"/>
      <w:snapToGrid w:val="0"/>
      <w:color w:val="000000"/>
      <w:sz w:val="24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0A5B2B"/>
    <w:rPr>
      <w:rFonts w:ascii="Segoe UI" w:hAnsi="Segoe UI" w:cs="Segoe UI"/>
      <w:b/>
      <w:snapToGrid w:val="0"/>
      <w:color w:val="000000"/>
      <w:sz w:val="24"/>
    </w:rPr>
  </w:style>
  <w:style w:type="paragraph" w:customStyle="1" w:styleId="Bodsmlouvy">
    <w:name w:val="Bod smlouvy"/>
    <w:basedOn w:val="Zkladntext"/>
    <w:link w:val="BodsmlouvyChar"/>
    <w:qFormat/>
    <w:rsid w:val="008515C0"/>
    <w:pPr>
      <w:spacing w:after="120"/>
      <w:ind w:left="360" w:hanging="360"/>
      <w:jc w:val="both"/>
    </w:pPr>
    <w:rPr>
      <w:rFonts w:ascii="Segoe UI" w:hAnsi="Segoe UI" w:cs="Segoe UI"/>
    </w:rPr>
  </w:style>
  <w:style w:type="character" w:customStyle="1" w:styleId="BodsmlouvyChar">
    <w:name w:val="Bod smlouvy Char"/>
    <w:basedOn w:val="ZkladntextChar"/>
    <w:link w:val="Bodsmlouvy"/>
    <w:rsid w:val="008515C0"/>
    <w:rPr>
      <w:rFonts w:ascii="Segoe UI" w:hAnsi="Segoe UI" w:cs="Segoe UI"/>
      <w:snapToGrid w:val="0"/>
      <w:color w:val="000000"/>
      <w:sz w:val="24"/>
    </w:rPr>
  </w:style>
  <w:style w:type="paragraph" w:customStyle="1" w:styleId="Textvbuce">
    <w:name w:val="Text v buňce"/>
    <w:basedOn w:val="Zkladntext"/>
    <w:link w:val="TextvbuceChar"/>
    <w:qFormat/>
    <w:rsid w:val="008515C0"/>
    <w:pPr>
      <w:spacing w:before="120" w:after="120"/>
      <w:jc w:val="center"/>
    </w:pPr>
    <w:rPr>
      <w:rFonts w:ascii="Segoe UI" w:hAnsi="Segoe UI" w:cs="Segoe UI"/>
    </w:rPr>
  </w:style>
  <w:style w:type="character" w:customStyle="1" w:styleId="TextvbuceChar">
    <w:name w:val="Text v buňce Char"/>
    <w:basedOn w:val="ZkladntextChar"/>
    <w:link w:val="Textvbuce"/>
    <w:rsid w:val="008515C0"/>
    <w:rPr>
      <w:rFonts w:ascii="Segoe UI" w:hAnsi="Segoe UI" w:cs="Segoe UI"/>
      <w:snapToGrid w:val="0"/>
      <w:color w:val="000000"/>
      <w:sz w:val="24"/>
    </w:rPr>
  </w:style>
  <w:style w:type="character" w:customStyle="1" w:styleId="preformatted">
    <w:name w:val="preformatted"/>
    <w:basedOn w:val="Standardnpsmoodstavce"/>
    <w:rsid w:val="000B0357"/>
  </w:style>
  <w:style w:type="character" w:customStyle="1" w:styleId="nowrap">
    <w:name w:val="nowrap"/>
    <w:basedOn w:val="Standardnpsmoodstavce"/>
    <w:rsid w:val="000B0357"/>
  </w:style>
  <w:style w:type="paragraph" w:customStyle="1" w:styleId="Nzevakce">
    <w:name w:val="Název akce"/>
    <w:basedOn w:val="Zkladntext"/>
    <w:link w:val="NzevakceChar"/>
    <w:qFormat/>
    <w:rsid w:val="00F9220B"/>
    <w:pPr>
      <w:spacing w:before="120" w:after="120"/>
      <w:ind w:left="284" w:hanging="284"/>
      <w:jc w:val="center"/>
    </w:pPr>
    <w:rPr>
      <w:rFonts w:ascii="Segoe UI" w:hAnsi="Segoe UI" w:cs="Segoe UI"/>
      <w:b/>
    </w:rPr>
  </w:style>
  <w:style w:type="paragraph" w:customStyle="1" w:styleId="Bodsmlouvy-pokraovnprosthotextu">
    <w:name w:val="Bod smlouvy - pokračování prostého textu"/>
    <w:basedOn w:val="Zkladntext"/>
    <w:link w:val="Bodsmlouvy-pokraovnprosthotextuChar"/>
    <w:qFormat/>
    <w:rsid w:val="00F9220B"/>
    <w:pPr>
      <w:spacing w:after="120"/>
      <w:ind w:left="284"/>
    </w:pPr>
    <w:rPr>
      <w:rFonts w:ascii="Segoe UI" w:hAnsi="Segoe UI" w:cs="Segoe UI"/>
    </w:rPr>
  </w:style>
  <w:style w:type="character" w:customStyle="1" w:styleId="NzevakceChar">
    <w:name w:val="Název akce Char"/>
    <w:basedOn w:val="ZkladntextChar"/>
    <w:link w:val="Nzevakce"/>
    <w:rsid w:val="00F9220B"/>
    <w:rPr>
      <w:rFonts w:ascii="Segoe UI" w:hAnsi="Segoe UI" w:cs="Segoe UI"/>
      <w:b/>
      <w:snapToGrid w:val="0"/>
      <w:color w:val="000000"/>
      <w:sz w:val="24"/>
    </w:rPr>
  </w:style>
  <w:style w:type="character" w:customStyle="1" w:styleId="Bodsmlouvy-pokraovnprosthotextuChar">
    <w:name w:val="Bod smlouvy - pokračování prostého textu Char"/>
    <w:basedOn w:val="ZkladntextChar"/>
    <w:link w:val="Bodsmlouvy-pokraovnprosthotextu"/>
    <w:rsid w:val="00F9220B"/>
    <w:rPr>
      <w:rFonts w:ascii="Segoe UI" w:hAnsi="Segoe UI" w:cs="Segoe UI"/>
      <w:snapToGrid w:val="0"/>
      <w:color w:val="000000"/>
      <w:sz w:val="24"/>
    </w:rPr>
  </w:style>
  <w:style w:type="paragraph" w:customStyle="1" w:styleId="vodnnadpissmlouvy">
    <w:name w:val="Úvodní nadpis smlouvy"/>
    <w:basedOn w:val="Zkladntext"/>
    <w:link w:val="vodnnadpissmlouvyChar"/>
    <w:qFormat/>
    <w:rsid w:val="00634FC7"/>
    <w:pPr>
      <w:jc w:val="center"/>
    </w:pPr>
    <w:rPr>
      <w:rFonts w:ascii="Segoe UI" w:hAnsi="Segoe UI" w:cs="Segoe UI"/>
      <w:color w:val="808080" w:themeColor="background1" w:themeShade="80"/>
      <w:sz w:val="32"/>
      <w:szCs w:val="32"/>
    </w:rPr>
  </w:style>
  <w:style w:type="character" w:customStyle="1" w:styleId="vodnnadpissmlouvyChar">
    <w:name w:val="Úvodní nadpis smlouvy Char"/>
    <w:basedOn w:val="ZkladntextChar"/>
    <w:link w:val="vodnnadpissmlouvy"/>
    <w:rsid w:val="00634FC7"/>
    <w:rPr>
      <w:rFonts w:ascii="Segoe UI" w:hAnsi="Segoe UI" w:cs="Segoe UI"/>
      <w:snapToGrid w:val="0"/>
      <w:color w:val="808080" w:themeColor="background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zp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p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zp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C6F5-2A33-40A7-8295-57CADF08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1103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7602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2024-10-24T11:47:00Z</cp:lastPrinted>
  <dcterms:created xsi:type="dcterms:W3CDTF">2026-04-28T07:57:00Z</dcterms:created>
  <dcterms:modified xsi:type="dcterms:W3CDTF">2026-04-28T07:57:00Z</dcterms:modified>
</cp:coreProperties>
</file>