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0E" w:rsidRPr="00EA7E70" w:rsidRDefault="00760D35" w:rsidP="00EA7E70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6336EB">
        <w:rPr>
          <w:b/>
          <w:caps/>
          <w:spacing w:val="36"/>
          <w:szCs w:val="24"/>
        </w:rPr>
        <w:t>SMLOUVA O Z</w:t>
      </w:r>
      <w:r w:rsidR="006336EB" w:rsidRPr="006336EB">
        <w:rPr>
          <w:b/>
          <w:caps/>
          <w:spacing w:val="36"/>
          <w:szCs w:val="24"/>
        </w:rPr>
        <w:t xml:space="preserve">ajištění </w:t>
      </w:r>
      <w:r w:rsidR="00EA7E70">
        <w:rPr>
          <w:b/>
          <w:caps/>
          <w:spacing w:val="36"/>
          <w:szCs w:val="24"/>
        </w:rPr>
        <w:t>akcí – roadshow pro seniory</w:t>
      </w:r>
      <w:r w:rsidR="0013033E">
        <w:rPr>
          <w:b/>
          <w:caps/>
          <w:spacing w:val="36"/>
          <w:szCs w:val="24"/>
        </w:rPr>
        <w:t xml:space="preserve"> </w:t>
      </w:r>
    </w:p>
    <w:p w:rsidR="00E5568B" w:rsidRPr="00E824A3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5A6115" w:rsidRPr="00503EF6" w:rsidRDefault="005A6115" w:rsidP="005A6115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:rsidR="005A6115" w:rsidRPr="00503EF6" w:rsidRDefault="005A6115" w:rsidP="00C0348E">
      <w:pPr>
        <w:keepNext/>
        <w:widowControl w:val="0"/>
        <w:tabs>
          <w:tab w:val="left" w:pos="1701"/>
        </w:tabs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C0348E">
        <w:rPr>
          <w:rFonts w:cs="Arial"/>
          <w:sz w:val="20"/>
        </w:rPr>
        <w:t>e sídlem:</w:t>
      </w:r>
      <w:r w:rsidR="00C0348E">
        <w:rPr>
          <w:rFonts w:cs="Arial"/>
          <w:sz w:val="20"/>
        </w:rPr>
        <w:tab/>
      </w:r>
      <w:r w:rsidRPr="00503EF6">
        <w:rPr>
          <w:rFonts w:cs="Arial"/>
          <w:sz w:val="20"/>
        </w:rPr>
        <w:t>Na Poříčním právu 376/1, 128 01 Praha 2</w:t>
      </w:r>
    </w:p>
    <w:p w:rsidR="005A6115" w:rsidRDefault="005A6115" w:rsidP="00C0348E">
      <w:pPr>
        <w:tabs>
          <w:tab w:val="left" w:pos="1701"/>
        </w:tabs>
        <w:spacing w:line="280" w:lineRule="atLeast"/>
        <w:ind w:left="1701" w:right="23" w:hanging="1701"/>
        <w:jc w:val="both"/>
        <w:rPr>
          <w:rFonts w:cs="Arial"/>
          <w:bCs/>
        </w:rPr>
      </w:pPr>
      <w:r w:rsidRPr="00C12979">
        <w:rPr>
          <w:rFonts w:cs="Arial"/>
          <w:sz w:val="20"/>
        </w:rPr>
        <w:t xml:space="preserve">zastoupena: </w:t>
      </w:r>
      <w:r w:rsidRPr="00C12979">
        <w:rPr>
          <w:rFonts w:cs="Arial"/>
          <w:sz w:val="20"/>
        </w:rPr>
        <w:tab/>
      </w:r>
      <w:r w:rsidR="00C0348E">
        <w:rPr>
          <w:rFonts w:cs="Arial"/>
          <w:sz w:val="20"/>
        </w:rPr>
        <w:t>Dipl.-Pol. Janou Maláčovou</w:t>
      </w:r>
      <w:r>
        <w:rPr>
          <w:rFonts w:cs="Arial"/>
          <w:sz w:val="20"/>
        </w:rPr>
        <w:t xml:space="preserve"> MSc.</w:t>
      </w:r>
      <w:r w:rsidRPr="004261B5">
        <w:rPr>
          <w:rFonts w:cs="Arial"/>
          <w:sz w:val="20"/>
        </w:rPr>
        <w:t xml:space="preserve">, </w:t>
      </w:r>
      <w:r w:rsidR="00C0348E">
        <w:rPr>
          <w:rFonts w:cs="Arial"/>
          <w:sz w:val="20"/>
        </w:rPr>
        <w:t>ředitelkou</w:t>
      </w:r>
      <w:r w:rsidRPr="004261B5">
        <w:rPr>
          <w:rFonts w:cs="Arial"/>
          <w:sz w:val="20"/>
        </w:rPr>
        <w:t xml:space="preserve"> odboru </w:t>
      </w:r>
      <w:r>
        <w:rPr>
          <w:rFonts w:cs="Arial"/>
          <w:sz w:val="20"/>
        </w:rPr>
        <w:t>rodinné politiky a politiky stárnutí</w:t>
      </w:r>
    </w:p>
    <w:p w:rsidR="005A6115" w:rsidRDefault="005A6115" w:rsidP="00C0348E">
      <w:pPr>
        <w:tabs>
          <w:tab w:val="left" w:pos="1701"/>
        </w:tabs>
        <w:spacing w:line="280" w:lineRule="atLeast"/>
        <w:ind w:right="23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IČO</w:t>
      </w:r>
      <w:r>
        <w:rPr>
          <w:rFonts w:cs="Arial"/>
          <w:sz w:val="20"/>
        </w:rPr>
        <w:t xml:space="preserve">:  </w:t>
      </w:r>
      <w:r>
        <w:rPr>
          <w:rFonts w:cs="Arial"/>
          <w:sz w:val="20"/>
        </w:rPr>
        <w:tab/>
      </w:r>
      <w:r w:rsidRPr="00503EF6">
        <w:rPr>
          <w:rFonts w:cs="Arial"/>
          <w:sz w:val="20"/>
        </w:rPr>
        <w:t>00551023</w:t>
      </w:r>
    </w:p>
    <w:p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503EF6" w:rsidRDefault="00C0348E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0348E">
        <w:rPr>
          <w:rFonts w:ascii="Arial" w:hAnsi="Arial" w:cs="Arial"/>
          <w:b/>
          <w:sz w:val="20"/>
          <w:szCs w:val="20"/>
        </w:rPr>
        <w:t>Omnis</w:t>
      </w:r>
      <w:proofErr w:type="spellEnd"/>
      <w:r w:rsidRPr="00C0348E">
        <w:rPr>
          <w:rFonts w:ascii="Arial" w:hAnsi="Arial" w:cs="Arial"/>
          <w:b/>
          <w:sz w:val="20"/>
          <w:szCs w:val="20"/>
        </w:rPr>
        <w:t xml:space="preserve"> Olomouc, a.s.</w:t>
      </w:r>
    </w:p>
    <w:p w:rsidR="0040380E" w:rsidRPr="00503EF6" w:rsidRDefault="000052CB" w:rsidP="00EE2B63">
      <w:pPr>
        <w:pStyle w:val="RLdajeosmluvnstran"/>
        <w:widowControl w:val="0"/>
        <w:tabs>
          <w:tab w:val="left" w:pos="1701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="00C0348E" w:rsidRPr="00C0348E">
        <w:rPr>
          <w:rFonts w:ascii="Arial" w:hAnsi="Arial" w:cs="Arial"/>
          <w:sz w:val="20"/>
          <w:szCs w:val="20"/>
        </w:rPr>
        <w:t>Horní Lán 1310/10a, 779</w:t>
      </w:r>
      <w:r w:rsidR="00C0348E">
        <w:rPr>
          <w:rFonts w:ascii="Arial" w:hAnsi="Arial" w:cs="Arial"/>
          <w:sz w:val="20"/>
          <w:szCs w:val="20"/>
        </w:rPr>
        <w:t xml:space="preserve"> </w:t>
      </w:r>
      <w:r w:rsidR="00C0348E" w:rsidRPr="00C0348E">
        <w:rPr>
          <w:rFonts w:ascii="Arial" w:hAnsi="Arial" w:cs="Arial"/>
          <w:sz w:val="20"/>
          <w:szCs w:val="20"/>
        </w:rPr>
        <w:t xml:space="preserve">00 Olomouc </w:t>
      </w:r>
      <w:r w:rsidR="00C0348E">
        <w:rPr>
          <w:rFonts w:ascii="Arial" w:hAnsi="Arial" w:cs="Arial"/>
          <w:sz w:val="20"/>
          <w:szCs w:val="20"/>
        </w:rPr>
        <w:t>–</w:t>
      </w:r>
      <w:r w:rsidR="00C0348E" w:rsidRPr="00C0348E">
        <w:rPr>
          <w:rFonts w:ascii="Arial" w:hAnsi="Arial" w:cs="Arial"/>
          <w:sz w:val="20"/>
          <w:szCs w:val="20"/>
        </w:rPr>
        <w:t xml:space="preserve"> Nová Ulic</w:t>
      </w:r>
      <w:r w:rsidR="00C0348E">
        <w:rPr>
          <w:rFonts w:ascii="Arial" w:hAnsi="Arial" w:cs="Arial"/>
          <w:sz w:val="20"/>
          <w:szCs w:val="20"/>
        </w:rPr>
        <w:t>e</w:t>
      </w:r>
    </w:p>
    <w:p w:rsidR="0040380E" w:rsidRPr="00503EF6" w:rsidRDefault="0040380E" w:rsidP="00EE2B63">
      <w:pPr>
        <w:pStyle w:val="RLdajeosmluvnstran"/>
        <w:widowControl w:val="0"/>
        <w:tabs>
          <w:tab w:val="left" w:pos="1701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IČ</w:t>
      </w:r>
      <w:r w:rsidR="00EC33C5" w:rsidRPr="00503EF6">
        <w:rPr>
          <w:rFonts w:ascii="Arial" w:hAnsi="Arial" w:cs="Arial"/>
          <w:sz w:val="20"/>
          <w:szCs w:val="20"/>
        </w:rPr>
        <w:t>O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EE2B63">
        <w:rPr>
          <w:rFonts w:ascii="Arial" w:hAnsi="Arial" w:cs="Arial"/>
          <w:sz w:val="20"/>
          <w:szCs w:val="20"/>
        </w:rPr>
        <w:tab/>
      </w:r>
      <w:r w:rsidR="00C0348E" w:rsidRPr="00C0348E">
        <w:rPr>
          <w:rFonts w:ascii="Arial" w:hAnsi="Arial" w:cs="Arial"/>
          <w:sz w:val="20"/>
          <w:szCs w:val="20"/>
        </w:rPr>
        <w:t>25844822</w:t>
      </w:r>
    </w:p>
    <w:p w:rsidR="0040380E" w:rsidRPr="00503EF6" w:rsidRDefault="00EE2B63" w:rsidP="00EE2B63">
      <w:pPr>
        <w:pStyle w:val="RLdajeosmluvnstran"/>
        <w:widowControl w:val="0"/>
        <w:tabs>
          <w:tab w:val="left" w:pos="1701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 w:rsidR="00C0348E">
        <w:rPr>
          <w:rFonts w:ascii="Arial" w:hAnsi="Arial" w:cs="Arial"/>
          <w:sz w:val="20"/>
          <w:szCs w:val="20"/>
        </w:rPr>
        <w:t>CZ</w:t>
      </w:r>
      <w:r w:rsidR="00C0348E" w:rsidRPr="00C0348E">
        <w:rPr>
          <w:rFonts w:ascii="Arial" w:hAnsi="Arial" w:cs="Arial"/>
          <w:sz w:val="20"/>
          <w:szCs w:val="20"/>
        </w:rPr>
        <w:t>25844822</w:t>
      </w:r>
    </w:p>
    <w:p w:rsidR="000C0096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C0348E">
        <w:rPr>
          <w:rFonts w:ascii="Arial" w:hAnsi="Arial" w:cs="Arial"/>
          <w:sz w:val="20"/>
          <w:szCs w:val="20"/>
        </w:rPr>
        <w:t>KS v Ostravě</w:t>
      </w:r>
      <w:r w:rsidR="00812BE7" w:rsidRPr="00503EF6">
        <w:rPr>
          <w:rFonts w:ascii="Arial" w:hAnsi="Arial" w:cs="Arial"/>
          <w:sz w:val="20"/>
          <w:szCs w:val="20"/>
        </w:rPr>
        <w:t>,</w:t>
      </w:r>
      <w:r w:rsidR="00C0348E">
        <w:rPr>
          <w:rFonts w:ascii="Arial" w:hAnsi="Arial" w:cs="Arial"/>
          <w:sz w:val="20"/>
          <w:szCs w:val="20"/>
        </w:rPr>
        <w:t xml:space="preserve"> oddíl B, vložka 2218</w:t>
      </w:r>
    </w:p>
    <w:p w:rsidR="0040380E" w:rsidRPr="00503EF6" w:rsidRDefault="00994791" w:rsidP="00EE2B63">
      <w:pPr>
        <w:pStyle w:val="RLdajeosmluvnstran"/>
        <w:widowControl w:val="0"/>
        <w:tabs>
          <w:tab w:val="left" w:pos="1701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b</w:t>
      </w:r>
      <w:r w:rsidR="000052CB">
        <w:rPr>
          <w:rFonts w:ascii="Arial" w:hAnsi="Arial" w:cs="Arial"/>
          <w:sz w:val="20"/>
          <w:szCs w:val="20"/>
        </w:rPr>
        <w:t xml:space="preserve">ank. </w:t>
      </w:r>
      <w:proofErr w:type="gramStart"/>
      <w:r w:rsidR="000052CB">
        <w:rPr>
          <w:rFonts w:ascii="Arial" w:hAnsi="Arial" w:cs="Arial"/>
          <w:sz w:val="20"/>
          <w:szCs w:val="20"/>
        </w:rPr>
        <w:t>spojení</w:t>
      </w:r>
      <w:proofErr w:type="gramEnd"/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</w:p>
    <w:p w:rsidR="00ED19D1" w:rsidRPr="00503EF6" w:rsidRDefault="00EE2B63" w:rsidP="00EE2B63">
      <w:pPr>
        <w:pStyle w:val="RLdajeosmluvnstran"/>
        <w:widowControl w:val="0"/>
        <w:tabs>
          <w:tab w:val="left" w:pos="1701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</w:p>
    <w:p w:rsidR="00EA168A" w:rsidRDefault="00994791" w:rsidP="00EE2B63">
      <w:pPr>
        <w:pStyle w:val="RLdajeosmluvnstran"/>
        <w:widowControl w:val="0"/>
        <w:tabs>
          <w:tab w:val="left" w:pos="1701"/>
        </w:tabs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C0348E">
        <w:rPr>
          <w:rFonts w:ascii="Arial" w:hAnsi="Arial" w:cs="Arial"/>
          <w:sz w:val="20"/>
          <w:szCs w:val="20"/>
        </w:rPr>
        <w:t>Ing. Danielem Vaverkou, statutárním ředitelem</w:t>
      </w:r>
    </w:p>
    <w:p w:rsidR="007B50F5" w:rsidRPr="007B50F5" w:rsidRDefault="007B50F5" w:rsidP="00EE2B63">
      <w:pPr>
        <w:pStyle w:val="RLdajeosmluvnstran"/>
        <w:widowControl w:val="0"/>
        <w:tabs>
          <w:tab w:val="left" w:pos="1701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B50F5">
        <w:rPr>
          <w:rFonts w:ascii="Arial" w:hAnsi="Arial" w:cs="Arial"/>
          <w:sz w:val="20"/>
          <w:szCs w:val="20"/>
        </w:rPr>
        <w:t xml:space="preserve">datová schránka: </w:t>
      </w:r>
      <w:r w:rsidR="00EE2B63">
        <w:rPr>
          <w:rFonts w:ascii="Arial" w:hAnsi="Arial" w:cs="Arial"/>
          <w:sz w:val="20"/>
          <w:szCs w:val="20"/>
        </w:rPr>
        <w:tab/>
      </w:r>
      <w:r w:rsidR="00C0348E">
        <w:rPr>
          <w:rFonts w:ascii="Arial" w:hAnsi="Arial" w:cs="Arial"/>
          <w:sz w:val="20"/>
          <w:szCs w:val="20"/>
        </w:rPr>
        <w:t>uog4ch</w:t>
      </w:r>
    </w:p>
    <w:p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EA7E70">
        <w:rPr>
          <w:rFonts w:cs="Arial"/>
          <w:sz w:val="20"/>
        </w:rPr>
        <w:t>akcí</w:t>
      </w:r>
      <w:r w:rsidR="000E4010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:rsidR="00E5568B" w:rsidRPr="00BA1BF3" w:rsidRDefault="00E5568B" w:rsidP="007B3DC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D24534">
        <w:rPr>
          <w:rFonts w:cs="Arial"/>
          <w:sz w:val="20"/>
          <w:lang w:eastAsia="en-US"/>
        </w:rPr>
        <w:t xml:space="preserve">pod názvem </w:t>
      </w:r>
      <w:r w:rsidR="00850A15" w:rsidRPr="00BA1BF3">
        <w:rPr>
          <w:rFonts w:cs="Arial"/>
          <w:b/>
          <w:i/>
          <w:sz w:val="20"/>
          <w:lang w:eastAsia="en-US"/>
        </w:rPr>
        <w:t>„</w:t>
      </w:r>
      <w:r w:rsidR="00FE3969">
        <w:rPr>
          <w:rFonts w:cs="Arial"/>
          <w:b/>
          <w:i/>
          <w:sz w:val="20"/>
          <w:lang w:eastAsia="en-US"/>
        </w:rPr>
        <w:t>DNS 0</w:t>
      </w:r>
      <w:r w:rsidR="0018449A">
        <w:rPr>
          <w:rFonts w:cs="Arial"/>
          <w:b/>
          <w:i/>
          <w:sz w:val="20"/>
          <w:lang w:eastAsia="en-US"/>
        </w:rPr>
        <w:t>3</w:t>
      </w:r>
      <w:r w:rsidR="00FE3969">
        <w:rPr>
          <w:rFonts w:cs="Arial"/>
          <w:b/>
          <w:i/>
          <w:sz w:val="20"/>
          <w:lang w:eastAsia="en-US"/>
        </w:rPr>
        <w:t xml:space="preserve"> (201</w:t>
      </w:r>
      <w:r w:rsidR="004261B5">
        <w:rPr>
          <w:rFonts w:cs="Arial"/>
          <w:b/>
          <w:i/>
          <w:sz w:val="20"/>
          <w:lang w:eastAsia="en-US"/>
        </w:rPr>
        <w:t>7</w:t>
      </w:r>
      <w:r w:rsidR="00FE3969">
        <w:rPr>
          <w:rFonts w:cs="Arial"/>
          <w:b/>
          <w:i/>
          <w:sz w:val="20"/>
          <w:lang w:eastAsia="en-US"/>
        </w:rPr>
        <w:t>/</w:t>
      </w:r>
      <w:r w:rsidR="0053627E">
        <w:rPr>
          <w:rFonts w:cs="Arial"/>
          <w:b/>
          <w:i/>
          <w:sz w:val="20"/>
          <w:lang w:eastAsia="en-US"/>
        </w:rPr>
        <w:t>27</w:t>
      </w:r>
      <w:r w:rsidR="00BA1BF3" w:rsidRPr="00BA1BF3">
        <w:rPr>
          <w:rFonts w:cs="Arial"/>
          <w:b/>
          <w:i/>
          <w:sz w:val="20"/>
          <w:lang w:eastAsia="en-US"/>
        </w:rPr>
        <w:t xml:space="preserve">) </w:t>
      </w:r>
      <w:r w:rsidR="00EA7E70">
        <w:rPr>
          <w:rFonts w:cs="Arial"/>
          <w:b/>
          <w:i/>
          <w:sz w:val="20"/>
          <w:lang w:eastAsia="en-US"/>
        </w:rPr>
        <w:t>- Seniorská roadshow</w:t>
      </w:r>
      <w:r w:rsidR="00850A15" w:rsidRPr="00CE1B64">
        <w:rPr>
          <w:rFonts w:cs="Arial"/>
          <w:b/>
          <w:sz w:val="20"/>
          <w:lang w:eastAsia="en-US"/>
        </w:rPr>
        <w:t>“</w:t>
      </w:r>
      <w:r w:rsidRPr="002479EB">
        <w:rPr>
          <w:rFonts w:cs="Arial"/>
          <w:sz w:val="20"/>
          <w:lang w:eastAsia="en-US"/>
        </w:rPr>
        <w:t xml:space="preserve"> </w:t>
      </w:r>
      <w:r w:rsidR="001C0773" w:rsidRPr="002479EB">
        <w:rPr>
          <w:rFonts w:cs="Arial"/>
          <w:sz w:val="20"/>
          <w:lang w:eastAsia="en-US"/>
        </w:rPr>
        <w:t>(dále jen</w:t>
      </w:r>
      <w:r w:rsidR="001C0773" w:rsidRPr="00BA1BF3">
        <w:rPr>
          <w:rFonts w:cs="Arial"/>
          <w:sz w:val="20"/>
          <w:lang w:eastAsia="en-US"/>
        </w:rPr>
        <w:t xml:space="preserve"> „Veřejná zakázka“)</w:t>
      </w:r>
      <w:r w:rsidR="00E95F0F">
        <w:rPr>
          <w:rFonts w:cs="Arial"/>
          <w:sz w:val="20"/>
          <w:lang w:eastAsia="en-US"/>
        </w:rPr>
        <w:t xml:space="preserve">.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</w:t>
      </w:r>
      <w:r w:rsidR="008B0AD6">
        <w:rPr>
          <w:rFonts w:cs="Arial"/>
          <w:sz w:val="20"/>
          <w:lang w:eastAsia="en-US"/>
        </w:rPr>
        <w:t xml:space="preserve"> souladu </w:t>
      </w:r>
      <w:r w:rsidRPr="00E032A5">
        <w:rPr>
          <w:rFonts w:cs="Arial"/>
          <w:sz w:val="20"/>
          <w:lang w:eastAsia="en-US"/>
        </w:rPr>
        <w:t xml:space="preserve">se zadávacími podmínkami veřejné zakázky, nabídku ze dne </w:t>
      </w:r>
      <w:r w:rsidR="00E032A5" w:rsidRPr="00E032A5">
        <w:rPr>
          <w:rFonts w:cs="Arial"/>
          <w:sz w:val="20"/>
          <w:lang w:eastAsia="en-US"/>
        </w:rPr>
        <w:t>18. 8.</w:t>
      </w:r>
      <w:r w:rsidRPr="00E032A5">
        <w:rPr>
          <w:rFonts w:cs="Arial"/>
          <w:sz w:val="20"/>
          <w:lang w:eastAsia="en-US"/>
        </w:rPr>
        <w:t xml:space="preserve"> </w:t>
      </w:r>
      <w:r w:rsidR="00364D86" w:rsidRPr="00E032A5">
        <w:rPr>
          <w:rFonts w:cs="Arial"/>
          <w:sz w:val="20"/>
          <w:lang w:eastAsia="en-US"/>
        </w:rPr>
        <w:t xml:space="preserve">2017 </w:t>
      </w:r>
      <w:r w:rsidRPr="00E032A5">
        <w:rPr>
          <w:rFonts w:cs="Arial"/>
          <w:sz w:val="20"/>
          <w:lang w:eastAsia="en-US"/>
        </w:rPr>
        <w:t>(dále jen „Nabídka“)</w:t>
      </w:r>
      <w:r w:rsidR="00E032A5">
        <w:rPr>
          <w:rFonts w:cs="Arial"/>
          <w:sz w:val="20"/>
          <w:lang w:eastAsia="en-US"/>
        </w:rPr>
        <w:br/>
      </w:r>
      <w:r w:rsidRPr="00E032A5">
        <w:rPr>
          <w:rFonts w:cs="Arial"/>
          <w:sz w:val="20"/>
          <w:lang w:eastAsia="en-US"/>
        </w:rPr>
        <w:t>a</w:t>
      </w:r>
      <w:r w:rsidRPr="00BA1BF3">
        <w:rPr>
          <w:rFonts w:cs="Arial"/>
          <w:sz w:val="20"/>
          <w:lang w:eastAsia="en-US"/>
        </w:rPr>
        <w:t xml:space="preserve"> tato byla pro plnění veřejné zakázky vybrána jako nejvhodnější. V návaznosti na tuto skutečnost se smluvní strany dohodly na uzavření této Smlouvy.</w:t>
      </w:r>
    </w:p>
    <w:p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:rsidR="00C6778F" w:rsidRPr="00503EF6" w:rsidRDefault="00C6778F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bookmarkEnd w:id="1"/>
    <w:p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E610A3">
        <w:rPr>
          <w:rFonts w:cs="Arial"/>
          <w:iCs/>
          <w:sz w:val="20"/>
          <w:szCs w:val="20"/>
        </w:rPr>
        <w:t>8</w:t>
      </w:r>
      <w:r w:rsidR="00E824A3">
        <w:rPr>
          <w:rFonts w:cs="Arial"/>
          <w:iCs/>
          <w:sz w:val="20"/>
          <w:szCs w:val="20"/>
        </w:rPr>
        <w:t xml:space="preserve"> (</w:t>
      </w:r>
      <w:r w:rsidR="00E610A3">
        <w:rPr>
          <w:rFonts w:cs="Arial"/>
          <w:iCs/>
          <w:sz w:val="20"/>
          <w:szCs w:val="20"/>
        </w:rPr>
        <w:t>osm</w:t>
      </w:r>
      <w:r w:rsidR="00E824A3">
        <w:rPr>
          <w:rFonts w:cs="Arial"/>
          <w:iCs/>
          <w:sz w:val="20"/>
          <w:szCs w:val="20"/>
        </w:rPr>
        <w:t xml:space="preserve">) </w:t>
      </w:r>
      <w:r w:rsidR="00E610A3">
        <w:rPr>
          <w:rFonts w:cs="Arial"/>
          <w:iCs/>
          <w:sz w:val="20"/>
          <w:szCs w:val="20"/>
        </w:rPr>
        <w:t>akcí</w:t>
      </w:r>
      <w:r w:rsidR="00E15F50">
        <w:rPr>
          <w:rFonts w:cs="Arial"/>
          <w:iCs/>
          <w:sz w:val="20"/>
          <w:szCs w:val="20"/>
        </w:rPr>
        <w:t xml:space="preserve">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E824A3">
        <w:rPr>
          <w:rFonts w:cs="Arial"/>
          <w:iCs/>
          <w:sz w:val="20"/>
          <w:szCs w:val="20"/>
        </w:rPr>
        <w:t>Seminář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článku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:rsidR="00C6778F" w:rsidRPr="009B6D08" w:rsidRDefault="00C6778F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2" w:name="_Ref359941196"/>
    </w:p>
    <w:p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:rsidR="002447B7" w:rsidRPr="00D00773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>, je</w:t>
      </w:r>
      <w:r w:rsidR="00EA0A87">
        <w:rPr>
          <w:rFonts w:cs="Arial"/>
          <w:sz w:val="20"/>
          <w:szCs w:val="20"/>
        </w:rPr>
        <w:t xml:space="preserve"> Mgr. Kateřina Kňapová</w:t>
      </w:r>
      <w:r w:rsidR="00E55A0D">
        <w:rPr>
          <w:rFonts w:cs="Arial"/>
          <w:sz w:val="20"/>
          <w:szCs w:val="20"/>
        </w:rPr>
        <w:t>,</w:t>
      </w:r>
      <w:r w:rsidRPr="00D00773">
        <w:rPr>
          <w:rFonts w:cs="Arial"/>
          <w:sz w:val="20"/>
          <w:szCs w:val="20"/>
        </w:rPr>
        <w:t xml:space="preserve"> </w:t>
      </w:r>
      <w:proofErr w:type="gramStart"/>
      <w:r w:rsidRPr="005C4323">
        <w:rPr>
          <w:rFonts w:cs="Arial"/>
          <w:sz w:val="20"/>
          <w:szCs w:val="20"/>
        </w:rPr>
        <w:t>e-mail:</w:t>
      </w:r>
      <w:r w:rsidR="000E4010" w:rsidRPr="00D00773">
        <w:rPr>
          <w:rFonts w:cs="Arial"/>
          <w:sz w:val="20"/>
          <w:szCs w:val="20"/>
        </w:rPr>
        <w:t>.</w:t>
      </w:r>
      <w:proofErr w:type="gramEnd"/>
      <w:r w:rsidR="00172967">
        <w:rPr>
          <w:rFonts w:cs="Arial"/>
          <w:sz w:val="20"/>
          <w:szCs w:val="20"/>
        </w:rPr>
        <w:t xml:space="preserve"> </w:t>
      </w:r>
      <w:r w:rsidR="00172967">
        <w:rPr>
          <w:rFonts w:cs="Arial"/>
          <w:sz w:val="20"/>
        </w:rPr>
        <w:t xml:space="preserve">Kontaktní osoba, která se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pohybovat na místě ve dnech pořádání </w:t>
      </w:r>
      <w:r w:rsidR="008867CE">
        <w:rPr>
          <w:rFonts w:cs="Arial"/>
          <w:sz w:val="20"/>
        </w:rPr>
        <w:t>akcí</w:t>
      </w:r>
      <w:r w:rsidR="00172967">
        <w:rPr>
          <w:rFonts w:cs="Arial"/>
          <w:sz w:val="20"/>
        </w:rPr>
        <w:t xml:space="preserve">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Dodavateli sdělena 14 dní před pořádáním </w:t>
      </w:r>
      <w:r w:rsidR="00ED5031">
        <w:rPr>
          <w:rFonts w:cs="Arial"/>
          <w:sz w:val="20"/>
        </w:rPr>
        <w:t>seminářů</w:t>
      </w:r>
      <w:r w:rsidR="00172967">
        <w:rPr>
          <w:rFonts w:cs="Arial"/>
          <w:sz w:val="20"/>
        </w:rPr>
        <w:t xml:space="preserve"> elektronickou poštou.</w:t>
      </w:r>
    </w:p>
    <w:p w:rsidR="002447B7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E032A5">
        <w:rPr>
          <w:rFonts w:cs="Arial"/>
          <w:sz w:val="20"/>
          <w:szCs w:val="20"/>
        </w:rPr>
        <w:t>Mgr. Petr Nasadil</w:t>
      </w:r>
      <w:r w:rsidRPr="00A428E7">
        <w:rPr>
          <w:rFonts w:cs="Arial"/>
          <w:i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</w:t>
      </w:r>
      <w:proofErr w:type="gramStart"/>
      <w:r w:rsidRPr="00A428E7">
        <w:rPr>
          <w:rFonts w:cs="Arial"/>
          <w:sz w:val="20"/>
          <w:szCs w:val="20"/>
        </w:rPr>
        <w:t>e-mail:.</w:t>
      </w:r>
      <w:proofErr w:type="gramEnd"/>
      <w:r w:rsidR="00ED5031" w:rsidRPr="00ED5031">
        <w:rPr>
          <w:rFonts w:cs="Arial"/>
          <w:sz w:val="20"/>
          <w:szCs w:val="20"/>
        </w:rPr>
        <w:t xml:space="preserve"> </w:t>
      </w:r>
      <w:r w:rsidR="00ED5031">
        <w:rPr>
          <w:rFonts w:cs="Arial"/>
          <w:sz w:val="20"/>
          <w:szCs w:val="20"/>
        </w:rPr>
        <w:t xml:space="preserve">Tato kontaktní osoba se bude pohybovat na místě ve dnech pořádání </w:t>
      </w:r>
      <w:r w:rsidR="00992CCB">
        <w:rPr>
          <w:rFonts w:cs="Arial"/>
          <w:sz w:val="20"/>
          <w:szCs w:val="20"/>
        </w:rPr>
        <w:t>akcí</w:t>
      </w:r>
      <w:r w:rsidR="00ED5031">
        <w:rPr>
          <w:rFonts w:cs="Arial"/>
          <w:sz w:val="20"/>
          <w:szCs w:val="20"/>
        </w:rPr>
        <w:t>.</w:t>
      </w:r>
    </w:p>
    <w:p w:rsidR="000C3D67" w:rsidRDefault="000C3D67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lastRenderedPageBreak/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:rsidR="00C6778F" w:rsidRDefault="003A085C" w:rsidP="00C6778F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right="23" w:hanging="567"/>
        <w:rPr>
          <w:rFonts w:cs="Arial"/>
          <w:sz w:val="20"/>
          <w:szCs w:val="20"/>
        </w:rPr>
      </w:pPr>
      <w:bookmarkStart w:id="3" w:name="_Ref259275753"/>
      <w:r w:rsidRPr="002A40F1">
        <w:rPr>
          <w:rFonts w:cs="Arial"/>
          <w:sz w:val="20"/>
          <w:szCs w:val="20"/>
        </w:rPr>
        <w:t xml:space="preserve">Místem plnění </w:t>
      </w:r>
      <w:bookmarkStart w:id="4" w:name="_Ref209935830"/>
      <w:r w:rsidR="00C6778F" w:rsidRPr="00C6778F">
        <w:rPr>
          <w:rFonts w:cs="Arial"/>
          <w:sz w:val="20"/>
          <w:szCs w:val="20"/>
        </w:rPr>
        <w:t xml:space="preserve">je Česká republika. </w:t>
      </w:r>
      <w:r w:rsidR="00C6778F">
        <w:rPr>
          <w:rFonts w:cs="Arial"/>
          <w:sz w:val="20"/>
          <w:szCs w:val="20"/>
        </w:rPr>
        <w:t xml:space="preserve">Akce se budou konat </w:t>
      </w:r>
      <w:r w:rsidR="00C6778F" w:rsidRPr="00C6778F">
        <w:rPr>
          <w:rFonts w:cs="Arial"/>
          <w:sz w:val="20"/>
          <w:szCs w:val="20"/>
        </w:rPr>
        <w:t>v 8 městech ve vybraných krajích ČR</w:t>
      </w:r>
      <w:r w:rsidR="00C6778F">
        <w:rPr>
          <w:rFonts w:cs="Arial"/>
          <w:sz w:val="20"/>
          <w:szCs w:val="20"/>
        </w:rPr>
        <w:t>:</w:t>
      </w:r>
    </w:p>
    <w:p w:rsidR="00C6778F" w:rsidRPr="00C6778F" w:rsidRDefault="00C6778F" w:rsidP="00C6778F">
      <w:pPr>
        <w:pStyle w:val="Odstavecseseznamem"/>
        <w:numPr>
          <w:ilvl w:val="0"/>
          <w:numId w:val="33"/>
        </w:numPr>
        <w:suppressAutoHyphens w:val="0"/>
        <w:overflowPunct/>
        <w:autoSpaceDE/>
        <w:spacing w:before="60" w:line="280" w:lineRule="atLeast"/>
        <w:ind w:left="1134" w:hanging="283"/>
        <w:textAlignment w:val="auto"/>
        <w:rPr>
          <w:rFonts w:cs="Arial"/>
          <w:sz w:val="20"/>
        </w:rPr>
      </w:pPr>
      <w:r w:rsidRPr="00C6778F">
        <w:rPr>
          <w:rFonts w:cs="Arial"/>
          <w:sz w:val="20"/>
        </w:rPr>
        <w:t>Jablonec nad Nisou - Liberecký kraj</w:t>
      </w:r>
    </w:p>
    <w:p w:rsidR="00C6778F" w:rsidRPr="00C6778F" w:rsidRDefault="00C6778F" w:rsidP="00C6778F">
      <w:pPr>
        <w:pStyle w:val="Odstavecseseznamem"/>
        <w:numPr>
          <w:ilvl w:val="0"/>
          <w:numId w:val="33"/>
        </w:numPr>
        <w:suppressAutoHyphens w:val="0"/>
        <w:overflowPunct/>
        <w:autoSpaceDE/>
        <w:spacing w:line="280" w:lineRule="atLeast"/>
        <w:ind w:left="1134" w:hanging="283"/>
        <w:textAlignment w:val="auto"/>
        <w:rPr>
          <w:rFonts w:cs="Arial"/>
          <w:sz w:val="20"/>
        </w:rPr>
      </w:pPr>
      <w:r w:rsidRPr="00C6778F">
        <w:rPr>
          <w:rFonts w:cs="Arial"/>
          <w:sz w:val="20"/>
        </w:rPr>
        <w:t>Nový Jičín - Moravskoslezský kraj</w:t>
      </w:r>
    </w:p>
    <w:p w:rsidR="00C6778F" w:rsidRPr="00C6778F" w:rsidRDefault="00C6778F" w:rsidP="00C6778F">
      <w:pPr>
        <w:pStyle w:val="Odstavecseseznamem"/>
        <w:numPr>
          <w:ilvl w:val="0"/>
          <w:numId w:val="33"/>
        </w:numPr>
        <w:suppressAutoHyphens w:val="0"/>
        <w:overflowPunct/>
        <w:autoSpaceDE/>
        <w:spacing w:line="280" w:lineRule="atLeast"/>
        <w:ind w:left="1134" w:hanging="283"/>
        <w:textAlignment w:val="auto"/>
        <w:rPr>
          <w:rFonts w:cs="Arial"/>
          <w:sz w:val="20"/>
        </w:rPr>
      </w:pPr>
      <w:r w:rsidRPr="00C6778F">
        <w:rPr>
          <w:rFonts w:cs="Arial"/>
          <w:sz w:val="20"/>
        </w:rPr>
        <w:t>Vyškov - Jihomoravský kraj</w:t>
      </w:r>
    </w:p>
    <w:p w:rsidR="00C6778F" w:rsidRPr="00C6778F" w:rsidRDefault="00C6778F" w:rsidP="00C6778F">
      <w:pPr>
        <w:pStyle w:val="Odstavecseseznamem"/>
        <w:numPr>
          <w:ilvl w:val="0"/>
          <w:numId w:val="33"/>
        </w:numPr>
        <w:suppressAutoHyphens w:val="0"/>
        <w:overflowPunct/>
        <w:autoSpaceDE/>
        <w:spacing w:line="280" w:lineRule="atLeast"/>
        <w:ind w:left="1134" w:hanging="283"/>
        <w:textAlignment w:val="auto"/>
        <w:rPr>
          <w:rFonts w:cs="Arial"/>
          <w:sz w:val="20"/>
        </w:rPr>
      </w:pPr>
      <w:r w:rsidRPr="00C6778F">
        <w:rPr>
          <w:rFonts w:cs="Arial"/>
          <w:sz w:val="20"/>
        </w:rPr>
        <w:t>Tachov - Plzeňský kraj</w:t>
      </w:r>
    </w:p>
    <w:p w:rsidR="00C6778F" w:rsidRPr="00C6778F" w:rsidRDefault="00C6778F" w:rsidP="00C6778F">
      <w:pPr>
        <w:pStyle w:val="Odstavecseseznamem"/>
        <w:numPr>
          <w:ilvl w:val="0"/>
          <w:numId w:val="33"/>
        </w:numPr>
        <w:suppressAutoHyphens w:val="0"/>
        <w:overflowPunct/>
        <w:autoSpaceDE/>
        <w:spacing w:line="280" w:lineRule="atLeast"/>
        <w:ind w:left="1134" w:hanging="283"/>
        <w:textAlignment w:val="auto"/>
        <w:rPr>
          <w:rFonts w:cs="Arial"/>
          <w:sz w:val="20"/>
        </w:rPr>
      </w:pPr>
      <w:r w:rsidRPr="00C6778F">
        <w:rPr>
          <w:rFonts w:cs="Arial"/>
          <w:sz w:val="20"/>
        </w:rPr>
        <w:t>Žďár nad Sázavou - Vysočina</w:t>
      </w:r>
    </w:p>
    <w:p w:rsidR="00C6778F" w:rsidRPr="00C6778F" w:rsidRDefault="00C6778F" w:rsidP="00C6778F">
      <w:pPr>
        <w:pStyle w:val="Odstavecseseznamem"/>
        <w:numPr>
          <w:ilvl w:val="0"/>
          <w:numId w:val="33"/>
        </w:numPr>
        <w:suppressAutoHyphens w:val="0"/>
        <w:overflowPunct/>
        <w:autoSpaceDE/>
        <w:spacing w:line="280" w:lineRule="atLeast"/>
        <w:ind w:left="1134" w:hanging="283"/>
        <w:textAlignment w:val="auto"/>
        <w:rPr>
          <w:rFonts w:cs="Arial"/>
          <w:sz w:val="20"/>
        </w:rPr>
      </w:pPr>
      <w:r w:rsidRPr="00C6778F">
        <w:rPr>
          <w:rFonts w:cs="Arial"/>
          <w:sz w:val="20"/>
        </w:rPr>
        <w:t>Praha - Praha</w:t>
      </w:r>
    </w:p>
    <w:p w:rsidR="00C6778F" w:rsidRPr="00C6778F" w:rsidRDefault="00C6778F" w:rsidP="00C6778F">
      <w:pPr>
        <w:pStyle w:val="Odstavecseseznamem"/>
        <w:numPr>
          <w:ilvl w:val="0"/>
          <w:numId w:val="33"/>
        </w:numPr>
        <w:suppressAutoHyphens w:val="0"/>
        <w:overflowPunct/>
        <w:autoSpaceDE/>
        <w:spacing w:line="280" w:lineRule="atLeast"/>
        <w:ind w:left="1134" w:hanging="283"/>
        <w:textAlignment w:val="auto"/>
        <w:rPr>
          <w:rFonts w:cs="Arial"/>
          <w:sz w:val="20"/>
        </w:rPr>
      </w:pPr>
      <w:r w:rsidRPr="00C6778F">
        <w:rPr>
          <w:rFonts w:cs="Arial"/>
          <w:sz w:val="20"/>
        </w:rPr>
        <w:t>Kladno - Střední Čechy</w:t>
      </w:r>
    </w:p>
    <w:p w:rsidR="00C6778F" w:rsidRPr="00C6778F" w:rsidRDefault="00C6778F" w:rsidP="00C6778F">
      <w:pPr>
        <w:pStyle w:val="Odstavecseseznamem"/>
        <w:numPr>
          <w:ilvl w:val="0"/>
          <w:numId w:val="33"/>
        </w:numPr>
        <w:suppressAutoHyphens w:val="0"/>
        <w:overflowPunct/>
        <w:autoSpaceDE/>
        <w:spacing w:line="280" w:lineRule="atLeast"/>
        <w:ind w:left="1134" w:hanging="283"/>
        <w:textAlignment w:val="auto"/>
        <w:rPr>
          <w:rFonts w:cs="Arial"/>
          <w:sz w:val="20"/>
        </w:rPr>
      </w:pPr>
      <w:r w:rsidRPr="00C6778F">
        <w:rPr>
          <w:rFonts w:cs="Arial"/>
          <w:sz w:val="20"/>
        </w:rPr>
        <w:t>Chrudim – Pardubický kraj</w:t>
      </w:r>
    </w:p>
    <w:p w:rsidR="00C6778F" w:rsidRDefault="00C6778F" w:rsidP="00C6778F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right="23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</w:t>
      </w:r>
      <w:r w:rsidRPr="00C6778F">
        <w:rPr>
          <w:rFonts w:cs="Arial"/>
          <w:sz w:val="20"/>
          <w:szCs w:val="20"/>
        </w:rPr>
        <w:t xml:space="preserve"> provedl výběr vzhledem k velikosti měst, jejich poloze v regionu a dopravní dostupnosti. U</w:t>
      </w:r>
      <w:r>
        <w:rPr>
          <w:rFonts w:cs="Arial"/>
          <w:sz w:val="20"/>
          <w:szCs w:val="20"/>
        </w:rPr>
        <w:t xml:space="preserve">místění </w:t>
      </w:r>
      <w:r w:rsidR="006C1DBA">
        <w:rPr>
          <w:rFonts w:cs="Arial"/>
          <w:sz w:val="20"/>
          <w:szCs w:val="20"/>
        </w:rPr>
        <w:t xml:space="preserve">všech </w:t>
      </w:r>
      <w:r>
        <w:rPr>
          <w:rFonts w:cs="Arial"/>
          <w:sz w:val="20"/>
          <w:szCs w:val="20"/>
        </w:rPr>
        <w:t>akcí</w:t>
      </w:r>
      <w:r w:rsidRPr="00C6778F">
        <w:rPr>
          <w:rFonts w:cs="Arial"/>
          <w:sz w:val="20"/>
          <w:szCs w:val="20"/>
        </w:rPr>
        <w:t xml:space="preserve"> v daných městech musí být ve vzdálenosti 20 minut </w:t>
      </w:r>
      <w:r w:rsidR="006C1DBA">
        <w:rPr>
          <w:rFonts w:cs="Arial"/>
          <w:sz w:val="20"/>
          <w:szCs w:val="20"/>
        </w:rPr>
        <w:t xml:space="preserve">pěší </w:t>
      </w:r>
      <w:r w:rsidRPr="00C6778F">
        <w:rPr>
          <w:rFonts w:cs="Arial"/>
          <w:sz w:val="20"/>
          <w:szCs w:val="20"/>
        </w:rPr>
        <w:t>chůze od</w:t>
      </w:r>
      <w:r>
        <w:rPr>
          <w:rFonts w:cs="Arial"/>
          <w:sz w:val="20"/>
          <w:szCs w:val="20"/>
        </w:rPr>
        <w:t> </w:t>
      </w:r>
      <w:r w:rsidRPr="00C6778F">
        <w:rPr>
          <w:rFonts w:cs="Arial"/>
          <w:sz w:val="20"/>
          <w:szCs w:val="20"/>
        </w:rPr>
        <w:t>stanice veřejné dopravy</w:t>
      </w:r>
      <w:r w:rsidR="006C1DBA">
        <w:rPr>
          <w:rFonts w:cs="Arial"/>
          <w:sz w:val="20"/>
          <w:szCs w:val="20"/>
        </w:rPr>
        <w:t xml:space="preserve"> </w:t>
      </w:r>
      <w:r w:rsidR="006C1DBA" w:rsidRPr="006C1DBA">
        <w:rPr>
          <w:rFonts w:cs="Arial"/>
          <w:color w:val="000000" w:themeColor="text1"/>
          <w:sz w:val="20"/>
          <w:szCs w:val="20"/>
        </w:rPr>
        <w:t>(bude posuzováno dle portálu Mapy.cz za využití funkcionality „pěší chůze – krátká“)</w:t>
      </w:r>
    </w:p>
    <w:p w:rsidR="004654D9" w:rsidRPr="00C6778F" w:rsidRDefault="004654D9" w:rsidP="00C6778F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right="23" w:hanging="567"/>
        <w:rPr>
          <w:rFonts w:cs="Arial"/>
          <w:sz w:val="20"/>
          <w:szCs w:val="20"/>
        </w:rPr>
      </w:pPr>
      <w:r w:rsidRPr="004654D9">
        <w:rPr>
          <w:rFonts w:cs="Arial"/>
          <w:sz w:val="20"/>
          <w:szCs w:val="20"/>
        </w:rPr>
        <w:t>Konkrétní místa konání akcí potvrdí účastník zadávacího řízení zadavateli do 5 dnů po podpisu smlouvy</w:t>
      </w:r>
      <w:r>
        <w:rPr>
          <w:rFonts w:cs="Arial"/>
          <w:sz w:val="20"/>
          <w:szCs w:val="20"/>
        </w:rPr>
        <w:t>.</w:t>
      </w:r>
    </w:p>
    <w:p w:rsidR="009E5B1C" w:rsidRPr="009E5B1C" w:rsidRDefault="009E5B1C" w:rsidP="00C60B4A">
      <w:pPr>
        <w:pStyle w:val="RLTextlnkuslovan"/>
        <w:keepLines/>
        <w:widowControl w:val="0"/>
        <w:numPr>
          <w:ilvl w:val="1"/>
          <w:numId w:val="12"/>
        </w:numPr>
        <w:tabs>
          <w:tab w:val="num" w:pos="567"/>
        </w:tabs>
        <w:spacing w:before="240" w:after="0" w:line="280" w:lineRule="atLeast"/>
        <w:ind w:left="567" w:right="23" w:hanging="567"/>
        <w:rPr>
          <w:rFonts w:cs="Arial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Jednotlivé a</w:t>
      </w:r>
      <w:r w:rsidRPr="009E5B1C">
        <w:rPr>
          <w:rFonts w:cs="Arial"/>
          <w:color w:val="000000" w:themeColor="text1"/>
          <w:sz w:val="20"/>
          <w:szCs w:val="20"/>
        </w:rPr>
        <w:t>kce se uskuteční v období 1</w:t>
      </w:r>
      <w:r w:rsidR="00EA0A87">
        <w:rPr>
          <w:rFonts w:cs="Arial"/>
          <w:color w:val="000000" w:themeColor="text1"/>
          <w:sz w:val="20"/>
          <w:szCs w:val="20"/>
        </w:rPr>
        <w:t>8</w:t>
      </w:r>
      <w:r w:rsidRPr="009E5B1C">
        <w:rPr>
          <w:rFonts w:cs="Arial"/>
          <w:color w:val="000000" w:themeColor="text1"/>
          <w:sz w:val="20"/>
          <w:szCs w:val="20"/>
        </w:rPr>
        <w:t xml:space="preserve">. 9. – 13. 10. 2017, vždy od 14:00 do 18:00 hodin. </w:t>
      </w:r>
      <w:r>
        <w:rPr>
          <w:rFonts w:cs="Arial"/>
          <w:color w:val="000000" w:themeColor="text1"/>
          <w:sz w:val="20"/>
          <w:szCs w:val="20"/>
        </w:rPr>
        <w:t>Obje</w:t>
      </w:r>
      <w:r w:rsidR="00B70EFC">
        <w:rPr>
          <w:rFonts w:cs="Arial"/>
          <w:color w:val="000000" w:themeColor="text1"/>
          <w:sz w:val="20"/>
          <w:szCs w:val="20"/>
        </w:rPr>
        <w:t>dn</w:t>
      </w:r>
      <w:r>
        <w:rPr>
          <w:rFonts w:cs="Arial"/>
          <w:color w:val="000000" w:themeColor="text1"/>
          <w:sz w:val="20"/>
          <w:szCs w:val="20"/>
        </w:rPr>
        <w:t>atel</w:t>
      </w:r>
      <w:r w:rsidRPr="009E5B1C">
        <w:rPr>
          <w:rFonts w:cs="Arial"/>
          <w:color w:val="000000" w:themeColor="text1"/>
          <w:sz w:val="20"/>
          <w:szCs w:val="20"/>
        </w:rPr>
        <w:t xml:space="preserve"> požaduje, aby se vždy v jednom týdnu konaly minimálně 2 akce</w:t>
      </w:r>
      <w:r>
        <w:rPr>
          <w:rFonts w:cs="Arial"/>
          <w:color w:val="000000" w:themeColor="text1"/>
          <w:sz w:val="20"/>
          <w:szCs w:val="20"/>
        </w:rPr>
        <w:t>.</w:t>
      </w:r>
    </w:p>
    <w:p w:rsidR="00C837E9" w:rsidRDefault="00C837E9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5" w:name="_Ref359937099"/>
      <w:bookmarkEnd w:id="3"/>
      <w:bookmarkEnd w:id="4"/>
    </w:p>
    <w:p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5"/>
    <w:p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6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E07A29">
        <w:rPr>
          <w:rFonts w:cs="Arial"/>
          <w:sz w:val="20"/>
          <w:szCs w:val="20"/>
        </w:rPr>
        <w:t>1 896 000</w:t>
      </w:r>
      <w:r w:rsidRPr="00D65AD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- Kč bez DPH, výše </w:t>
      </w:r>
      <w:r w:rsidR="007B7898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E07A29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,- Kč</w:t>
      </w:r>
      <w:r w:rsidR="007B7898">
        <w:rPr>
          <w:rFonts w:cs="Arial"/>
          <w:i/>
          <w:sz w:val="20"/>
          <w:szCs w:val="20"/>
        </w:rPr>
        <w:t xml:space="preserve">, </w:t>
      </w:r>
      <w:r w:rsidR="007B7898">
        <w:rPr>
          <w:rFonts w:cs="Arial"/>
          <w:sz w:val="20"/>
          <w:szCs w:val="20"/>
        </w:rPr>
        <w:t xml:space="preserve">výše 21% DPH činí </w:t>
      </w:r>
      <w:r w:rsidR="00E07A29">
        <w:rPr>
          <w:rFonts w:cs="Arial"/>
          <w:sz w:val="20"/>
          <w:szCs w:val="20"/>
        </w:rPr>
        <w:t>398 160</w:t>
      </w:r>
      <w:r w:rsidR="007B7898">
        <w:rPr>
          <w:rFonts w:cs="Arial"/>
          <w:sz w:val="20"/>
          <w:szCs w:val="20"/>
        </w:rPr>
        <w:t xml:space="preserve">,- Kč </w:t>
      </w:r>
      <w:r>
        <w:rPr>
          <w:rFonts w:cs="Arial"/>
          <w:sz w:val="20"/>
          <w:szCs w:val="20"/>
        </w:rPr>
        <w:t xml:space="preserve">a celková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705AB8">
        <w:rPr>
          <w:rFonts w:cs="Arial"/>
          <w:sz w:val="20"/>
          <w:szCs w:val="20"/>
        </w:rPr>
        <w:t>2 294 160</w:t>
      </w:r>
      <w:r>
        <w:rPr>
          <w:rFonts w:cs="Arial"/>
          <w:sz w:val="20"/>
          <w:szCs w:val="20"/>
        </w:rPr>
        <w:t>,- Kč vč. DPH.</w:t>
      </w:r>
    </w:p>
    <w:p w:rsidR="006C1DBA" w:rsidRPr="00EE07AE" w:rsidRDefault="006C1DBA" w:rsidP="006C1DBA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 xml:space="preserve">Celková odměna za předmět plnění se skládá z cen jednotlivých položek, jež jsou uvedeny v Příloze č. 2 </w:t>
      </w:r>
      <w:proofErr w:type="gramStart"/>
      <w:r w:rsidRPr="00EE07AE">
        <w:rPr>
          <w:rFonts w:cs="Arial"/>
          <w:sz w:val="20"/>
          <w:szCs w:val="20"/>
        </w:rPr>
        <w:t>této</w:t>
      </w:r>
      <w:proofErr w:type="gramEnd"/>
      <w:r w:rsidRPr="00EE07AE">
        <w:rPr>
          <w:rFonts w:cs="Arial"/>
          <w:sz w:val="20"/>
          <w:szCs w:val="20"/>
        </w:rPr>
        <w:t xml:space="preserve"> Smlouvy</w:t>
      </w:r>
      <w:r w:rsidR="0024479E">
        <w:rPr>
          <w:rFonts w:cs="Arial"/>
          <w:sz w:val="20"/>
          <w:szCs w:val="20"/>
        </w:rPr>
        <w:t xml:space="preserve"> – Položkový rozpočet</w:t>
      </w:r>
      <w:r w:rsidRPr="00EE07AE">
        <w:rPr>
          <w:rFonts w:cs="Arial"/>
          <w:sz w:val="20"/>
          <w:szCs w:val="20"/>
        </w:rPr>
        <w:t>.</w:t>
      </w:r>
    </w:p>
    <w:p w:rsidR="006C1DBA" w:rsidRPr="00EE07AE" w:rsidRDefault="006C1DBA" w:rsidP="006C1DBA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 xml:space="preserve">Celková odměna za předmět plnění dle této Smlouvy, jakožto i jednotlivé položky uvedené v Příloze č. 2 </w:t>
      </w:r>
      <w:proofErr w:type="gramStart"/>
      <w:r w:rsidRPr="00EE07AE">
        <w:rPr>
          <w:rFonts w:cs="Arial"/>
          <w:sz w:val="20"/>
          <w:szCs w:val="20"/>
        </w:rPr>
        <w:t>této</w:t>
      </w:r>
      <w:proofErr w:type="gramEnd"/>
      <w:r w:rsidRPr="00EE07AE">
        <w:rPr>
          <w:rFonts w:cs="Arial"/>
          <w:sz w:val="20"/>
          <w:szCs w:val="20"/>
        </w:rPr>
        <w:t xml:space="preserve"> Smlouvy, jsou konečné a nepřekročitelné, tj. zahrnující všechny případné dodatečné náklady Poskytovatele související s poskytováním smluvených služeb. Ceny je možné změnit pouze v souvislosti se změnou (zvýšení, snížení) sazby DPH.</w:t>
      </w:r>
    </w:p>
    <w:p w:rsidR="00AF7921" w:rsidRPr="00AF7921" w:rsidRDefault="00A47FFB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CD420F">
        <w:rPr>
          <w:rFonts w:cs="Arial"/>
          <w:sz w:val="20"/>
          <w:szCs w:val="20"/>
        </w:rPr>
        <w:t xml:space="preserve">kompletního předmětu plnění, </w:t>
      </w:r>
      <w:proofErr w:type="spellStart"/>
      <w:r w:rsidR="00CD420F">
        <w:rPr>
          <w:rFonts w:cs="Arial"/>
          <w:sz w:val="20"/>
          <w:szCs w:val="20"/>
        </w:rPr>
        <w:t>tj</w:t>
      </w:r>
      <w:proofErr w:type="spellEnd"/>
      <w:r w:rsidR="00CD420F">
        <w:rPr>
          <w:rFonts w:cs="Arial"/>
          <w:sz w:val="20"/>
          <w:szCs w:val="20"/>
        </w:rPr>
        <w:t xml:space="preserve">, po ukončení poslední akce a předání všech </w:t>
      </w:r>
      <w:r w:rsidR="00F36D31">
        <w:rPr>
          <w:rFonts w:cs="Arial"/>
          <w:sz w:val="20"/>
          <w:szCs w:val="20"/>
        </w:rPr>
        <w:t>výstupů</w:t>
      </w:r>
      <w:r w:rsidR="00CD420F">
        <w:rPr>
          <w:rFonts w:cs="Arial"/>
          <w:sz w:val="20"/>
          <w:szCs w:val="20"/>
        </w:rPr>
        <w:t xml:space="preserve"> Objednateli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proofErr w:type="gramStart"/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1E0DE6">
        <w:rPr>
          <w:rFonts w:cs="Arial"/>
          <w:sz w:val="20"/>
          <w:szCs w:val="20"/>
        </w:rPr>
        <w:t xml:space="preserve"> </w:t>
      </w:r>
      <w:r w:rsidR="009748FD">
        <w:rPr>
          <w:rFonts w:cs="Arial"/>
          <w:sz w:val="20"/>
          <w:szCs w:val="20"/>
        </w:rPr>
        <w:t>plnění</w:t>
      </w:r>
      <w:proofErr w:type="gramEnd"/>
      <w:r w:rsidR="006C02FB" w:rsidRPr="00A31E3B">
        <w:rPr>
          <w:rFonts w:cs="Arial"/>
          <w:sz w:val="20"/>
          <w:szCs w:val="20"/>
        </w:rPr>
        <w:t>.</w:t>
      </w:r>
    </w:p>
    <w:p w:rsidR="007B3DCF" w:rsidRPr="00CB2992" w:rsidRDefault="006B20DD" w:rsidP="00CB2992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</w:rPr>
      </w:pPr>
      <w:r w:rsidRPr="000E4010">
        <w:rPr>
          <w:rFonts w:cs="Arial"/>
          <w:sz w:val="20"/>
          <w:szCs w:val="20"/>
        </w:rPr>
        <w:t>Faktura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</w:t>
      </w:r>
      <w:r w:rsidR="00CB2992">
        <w:rPr>
          <w:rFonts w:cs="Arial"/>
          <w:sz w:val="20"/>
          <w:szCs w:val="20"/>
        </w:rPr>
        <w:t>.</w:t>
      </w:r>
      <w:r w:rsidR="00DF50B1" w:rsidRPr="000E4010">
        <w:rPr>
          <w:rFonts w:cs="Arial"/>
          <w:sz w:val="20"/>
          <w:szCs w:val="20"/>
        </w:rPr>
        <w:t xml:space="preserve"> Přílohou faktury mu</w:t>
      </w:r>
      <w:r w:rsidR="00641082" w:rsidRPr="000E4010">
        <w:rPr>
          <w:rFonts w:cs="Arial"/>
          <w:sz w:val="20"/>
          <w:szCs w:val="20"/>
        </w:rPr>
        <w:t xml:space="preserve">sí být </w:t>
      </w:r>
      <w:r w:rsidR="00CE0309">
        <w:rPr>
          <w:rFonts w:cs="Arial"/>
          <w:sz w:val="20"/>
          <w:szCs w:val="20"/>
        </w:rPr>
        <w:t>podrobný rozpis jednotlivých účtovaných položek</w:t>
      </w:r>
      <w:r w:rsidR="00CB2992">
        <w:rPr>
          <w:rFonts w:cs="Arial"/>
          <w:sz w:val="20"/>
          <w:szCs w:val="20"/>
        </w:rPr>
        <w:t xml:space="preserve"> dle položkového rozpočtu uvedeného v bodu </w:t>
      </w:r>
      <w:proofErr w:type="gramStart"/>
      <w:r w:rsidR="00CB2992">
        <w:rPr>
          <w:rFonts w:cs="Arial"/>
          <w:sz w:val="20"/>
          <w:szCs w:val="20"/>
        </w:rPr>
        <w:t>6.2. této</w:t>
      </w:r>
      <w:proofErr w:type="gramEnd"/>
      <w:r w:rsidR="00CB2992">
        <w:rPr>
          <w:rFonts w:cs="Arial"/>
          <w:sz w:val="20"/>
          <w:szCs w:val="20"/>
        </w:rPr>
        <w:t xml:space="preserve"> Smlouvy.</w:t>
      </w:r>
    </w:p>
    <w:p w:rsidR="00294083" w:rsidRPr="00503EF6" w:rsidRDefault="00361EB2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Splatnost faktur činí </w:t>
      </w:r>
      <w:r w:rsidR="00294083">
        <w:rPr>
          <w:rFonts w:cs="Arial"/>
          <w:sz w:val="20"/>
          <w:szCs w:val="20"/>
        </w:rPr>
        <w:t xml:space="preserve">30 kalendářních dnů a počíná běžet ode dne prokazatelného doručení </w:t>
      </w:r>
      <w:r w:rsidR="00294083">
        <w:rPr>
          <w:rFonts w:cs="Arial"/>
          <w:sz w:val="20"/>
          <w:szCs w:val="20"/>
        </w:rPr>
        <w:lastRenderedPageBreak/>
        <w:t xml:space="preserve">faktur Objednateli. V případě, že bude faktura, resp. opravný daňový doklad Objednateli doručena v období od 12. </w:t>
      </w:r>
      <w:r w:rsidR="00D87662">
        <w:rPr>
          <w:rFonts w:cs="Arial"/>
          <w:sz w:val="20"/>
          <w:szCs w:val="20"/>
        </w:rPr>
        <w:t xml:space="preserve">prosince </w:t>
      </w:r>
      <w:r w:rsidR="00294083">
        <w:rPr>
          <w:rFonts w:cs="Arial"/>
          <w:sz w:val="20"/>
          <w:szCs w:val="20"/>
        </w:rPr>
        <w:t xml:space="preserve">příslušného kalendářního roku do 28. </w:t>
      </w:r>
      <w:r w:rsidR="00D87662">
        <w:rPr>
          <w:rFonts w:cs="Arial"/>
          <w:sz w:val="20"/>
          <w:szCs w:val="20"/>
        </w:rPr>
        <w:t xml:space="preserve">února </w:t>
      </w:r>
      <w:r w:rsidR="00294083">
        <w:rPr>
          <w:rFonts w:cs="Arial"/>
          <w:sz w:val="20"/>
          <w:szCs w:val="20"/>
        </w:rPr>
        <w:t>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</w:t>
      </w:r>
      <w:r w:rsidR="00D87662" w:rsidRPr="00503EF6">
        <w:rPr>
          <w:rFonts w:cs="Arial"/>
          <w:sz w:val="20"/>
          <w:szCs w:val="20"/>
        </w:rPr>
        <w:t xml:space="preserve">ji </w:t>
      </w:r>
      <w:r w:rsidRPr="00503EF6">
        <w:rPr>
          <w:rFonts w:cs="Arial"/>
          <w:sz w:val="20"/>
          <w:szCs w:val="20"/>
        </w:rPr>
        <w:t xml:space="preserve">vrátit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7" w:name="_Ref360030114"/>
      <w:bookmarkEnd w:id="6"/>
    </w:p>
    <w:p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7"/>
    <w:p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340544">
        <w:rPr>
          <w:rFonts w:cs="Arial"/>
          <w:sz w:val="20"/>
          <w:szCs w:val="20"/>
        </w:rPr>
        <w:t xml:space="preserve"> a 2</w:t>
      </w:r>
      <w:r w:rsidR="00967958" w:rsidRPr="00503EF6">
        <w:rPr>
          <w:rFonts w:cs="Arial"/>
          <w:sz w:val="20"/>
          <w:szCs w:val="20"/>
        </w:rPr>
        <w:t>, nebude zatíženo jakýmikoli</w:t>
      </w:r>
      <w:r w:rsidR="00D37A41">
        <w:rPr>
          <w:rFonts w:cs="Arial"/>
          <w:sz w:val="20"/>
          <w:szCs w:val="20"/>
        </w:rPr>
        <w:t>v</w:t>
      </w:r>
      <w:r w:rsidR="00967958" w:rsidRPr="00503EF6">
        <w:rPr>
          <w:rFonts w:cs="Arial"/>
          <w:sz w:val="20"/>
          <w:szCs w:val="20"/>
        </w:rPr>
        <w:t xml:space="preserve">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</w:t>
      </w:r>
      <w:r w:rsidR="00D37A41">
        <w:rPr>
          <w:rFonts w:cs="Arial"/>
          <w:sz w:val="20"/>
          <w:szCs w:val="20"/>
        </w:rPr>
        <w:t xml:space="preserve">je </w:t>
      </w:r>
      <w:r w:rsidR="00994791"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:rsidR="00CB2992" w:rsidRPr="00B05977" w:rsidRDefault="00CB2992" w:rsidP="006D4BC0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se dohodly, že min. </w:t>
      </w:r>
      <w:r w:rsidRPr="00CB2992">
        <w:rPr>
          <w:rFonts w:cs="Arial"/>
          <w:sz w:val="20"/>
          <w:szCs w:val="20"/>
        </w:rPr>
        <w:t xml:space="preserve">5 dní před konáním první akce proběhne </w:t>
      </w:r>
      <w:r w:rsidR="006D4BC0">
        <w:rPr>
          <w:rFonts w:cs="Arial"/>
          <w:sz w:val="20"/>
          <w:szCs w:val="20"/>
        </w:rPr>
        <w:t xml:space="preserve">v sídle Objednatele </w:t>
      </w:r>
      <w:r w:rsidRPr="00CB2992">
        <w:rPr>
          <w:rFonts w:cs="Arial"/>
          <w:sz w:val="20"/>
          <w:szCs w:val="20"/>
        </w:rPr>
        <w:t xml:space="preserve">společná schůzka </w:t>
      </w:r>
      <w:r w:rsidR="006D4BC0">
        <w:rPr>
          <w:rFonts w:cs="Arial"/>
          <w:sz w:val="20"/>
          <w:szCs w:val="20"/>
        </w:rPr>
        <w:t>obou sml</w:t>
      </w:r>
      <w:r w:rsidRPr="006D4BC0">
        <w:rPr>
          <w:rFonts w:cs="Arial"/>
          <w:sz w:val="20"/>
          <w:szCs w:val="20"/>
        </w:rPr>
        <w:t>uvních stran za účasti kontaktních osob dle článku</w:t>
      </w:r>
      <w:r w:rsidR="00526BBD">
        <w:rPr>
          <w:rFonts w:cs="Arial"/>
          <w:sz w:val="20"/>
          <w:szCs w:val="20"/>
        </w:rPr>
        <w:br/>
      </w:r>
      <w:r w:rsidRPr="006D4BC0">
        <w:rPr>
          <w:rFonts w:cs="Arial"/>
          <w:sz w:val="20"/>
          <w:szCs w:val="20"/>
        </w:rPr>
        <w:t xml:space="preserve">3 </w:t>
      </w:r>
      <w:proofErr w:type="gramStart"/>
      <w:r w:rsidRPr="006D4BC0">
        <w:rPr>
          <w:rFonts w:cs="Arial"/>
          <w:sz w:val="20"/>
          <w:szCs w:val="20"/>
        </w:rPr>
        <w:t>této</w:t>
      </w:r>
      <w:proofErr w:type="gramEnd"/>
      <w:r w:rsidRPr="006D4BC0">
        <w:rPr>
          <w:rFonts w:cs="Arial"/>
          <w:sz w:val="20"/>
          <w:szCs w:val="20"/>
        </w:rPr>
        <w:t xml:space="preserve"> Smlouvy, na které bude odsouhlasena konečná podoba programu </w:t>
      </w:r>
      <w:r w:rsidRPr="00B05977">
        <w:rPr>
          <w:rFonts w:cs="Arial"/>
          <w:sz w:val="20"/>
          <w:szCs w:val="20"/>
        </w:rPr>
        <w:t>jednotlivých akcí.</w:t>
      </w:r>
      <w:r w:rsidR="006D4BC0" w:rsidRPr="00B05977">
        <w:rPr>
          <w:rFonts w:cs="Arial"/>
          <w:sz w:val="20"/>
          <w:szCs w:val="20"/>
        </w:rPr>
        <w:t xml:space="preserve"> Další společná schůzka obou smluvních stran, jejímž předmětem bude zhodnocení úspěšnosti programu akce, proběhne do 3 (tří) kalendářních dnů po ukončení první akce.</w:t>
      </w:r>
    </w:p>
    <w:p w:rsidR="002A40F1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8" w:name="_Ref359938667"/>
      <w:bookmarkStart w:id="9" w:name="_Ref260209684"/>
      <w:r>
        <w:rPr>
          <w:rFonts w:cs="Arial"/>
          <w:b/>
          <w:bCs/>
          <w:sz w:val="20"/>
        </w:rPr>
        <w:tab/>
      </w:r>
    </w:p>
    <w:p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8"/>
    <w:p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9"/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</w:t>
      </w:r>
      <w:r w:rsidR="00DF50B1" w:rsidRPr="00503EF6">
        <w:rPr>
          <w:rFonts w:cs="Arial"/>
          <w:sz w:val="20"/>
          <w:szCs w:val="20"/>
        </w:rPr>
        <w:lastRenderedPageBreak/>
        <w:t>opatření zabraňující jejich zneužití či prozrazení.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0" w:name="_Ref361130474"/>
      <w:r>
        <w:rPr>
          <w:rFonts w:cs="Arial"/>
          <w:b/>
          <w:bCs/>
          <w:sz w:val="20"/>
        </w:rPr>
        <w:t>Článek 9</w:t>
      </w:r>
    </w:p>
    <w:bookmarkEnd w:id="10"/>
    <w:p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:rsidR="00E7284A" w:rsidRPr="000A2D1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1" w:name="_Ref361130477"/>
      <w:r w:rsidRPr="000A2D1C">
        <w:rPr>
          <w:rFonts w:cs="Arial"/>
          <w:sz w:val="20"/>
          <w:szCs w:val="20"/>
        </w:rPr>
        <w:t>Dodavatel</w:t>
      </w:r>
      <w:r w:rsidR="000B1878" w:rsidRPr="000A2D1C">
        <w:rPr>
          <w:rFonts w:cs="Arial"/>
          <w:sz w:val="20"/>
          <w:szCs w:val="20"/>
        </w:rPr>
        <w:t xml:space="preserve"> je povinen </w:t>
      </w:r>
      <w:r w:rsidR="006B20DD" w:rsidRPr="000A2D1C">
        <w:rPr>
          <w:rFonts w:cs="Arial"/>
          <w:sz w:val="20"/>
          <w:szCs w:val="20"/>
        </w:rPr>
        <w:t>Objednateli</w:t>
      </w:r>
      <w:r w:rsidR="000B1878" w:rsidRPr="000A2D1C">
        <w:rPr>
          <w:rFonts w:cs="Arial"/>
          <w:sz w:val="20"/>
          <w:szCs w:val="20"/>
        </w:rPr>
        <w:t xml:space="preserve"> </w:t>
      </w:r>
      <w:r w:rsidR="00C33B22" w:rsidRPr="000A2D1C">
        <w:rPr>
          <w:rFonts w:cs="Arial"/>
          <w:sz w:val="20"/>
          <w:szCs w:val="20"/>
        </w:rPr>
        <w:t>zaplatit</w:t>
      </w:r>
      <w:r w:rsidR="006B20DD" w:rsidRPr="000A2D1C">
        <w:rPr>
          <w:rFonts w:cs="Arial"/>
          <w:sz w:val="20"/>
          <w:szCs w:val="20"/>
        </w:rPr>
        <w:t xml:space="preserve"> smluvní</w:t>
      </w:r>
      <w:r w:rsidR="000B1878" w:rsidRPr="000A2D1C">
        <w:rPr>
          <w:rFonts w:cs="Arial"/>
          <w:sz w:val="20"/>
          <w:szCs w:val="20"/>
        </w:rPr>
        <w:t xml:space="preserve"> pokutu</w:t>
      </w:r>
      <w:r w:rsidR="00DF50B1" w:rsidRPr="000A2D1C">
        <w:rPr>
          <w:rFonts w:cs="Arial"/>
          <w:sz w:val="20"/>
          <w:szCs w:val="20"/>
        </w:rPr>
        <w:t xml:space="preserve"> </w:t>
      </w:r>
      <w:r w:rsidR="000B1878" w:rsidRPr="000A2D1C">
        <w:rPr>
          <w:rFonts w:cs="Arial"/>
          <w:sz w:val="20"/>
          <w:szCs w:val="20"/>
        </w:rPr>
        <w:t xml:space="preserve">ve </w:t>
      </w:r>
      <w:proofErr w:type="gramStart"/>
      <w:r w:rsidR="000B1878" w:rsidRPr="000A2D1C">
        <w:rPr>
          <w:rFonts w:cs="Arial"/>
          <w:sz w:val="20"/>
          <w:szCs w:val="20"/>
        </w:rPr>
        <w:t xml:space="preserve">výši </w:t>
      </w:r>
      <w:r w:rsidR="00504001" w:rsidRPr="000A2D1C">
        <w:rPr>
          <w:rFonts w:cs="Arial"/>
          <w:sz w:val="20"/>
          <w:szCs w:val="20"/>
        </w:rPr>
        <w:t xml:space="preserve"> </w:t>
      </w:r>
      <w:r w:rsidR="00081188" w:rsidRPr="000A2D1C">
        <w:rPr>
          <w:rFonts w:cs="Arial"/>
          <w:sz w:val="20"/>
          <w:szCs w:val="20"/>
        </w:rPr>
        <w:t>5</w:t>
      </w:r>
      <w:r w:rsidR="00E7284A" w:rsidRPr="000A2D1C">
        <w:rPr>
          <w:rFonts w:cs="Arial"/>
          <w:sz w:val="20"/>
          <w:szCs w:val="20"/>
        </w:rPr>
        <w:t xml:space="preserve"> </w:t>
      </w:r>
      <w:r w:rsidR="00504001" w:rsidRPr="000A2D1C">
        <w:rPr>
          <w:rFonts w:cs="Arial"/>
          <w:sz w:val="20"/>
          <w:szCs w:val="20"/>
        </w:rPr>
        <w:t>000,</w:t>
      </w:r>
      <w:proofErr w:type="gramEnd"/>
      <w:r w:rsidR="00504001" w:rsidRPr="000A2D1C">
        <w:rPr>
          <w:rFonts w:cs="Arial"/>
          <w:sz w:val="20"/>
          <w:szCs w:val="20"/>
        </w:rPr>
        <w:t xml:space="preserve">- </w:t>
      </w:r>
      <w:r w:rsidR="000B1878" w:rsidRPr="000A2D1C">
        <w:rPr>
          <w:rFonts w:cs="Arial"/>
          <w:sz w:val="20"/>
          <w:szCs w:val="20"/>
        </w:rPr>
        <w:t xml:space="preserve">Kč </w:t>
      </w:r>
      <w:r w:rsidR="00DF50B1" w:rsidRPr="000A2D1C">
        <w:rPr>
          <w:rFonts w:cs="Arial"/>
          <w:sz w:val="20"/>
          <w:szCs w:val="20"/>
        </w:rPr>
        <w:t>v případě, že</w:t>
      </w:r>
      <w:r w:rsidR="00C33B22" w:rsidRPr="000A2D1C">
        <w:rPr>
          <w:rFonts w:cs="Arial"/>
          <w:sz w:val="20"/>
          <w:szCs w:val="20"/>
        </w:rPr>
        <w:t> </w:t>
      </w:r>
      <w:r w:rsidRPr="000A2D1C">
        <w:rPr>
          <w:rFonts w:cs="Arial"/>
          <w:sz w:val="20"/>
          <w:szCs w:val="20"/>
        </w:rPr>
        <w:t>Dodavatel</w:t>
      </w:r>
      <w:r w:rsidR="00DF50B1" w:rsidRPr="000A2D1C">
        <w:rPr>
          <w:rFonts w:cs="Arial"/>
          <w:sz w:val="20"/>
          <w:szCs w:val="20"/>
        </w:rPr>
        <w:t xml:space="preserve"> neposkytne </w:t>
      </w:r>
      <w:r w:rsidR="00E7284A" w:rsidRPr="000A2D1C">
        <w:rPr>
          <w:rFonts w:cs="Arial"/>
          <w:sz w:val="20"/>
          <w:szCs w:val="20"/>
        </w:rPr>
        <w:t xml:space="preserve">plnění, nebo jeho dílčí část, </w:t>
      </w:r>
      <w:r w:rsidR="000A6723" w:rsidRPr="000A2D1C">
        <w:rPr>
          <w:rFonts w:cs="Arial"/>
          <w:sz w:val="20"/>
          <w:szCs w:val="20"/>
        </w:rPr>
        <w:t>ve stanovené</w:t>
      </w:r>
      <w:r w:rsidR="00E7284A" w:rsidRPr="000A2D1C">
        <w:rPr>
          <w:rFonts w:cs="Arial"/>
          <w:sz w:val="20"/>
          <w:szCs w:val="20"/>
        </w:rPr>
        <w:t>m termínu a místě</w:t>
      </w:r>
      <w:r w:rsidR="000A6723" w:rsidRPr="000A2D1C">
        <w:rPr>
          <w:rFonts w:cs="Arial"/>
          <w:sz w:val="20"/>
          <w:szCs w:val="20"/>
        </w:rPr>
        <w:t xml:space="preserve"> dle článku 5 této Smlouvy</w:t>
      </w:r>
      <w:r w:rsidR="00E7284A" w:rsidRPr="000A2D1C">
        <w:rPr>
          <w:rFonts w:cs="Arial"/>
          <w:sz w:val="20"/>
          <w:szCs w:val="20"/>
        </w:rPr>
        <w:t>.</w:t>
      </w:r>
    </w:p>
    <w:p w:rsidR="000B1878" w:rsidRPr="000A2D1C" w:rsidRDefault="00E7284A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A2D1C">
        <w:rPr>
          <w:rFonts w:cs="Arial"/>
          <w:sz w:val="20"/>
          <w:szCs w:val="20"/>
        </w:rPr>
        <w:t xml:space="preserve">Dodavatel je povinen Objednateli zaplatit smluvní pokutu ve </w:t>
      </w:r>
      <w:proofErr w:type="gramStart"/>
      <w:r w:rsidRPr="000A2D1C">
        <w:rPr>
          <w:rFonts w:cs="Arial"/>
          <w:sz w:val="20"/>
          <w:szCs w:val="20"/>
        </w:rPr>
        <w:t>výši  2 000,</w:t>
      </w:r>
      <w:proofErr w:type="gramEnd"/>
      <w:r w:rsidRPr="000A2D1C">
        <w:rPr>
          <w:rFonts w:cs="Arial"/>
          <w:sz w:val="20"/>
          <w:szCs w:val="20"/>
        </w:rPr>
        <w:t>- Kč v případě</w:t>
      </w:r>
      <w:r w:rsidR="009321E3" w:rsidRPr="000A2D1C">
        <w:rPr>
          <w:rFonts w:cs="Arial"/>
          <w:sz w:val="20"/>
          <w:szCs w:val="20"/>
        </w:rPr>
        <w:t>,</w:t>
      </w:r>
      <w:r w:rsidRPr="000A2D1C">
        <w:rPr>
          <w:rFonts w:cs="Arial"/>
          <w:sz w:val="20"/>
          <w:szCs w:val="20"/>
        </w:rPr>
        <w:t xml:space="preserve"> že Dodavatel nedodrží</w:t>
      </w:r>
      <w:r w:rsidR="009321E3" w:rsidRPr="000A2D1C">
        <w:rPr>
          <w:rFonts w:cs="Arial"/>
          <w:sz w:val="20"/>
          <w:szCs w:val="20"/>
        </w:rPr>
        <w:t xml:space="preserve"> </w:t>
      </w:r>
      <w:r w:rsidRPr="000A2D1C">
        <w:rPr>
          <w:rFonts w:cs="Arial"/>
          <w:sz w:val="20"/>
          <w:szCs w:val="20"/>
        </w:rPr>
        <w:t>některou z</w:t>
      </w:r>
      <w:r w:rsidR="000B1878" w:rsidRPr="000A2D1C">
        <w:rPr>
          <w:rFonts w:cs="Arial"/>
          <w:sz w:val="20"/>
          <w:szCs w:val="20"/>
        </w:rPr>
        <w:t xml:space="preserve"> </w:t>
      </w:r>
      <w:r w:rsidRPr="000A2D1C">
        <w:rPr>
          <w:rFonts w:cs="Arial"/>
          <w:sz w:val="20"/>
          <w:szCs w:val="20"/>
        </w:rPr>
        <w:t>lhůt stanovenou</w:t>
      </w:r>
      <w:r w:rsidR="00DF50B1" w:rsidRPr="000A2D1C">
        <w:rPr>
          <w:rFonts w:cs="Arial"/>
          <w:sz w:val="20"/>
          <w:szCs w:val="20"/>
        </w:rPr>
        <w:t xml:space="preserve"> touto Smlouvou, a</w:t>
      </w:r>
      <w:r w:rsidR="000A6723" w:rsidRPr="000A2D1C">
        <w:rPr>
          <w:rFonts w:cs="Arial"/>
          <w:sz w:val="20"/>
          <w:szCs w:val="20"/>
        </w:rPr>
        <w:t> </w:t>
      </w:r>
      <w:r w:rsidR="00DF50B1" w:rsidRPr="000A2D1C">
        <w:rPr>
          <w:rFonts w:cs="Arial"/>
          <w:sz w:val="20"/>
          <w:szCs w:val="20"/>
        </w:rPr>
        <w:t>to z</w:t>
      </w:r>
      <w:r w:rsidR="000B1878" w:rsidRPr="000A2D1C">
        <w:rPr>
          <w:rFonts w:cs="Arial"/>
          <w:sz w:val="20"/>
          <w:szCs w:val="20"/>
        </w:rPr>
        <w:t>a každý i započatý den prodlení.</w:t>
      </w:r>
      <w:r w:rsidR="00DF50B1" w:rsidRPr="000A2D1C">
        <w:rPr>
          <w:rFonts w:cs="Arial"/>
          <w:sz w:val="20"/>
          <w:szCs w:val="20"/>
        </w:rPr>
        <w:t xml:space="preserve"> </w:t>
      </w:r>
      <w:bookmarkEnd w:id="11"/>
    </w:p>
    <w:p w:rsidR="00D17016" w:rsidRPr="000A2D1C" w:rsidRDefault="00D1701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A2D1C">
        <w:rPr>
          <w:rFonts w:cs="Arial"/>
          <w:sz w:val="20"/>
          <w:szCs w:val="20"/>
        </w:rPr>
        <w:t>Dodavatel je povinen Objednateli zaplatit smluvní pokutu ve výši 1 000,- Kč v případě, že Dodavatel neposkytne plnění v</w:t>
      </w:r>
      <w:r w:rsidR="00081188" w:rsidRPr="000A2D1C">
        <w:rPr>
          <w:rFonts w:cs="Arial"/>
          <w:sz w:val="20"/>
          <w:szCs w:val="20"/>
        </w:rPr>
        <w:t> </w:t>
      </w:r>
      <w:r w:rsidRPr="000A2D1C">
        <w:rPr>
          <w:rFonts w:cs="Arial"/>
          <w:sz w:val="20"/>
          <w:szCs w:val="20"/>
        </w:rPr>
        <w:t>požadované</w:t>
      </w:r>
      <w:r w:rsidR="00081188" w:rsidRPr="000A2D1C">
        <w:rPr>
          <w:rFonts w:cs="Arial"/>
          <w:sz w:val="20"/>
          <w:szCs w:val="20"/>
        </w:rPr>
        <w:t xml:space="preserve">m rozsahu a </w:t>
      </w:r>
      <w:r w:rsidRPr="000A2D1C">
        <w:rPr>
          <w:rFonts w:cs="Arial"/>
          <w:sz w:val="20"/>
          <w:szCs w:val="20"/>
        </w:rPr>
        <w:t>kvalitě</w:t>
      </w:r>
      <w:r w:rsidR="00081188" w:rsidRPr="000A2D1C">
        <w:rPr>
          <w:rFonts w:cs="Arial"/>
          <w:sz w:val="20"/>
          <w:szCs w:val="20"/>
        </w:rPr>
        <w:t xml:space="preserve"> stanovené touto Smlouvou</w:t>
      </w:r>
      <w:r w:rsidRPr="000A2D1C">
        <w:rPr>
          <w:rFonts w:cs="Arial"/>
          <w:sz w:val="20"/>
          <w:szCs w:val="20"/>
        </w:rPr>
        <w:t>, a</w:t>
      </w:r>
      <w:r w:rsidR="00081188" w:rsidRPr="000A2D1C">
        <w:rPr>
          <w:rFonts w:cs="Arial"/>
          <w:sz w:val="20"/>
          <w:szCs w:val="20"/>
        </w:rPr>
        <w:t> </w:t>
      </w:r>
      <w:r w:rsidRPr="000A2D1C">
        <w:rPr>
          <w:rFonts w:cs="Arial"/>
          <w:sz w:val="20"/>
          <w:szCs w:val="20"/>
        </w:rPr>
        <w:t xml:space="preserve">to za každý případ porušení takovéto povinnosti. </w:t>
      </w:r>
    </w:p>
    <w:p w:rsidR="00C33B22" w:rsidRPr="000A2D1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A2D1C">
        <w:rPr>
          <w:rFonts w:cs="Arial"/>
          <w:sz w:val="20"/>
          <w:szCs w:val="20"/>
        </w:rPr>
        <w:t>Dodavatel</w:t>
      </w:r>
      <w:r w:rsidR="0075227B" w:rsidRPr="000A2D1C">
        <w:rPr>
          <w:rFonts w:cs="Arial"/>
          <w:sz w:val="20"/>
          <w:szCs w:val="20"/>
        </w:rPr>
        <w:t xml:space="preserve"> je povinen Objednateli </w:t>
      </w:r>
      <w:r w:rsidR="00C33B22" w:rsidRPr="000A2D1C">
        <w:rPr>
          <w:rFonts w:cs="Arial"/>
          <w:sz w:val="20"/>
          <w:szCs w:val="20"/>
        </w:rPr>
        <w:t xml:space="preserve">zaplatit </w:t>
      </w:r>
      <w:r w:rsidR="006B20DD" w:rsidRPr="000A2D1C">
        <w:rPr>
          <w:rFonts w:cs="Arial"/>
          <w:sz w:val="20"/>
          <w:szCs w:val="20"/>
        </w:rPr>
        <w:t>smluvní</w:t>
      </w:r>
      <w:r w:rsidR="0075227B" w:rsidRPr="000A2D1C">
        <w:rPr>
          <w:rFonts w:cs="Arial"/>
          <w:sz w:val="20"/>
          <w:szCs w:val="20"/>
        </w:rPr>
        <w:t xml:space="preserve"> pokutu ve výši </w:t>
      </w:r>
      <w:r w:rsidR="00504001" w:rsidRPr="000A2D1C">
        <w:rPr>
          <w:rFonts w:cs="Arial"/>
          <w:sz w:val="20"/>
          <w:szCs w:val="20"/>
        </w:rPr>
        <w:t xml:space="preserve">1 000,- </w:t>
      </w:r>
      <w:r w:rsidR="0075227B" w:rsidRPr="000A2D1C">
        <w:rPr>
          <w:rFonts w:cs="Arial"/>
          <w:sz w:val="20"/>
          <w:szCs w:val="20"/>
        </w:rPr>
        <w:t xml:space="preserve">Kč v případě nesplnění jakékoliv povinnosti </w:t>
      </w:r>
      <w:r w:rsidRPr="000A2D1C">
        <w:rPr>
          <w:rFonts w:cs="Arial"/>
          <w:sz w:val="20"/>
          <w:szCs w:val="20"/>
        </w:rPr>
        <w:t>Dodavatel</w:t>
      </w:r>
      <w:r w:rsidR="0075227B" w:rsidRPr="000A2D1C">
        <w:rPr>
          <w:rFonts w:cs="Arial"/>
          <w:sz w:val="20"/>
          <w:szCs w:val="20"/>
        </w:rPr>
        <w:t>e uvedené v článku 7 této Smlouvy, a to za každé jednotlivé porušení</w:t>
      </w:r>
      <w:r w:rsidR="00D74D5D" w:rsidRPr="000A2D1C">
        <w:rPr>
          <w:rFonts w:cs="Arial"/>
          <w:sz w:val="20"/>
          <w:szCs w:val="20"/>
        </w:rPr>
        <w:t>.</w:t>
      </w:r>
    </w:p>
    <w:p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</w:t>
      </w:r>
      <w:r w:rsidRPr="00503EF6">
        <w:rPr>
          <w:rFonts w:cs="Arial"/>
          <w:sz w:val="20"/>
          <w:szCs w:val="20"/>
        </w:rPr>
        <w:lastRenderedPageBreak/>
        <w:t xml:space="preserve">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:rsidR="00162923" w:rsidRDefault="00162923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:rsidR="00B70EFC" w:rsidRPr="00EE07AE" w:rsidRDefault="00B70EFC" w:rsidP="00B70EFC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proofErr w:type="gramStart"/>
      <w:r w:rsidRPr="00EE07AE">
        <w:rPr>
          <w:rFonts w:cs="Arial"/>
          <w:sz w:val="20"/>
          <w:szCs w:val="20"/>
        </w:rPr>
        <w:t>Tato  smlouva</w:t>
      </w:r>
      <w:proofErr w:type="gramEnd"/>
      <w:r w:rsidRPr="00EE07AE">
        <w:rPr>
          <w:rFonts w:cs="Arial"/>
          <w:sz w:val="20"/>
          <w:szCs w:val="20"/>
        </w:rPr>
        <w:t xml:space="preserve"> nabývá platnosti dnem jejího podpisu oběma smluvními stranami. Účinnosti však tato smlouva v souladu s </w:t>
      </w:r>
      <w:proofErr w:type="spellStart"/>
      <w:r w:rsidRPr="00EE07AE">
        <w:rPr>
          <w:rFonts w:cs="Arial"/>
          <w:sz w:val="20"/>
          <w:szCs w:val="20"/>
        </w:rPr>
        <w:t>ust</w:t>
      </w:r>
      <w:proofErr w:type="spellEnd"/>
      <w:r w:rsidRPr="00EE07AE">
        <w:rPr>
          <w:rFonts w:cs="Arial"/>
          <w:sz w:val="20"/>
          <w:szCs w:val="20"/>
        </w:rPr>
        <w:t xml:space="preserve">. § 6 odst. 1 zákona o registru smluv, nabývá dnem uveřejnění v registru smluv ve smyslu </w:t>
      </w:r>
      <w:proofErr w:type="spellStart"/>
      <w:r w:rsidRPr="00EE07AE">
        <w:rPr>
          <w:rFonts w:cs="Arial"/>
          <w:sz w:val="20"/>
          <w:szCs w:val="20"/>
        </w:rPr>
        <w:t>ust</w:t>
      </w:r>
      <w:proofErr w:type="spellEnd"/>
      <w:r w:rsidRPr="00EE07AE">
        <w:rPr>
          <w:rFonts w:cs="Arial"/>
          <w:sz w:val="20"/>
          <w:szCs w:val="20"/>
        </w:rPr>
        <w:t>. § 4 zákona o registru smluv.</w:t>
      </w:r>
    </w:p>
    <w:p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2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2"/>
    </w:p>
    <w:p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lastRenderedPageBreak/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3"/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508F1">
        <w:rPr>
          <w:rFonts w:cs="Arial"/>
          <w:sz w:val="20"/>
          <w:szCs w:val="20"/>
        </w:rPr>
        <w:t xml:space="preserve">Objednatel je oprávněn tuto Smlouvu vypovědět, a to i </w:t>
      </w:r>
      <w:r w:rsidR="00B11589" w:rsidRPr="005508F1">
        <w:rPr>
          <w:rFonts w:cs="Arial"/>
          <w:sz w:val="20"/>
          <w:szCs w:val="20"/>
        </w:rPr>
        <w:t xml:space="preserve">bez </w:t>
      </w:r>
      <w:r w:rsidR="00660E56" w:rsidRPr="005508F1">
        <w:rPr>
          <w:rFonts w:cs="Arial"/>
          <w:sz w:val="20"/>
          <w:szCs w:val="20"/>
        </w:rPr>
        <w:t xml:space="preserve">udání důvodu, zároveň je Objednatel oprávněn vypovědět i dílčí </w:t>
      </w:r>
      <w:r w:rsidR="00AB194C">
        <w:rPr>
          <w:rFonts w:cs="Arial"/>
          <w:sz w:val="20"/>
          <w:szCs w:val="20"/>
        </w:rPr>
        <w:t>akce</w:t>
      </w:r>
      <w:r w:rsidR="007067D3" w:rsidRPr="005508F1">
        <w:rPr>
          <w:rFonts w:cs="Arial"/>
          <w:sz w:val="20"/>
          <w:szCs w:val="20"/>
        </w:rPr>
        <w:t xml:space="preserve"> dle </w:t>
      </w:r>
      <w:r w:rsidR="00AB194C">
        <w:rPr>
          <w:rFonts w:cs="Arial"/>
          <w:sz w:val="20"/>
          <w:szCs w:val="20"/>
        </w:rPr>
        <w:t>jednotlivých míst plnění uvedených v</w:t>
      </w:r>
      <w:r w:rsidR="001E72ED">
        <w:rPr>
          <w:rFonts w:cs="Arial"/>
          <w:sz w:val="20"/>
          <w:szCs w:val="20"/>
        </w:rPr>
        <w:t> </w:t>
      </w:r>
      <w:r w:rsidR="00AB194C">
        <w:rPr>
          <w:rFonts w:cs="Arial"/>
          <w:sz w:val="20"/>
          <w:szCs w:val="20"/>
        </w:rPr>
        <w:t>bodě</w:t>
      </w:r>
      <w:r w:rsidR="001E72ED">
        <w:rPr>
          <w:rFonts w:cs="Arial"/>
          <w:sz w:val="20"/>
          <w:szCs w:val="20"/>
        </w:rPr>
        <w:br/>
      </w:r>
      <w:proofErr w:type="gramStart"/>
      <w:r w:rsidR="00AB194C">
        <w:rPr>
          <w:rFonts w:cs="Arial"/>
          <w:sz w:val="20"/>
          <w:szCs w:val="20"/>
        </w:rPr>
        <w:t>5.1</w:t>
      </w:r>
      <w:r w:rsidR="007067D3" w:rsidRPr="005508F1">
        <w:rPr>
          <w:rFonts w:cs="Arial"/>
          <w:sz w:val="20"/>
          <w:szCs w:val="20"/>
        </w:rPr>
        <w:t>. této</w:t>
      </w:r>
      <w:proofErr w:type="gramEnd"/>
      <w:r w:rsidR="007067D3" w:rsidRPr="005508F1">
        <w:rPr>
          <w:rFonts w:cs="Arial"/>
          <w:sz w:val="20"/>
          <w:szCs w:val="20"/>
        </w:rPr>
        <w:t xml:space="preserve"> Smlouvy</w:t>
      </w:r>
      <w:r w:rsidR="00660E56" w:rsidRPr="005508F1">
        <w:rPr>
          <w:rFonts w:cs="Arial"/>
          <w:sz w:val="20"/>
          <w:szCs w:val="20"/>
        </w:rPr>
        <w:t>, a to</w:t>
      </w:r>
      <w:r w:rsidR="007067D3" w:rsidRPr="005508F1">
        <w:rPr>
          <w:rFonts w:cs="Arial"/>
          <w:sz w:val="20"/>
          <w:szCs w:val="20"/>
        </w:rPr>
        <w:t xml:space="preserve"> rovněž</w:t>
      </w:r>
      <w:r w:rsidR="00660E56" w:rsidRPr="005508F1">
        <w:rPr>
          <w:rFonts w:cs="Arial"/>
          <w:sz w:val="20"/>
          <w:szCs w:val="20"/>
        </w:rPr>
        <w:t xml:space="preserve"> i bez udání důvodu.</w:t>
      </w:r>
      <w:r w:rsidRPr="00503EF6">
        <w:rPr>
          <w:rFonts w:cs="Arial"/>
          <w:sz w:val="20"/>
          <w:szCs w:val="20"/>
        </w:rPr>
        <w:t xml:space="preserve">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 xml:space="preserve">věcně a místně </w:t>
      </w:r>
      <w:r w:rsidR="00776CEE" w:rsidRPr="00C87430">
        <w:rPr>
          <w:rFonts w:cs="Arial"/>
          <w:sz w:val="20"/>
          <w:szCs w:val="20"/>
        </w:rPr>
        <w:lastRenderedPageBreak/>
        <w:t>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</w:t>
      </w:r>
      <w:r w:rsidR="00B41126">
        <w:rPr>
          <w:rFonts w:cs="Arial"/>
          <w:sz w:val="20"/>
          <w:szCs w:val="20"/>
        </w:rPr>
        <w:t xml:space="preserve">oveních s platností originálu, </w:t>
      </w:r>
      <w:r w:rsidRPr="00503EF6">
        <w:rPr>
          <w:rFonts w:cs="Arial"/>
          <w:sz w:val="20"/>
          <w:szCs w:val="20"/>
        </w:rPr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plnění</w:t>
      </w:r>
    </w:p>
    <w:p w:rsidR="00E7284A" w:rsidRDefault="00E7284A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 w:rsidRPr="00340544">
        <w:rPr>
          <w:rFonts w:cs="Arial"/>
          <w:sz w:val="20"/>
          <w:szCs w:val="20"/>
        </w:rPr>
        <w:t>Příloha č. 2 – Položkový rozpočet</w:t>
      </w:r>
    </w:p>
    <w:p w:rsidR="00A47D74" w:rsidRPr="00503EF6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:rsidTr="00C3279A">
        <w:tc>
          <w:tcPr>
            <w:tcW w:w="4605" w:type="dxa"/>
            <w:hideMark/>
          </w:tcPr>
          <w:p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A26737">
              <w:rPr>
                <w:rFonts w:eastAsia="Calibri" w:cs="Arial"/>
                <w:sz w:val="20"/>
                <w:lang w:eastAsia="cs-CZ"/>
              </w:rPr>
              <w:t>_________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:rsidTr="00C3279A">
        <w:tc>
          <w:tcPr>
            <w:tcW w:w="4605" w:type="dxa"/>
          </w:tcPr>
          <w:p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7C3406" w:rsidRPr="007C3406" w:rsidRDefault="005A6115" w:rsidP="005A6115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b/>
                <w:sz w:val="20"/>
              </w:rPr>
            </w:pPr>
            <w:r w:rsidRPr="007C3406">
              <w:rPr>
                <w:rFonts w:cs="Arial"/>
                <w:b/>
                <w:sz w:val="20"/>
              </w:rPr>
              <w:t>Dipl.-Pol. Jana Maláčová MSc.</w:t>
            </w:r>
          </w:p>
          <w:p w:rsidR="005A6115" w:rsidRDefault="005A6115" w:rsidP="005A6115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ředitelka</w:t>
            </w:r>
            <w:r w:rsidRPr="004261B5">
              <w:rPr>
                <w:rFonts w:cs="Arial"/>
                <w:sz w:val="20"/>
              </w:rPr>
              <w:t xml:space="preserve"> odboru </w:t>
            </w:r>
            <w:r>
              <w:rPr>
                <w:rFonts w:cs="Arial"/>
                <w:sz w:val="20"/>
              </w:rPr>
              <w:t>rodin</w:t>
            </w:r>
            <w:r w:rsidR="007C3406">
              <w:rPr>
                <w:rFonts w:cs="Arial"/>
                <w:sz w:val="20"/>
              </w:rPr>
              <w:t>né politiky a politiky stárnutí</w:t>
            </w:r>
          </w:p>
          <w:p w:rsidR="0036293E" w:rsidRPr="00C3279A" w:rsidRDefault="005A6115" w:rsidP="005A6115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B70EFC" w:rsidRPr="007C3406" w:rsidRDefault="007C3406" w:rsidP="00B70EF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b/>
                <w:sz w:val="20"/>
                <w:lang w:eastAsia="cs-CZ"/>
              </w:rPr>
            </w:pPr>
            <w:r w:rsidRPr="007C3406">
              <w:rPr>
                <w:rFonts w:eastAsia="Calibri" w:cs="Arial"/>
                <w:b/>
                <w:sz w:val="20"/>
                <w:lang w:eastAsia="cs-CZ"/>
              </w:rPr>
              <w:t>Ing. Daniel Vaverka</w:t>
            </w:r>
          </w:p>
          <w:p w:rsidR="00B70EFC" w:rsidRPr="007C3406" w:rsidRDefault="007C3406" w:rsidP="00B70EF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7C3406">
              <w:rPr>
                <w:rFonts w:eastAsia="Calibri" w:cs="Arial"/>
                <w:sz w:val="20"/>
                <w:lang w:eastAsia="cs-CZ"/>
              </w:rPr>
              <w:t>statutární ředitel</w:t>
            </w:r>
          </w:p>
          <w:p w:rsidR="0036293E" w:rsidRPr="007C3406" w:rsidRDefault="007C3406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proofErr w:type="spellStart"/>
            <w:r w:rsidRPr="007C3406">
              <w:rPr>
                <w:rFonts w:cs="Arial"/>
                <w:sz w:val="20"/>
              </w:rPr>
              <w:t>Omnis</w:t>
            </w:r>
            <w:proofErr w:type="spellEnd"/>
            <w:r w:rsidRPr="007C3406">
              <w:rPr>
                <w:rFonts w:cs="Arial"/>
                <w:sz w:val="20"/>
              </w:rPr>
              <w:t xml:space="preserve"> Olomouc, a.s.</w:t>
            </w:r>
          </w:p>
        </w:tc>
      </w:tr>
    </w:tbl>
    <w:p w:rsidR="0024479E" w:rsidRDefault="0024479E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bookmarkStart w:id="14" w:name="_GoBack"/>
      <w:bookmarkEnd w:id="14"/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Příloha č. 1</w:t>
      </w: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tbl>
      <w:tblPr>
        <w:tblStyle w:val="Mkatabulky"/>
        <w:tblpPr w:leftFromText="141" w:rightFromText="141" w:tblpY="489"/>
        <w:tblW w:w="0" w:type="auto"/>
        <w:tblLook w:val="04A0" w:firstRow="1" w:lastRow="0" w:firstColumn="1" w:lastColumn="0" w:noHBand="0" w:noVBand="1"/>
      </w:tblPr>
      <w:tblGrid>
        <w:gridCol w:w="2559"/>
        <w:gridCol w:w="6726"/>
      </w:tblGrid>
      <w:tr w:rsidR="003A733F" w:rsidRPr="003A733F" w:rsidTr="002510A3">
        <w:tc>
          <w:tcPr>
            <w:tcW w:w="0" w:type="auto"/>
            <w:shd w:val="clear" w:color="auto" w:fill="EEECE1" w:themeFill="background2"/>
            <w:vAlign w:val="center"/>
          </w:tcPr>
          <w:p w:rsidR="003A733F" w:rsidRPr="003A733F" w:rsidRDefault="003A733F" w:rsidP="002510A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Akce – položky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3A733F" w:rsidRPr="003A733F" w:rsidRDefault="003A733F" w:rsidP="002510A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Specifikace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Název akce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Seniorská roadshow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Termín a čas 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18. 9. – 13. 10. 2017, od 14:00 do 18:00 (2 akce v týdnu)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Umístění akce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8 měst v krajích ČR (výběr zadavatelem vzhledem k velikosti, poloze v regionu a dopravní dostupnosti) – umístění akce ve vzdálenosti 20 minut chůze od stanice veřejné dopravy  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3A733F">
              <w:rPr>
                <w:rFonts w:asciiTheme="minorHAnsi" w:hAnsiTheme="minorHAnsi"/>
                <w:sz w:val="22"/>
                <w:szCs w:val="22"/>
              </w:rPr>
              <w:t>Jablonec nad Nisou - Liberecký kraj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3A733F">
              <w:rPr>
                <w:rFonts w:asciiTheme="minorHAnsi" w:hAnsiTheme="minorHAnsi"/>
                <w:sz w:val="22"/>
                <w:szCs w:val="22"/>
              </w:rPr>
              <w:t>Nový Jičín - Moravskoslezský kraj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3A733F">
              <w:rPr>
                <w:rFonts w:asciiTheme="minorHAnsi" w:hAnsiTheme="minorHAnsi"/>
                <w:sz w:val="22"/>
                <w:szCs w:val="22"/>
              </w:rPr>
              <w:t>Vyškov - Jihomoravský kraj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3A733F">
              <w:rPr>
                <w:rFonts w:asciiTheme="minorHAnsi" w:hAnsiTheme="minorHAnsi"/>
                <w:sz w:val="22"/>
                <w:szCs w:val="22"/>
              </w:rPr>
              <w:t>Tachov - Plzeňský kraj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3A733F">
              <w:rPr>
                <w:rFonts w:asciiTheme="minorHAnsi" w:hAnsiTheme="minorHAnsi"/>
                <w:sz w:val="22"/>
                <w:szCs w:val="22"/>
              </w:rPr>
              <w:t>Žďár nad Sázavou - Vysočina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3A733F">
              <w:rPr>
                <w:rFonts w:asciiTheme="minorHAnsi" w:hAnsiTheme="minorHAnsi"/>
                <w:sz w:val="22"/>
                <w:szCs w:val="22"/>
              </w:rPr>
              <w:t>Praha - Praha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3A733F">
              <w:rPr>
                <w:rFonts w:asciiTheme="minorHAnsi" w:hAnsiTheme="minorHAnsi"/>
                <w:sz w:val="22"/>
                <w:szCs w:val="22"/>
              </w:rPr>
              <w:t>Kladno - Střední Čechy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3A733F">
              <w:rPr>
                <w:rFonts w:asciiTheme="minorHAnsi" w:hAnsiTheme="minorHAnsi"/>
                <w:sz w:val="22"/>
                <w:szCs w:val="22"/>
              </w:rPr>
              <w:t>Chrudim – Pardubický kraj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Parkování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Ano, minimálně 10 míst 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Předpokládaný celkový počet účastníků 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textAlignment w:val="auto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z toho: počet řečníků / počet posluchačů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cca 300 na akci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20 (zajistí Objednatel)/280 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Požadavky na prostory 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Kulturní dům, sportovní hala, sokolovna nebo sál hotelu (prostory, ve kterých se v daném městě běžně konají společenské akce podobného charakteru) 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Bezbariérovost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6 x prezentační stánek (stánek o </w:t>
            </w:r>
            <w:proofErr w:type="gramStart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velikosti  2 x 2 m) – na</w:t>
            </w:r>
            <w:proofErr w:type="gramEnd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 každém stánku stůl na informační materiály + 6 míst na sezení  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1x stánek s občerstvením 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3x stůl s lavicemi 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1x stůl u vchodu pro distribuci propagačních materiálů MPSV – min v rozměrech 1,5 x 0,7 m</w:t>
            </w:r>
          </w:p>
        </w:tc>
      </w:tr>
      <w:tr w:rsidR="003A733F" w:rsidRPr="003A733F" w:rsidTr="002510A3">
        <w:trPr>
          <w:trHeight w:val="625"/>
        </w:trPr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Uspořádání prostor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Uspořádání ve tvaru U 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Technické vybavení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Dataprojektor, plátno o velikosti 5 x 2 metry, notebook, 4x mikrofony přenosné, technické zázemí pro hudební kapelu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Ozvučení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Ano, k dispozici pro mluvené slovo min. 4 mikrofony 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Catering: ano/ne a počet osob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sz w:val="22"/>
                <w:szCs w:val="22"/>
              </w:rPr>
              <w:t xml:space="preserve">Ano 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sz w:val="22"/>
                <w:szCs w:val="22"/>
              </w:rPr>
              <w:t xml:space="preserve">8x pro 300 osob (300 ks vod PET láhev 0,5 litru, 600 ks jednohubky – s masem (400 ks), bez masa (200 ks), 5 x ovocná mísa (pro cca 150 osob celkem), 5 x zeleninová mísa (pro cca 150 osob celkem), 100 ks káva (+mléko a cukr), 100 ks čaj – káva a čaj </w:t>
            </w:r>
            <w:proofErr w:type="spellStart"/>
            <w:r w:rsidRPr="003A733F">
              <w:rPr>
                <w:rFonts w:asciiTheme="minorHAnsi" w:hAnsiTheme="minorHAnsi" w:cs="Arial"/>
                <w:i/>
                <w:sz w:val="22"/>
                <w:szCs w:val="22"/>
              </w:rPr>
              <w:t>fairtrade</w:t>
            </w:r>
            <w:proofErr w:type="spellEnd"/>
            <w:r w:rsidRPr="003A733F">
              <w:rPr>
                <w:rFonts w:asciiTheme="minorHAnsi" w:hAnsiTheme="minorHAnsi" w:cs="Arial"/>
                <w:i/>
                <w:sz w:val="22"/>
                <w:szCs w:val="22"/>
              </w:rPr>
              <w:t xml:space="preserve">)  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Pomocný personál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Technik kontrolující funkčnost techniky po celou dobu konání </w:t>
            </w:r>
            <w:proofErr w:type="spellStart"/>
            <w:proofErr w:type="gramStart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akce</w:t>
            </w:r>
            <w:proofErr w:type="gramEnd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,</w:t>
            </w:r>
            <w:proofErr w:type="gramStart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  jedna osoba na obsluhu cateringu 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Fotodokumentace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Ano, počet pořízených fotografií z akce 200 ks, předání v elektronické podobě na </w:t>
            </w:r>
            <w:proofErr w:type="spellStart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flash</w:t>
            </w:r>
            <w:proofErr w:type="spellEnd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 disku do 10 pracovních dnů Objednateli od konání poslední akce.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Videozáznam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Ano (2minutové video pro každý kraj (x8)) Videozáznam bude předán do 10 pracovních dnů Objednateli od konání poslední akce.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lastRenderedPageBreak/>
              <w:t>Bezbariérové prostory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Ano (přístup, toalety)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Zajištění pozvánek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Ano, elektronickou formou i papírovou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Distribuci papírové formy zajistí dodavatel podle dodaného seznamu od Objednatele (seznam bude předán Dodavateli do 3 dnů od podpisu Smlouvy)</w:t>
            </w:r>
          </w:p>
          <w:p w:rsidR="003A733F" w:rsidRPr="003A733F" w:rsidRDefault="003A733F" w:rsidP="002510A3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Pozvánky je třeba distribuovat 5 dní před pořádáním každé akce.</w:t>
            </w:r>
          </w:p>
        </w:tc>
      </w:tr>
      <w:tr w:rsidR="003A733F" w:rsidRPr="003A733F" w:rsidTr="002510A3">
        <w:tc>
          <w:tcPr>
            <w:tcW w:w="0" w:type="auto"/>
            <w:vAlign w:val="center"/>
          </w:tcPr>
          <w:p w:rsidR="003A733F" w:rsidRPr="003A733F" w:rsidRDefault="003A733F" w:rsidP="002510A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Další specifické požadavky</w:t>
            </w:r>
          </w:p>
        </w:tc>
        <w:tc>
          <w:tcPr>
            <w:tcW w:w="0" w:type="auto"/>
            <w:vAlign w:val="center"/>
          </w:tcPr>
          <w:p w:rsidR="003A733F" w:rsidRPr="003A733F" w:rsidRDefault="003A733F" w:rsidP="002510A3">
            <w:pPr>
              <w:pStyle w:val="Odstavecseseznamem"/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Moderátor akce (zkušený moderátor s praxí, přítomen po celou dobu akce)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Hostesky/</w:t>
            </w:r>
            <w:proofErr w:type="spellStart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hostesové</w:t>
            </w:r>
            <w:proofErr w:type="spellEnd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 (4) z řad seniorek a seniorů z místních spolků a seniorských organizací (kontaktní list na organizace dodá Objednatel Dodavateli do 3 dnů od podpisu Smlouvy) 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Zajištění svozu na akci </w:t>
            </w:r>
            <w:proofErr w:type="gramStart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ze</w:t>
            </w:r>
            <w:proofErr w:type="gramEnd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 2 dalších větších měst (nad 20 tisíc obyvatel) v kraji. </w:t>
            </w:r>
          </w:p>
          <w:p w:rsidR="003A733F" w:rsidRPr="003A733F" w:rsidRDefault="003A733F" w:rsidP="002510A3">
            <w:pPr>
              <w:pStyle w:val="Odstavecseseznamem"/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Svoz zajištěn pro 100 lidí pro jednu akci.  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 xml:space="preserve">Barevný leták akce (obsah a grafiku dodá Objednatel Dodavateli do 3 dnů od podpisu Smlouvy) - A4, barevný tisk oboustranný, lesklý, křídový papír, – 3000 ks – bude distribuován Dodavatelem na stáncích 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>Plakát k propagaci akce (obsah a grafiku dodá Objednatel Dodavateli do 3 dnů od podpisu Smlouvy) – A3, barevný tisk, ofset, 100g – 2400 ks (300ks / kraj) – tisk a výlep v okolí místa konání a městech, odkud bude organizován svoz – zajistí Dodavatel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 xml:space="preserve">Výroba celkem 8 </w:t>
            </w:r>
            <w:proofErr w:type="spellStart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>videospotů</w:t>
            </w:r>
            <w:proofErr w:type="spellEnd"/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 xml:space="preserve"> o celkové délce 16 min (2 minuty jeden video spot z každé akce)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 xml:space="preserve">Blok poznámkový A5, 50 listů s logem MPSV, lepená vazba, nelinkovaný - 2400 ks – bude distribuováno na stáncích 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>Kapesní lupa o rozměru 40 mm X 30 mm s logem MPSV - 2400 ks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>Kuličkové pero gelové s logem MPSV -  2400 ks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 xml:space="preserve">Desky papírové s chlopněmi, velikost A4, papírové s logem MPSV, tmavé v počtu - </w:t>
            </w:r>
            <w:r w:rsidRPr="003A733F">
              <w:rPr>
                <w:rFonts w:asciiTheme="minorHAnsi" w:hAnsiTheme="minorHAnsi" w:cs="Arial"/>
                <w:i/>
                <w:sz w:val="22"/>
                <w:szCs w:val="22"/>
                <w:lang w:eastAsia="cs-CZ"/>
              </w:rPr>
              <w:t>2400 ks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>Deštník kapesní, rozkládací s rozměry 87 cm s logem MPSV -  2400 ks (300 ks/kraj)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sz w:val="22"/>
                <w:szCs w:val="22"/>
                <w:lang w:eastAsia="cs-CZ"/>
              </w:rPr>
              <w:t xml:space="preserve">Taška nákupní skládací, bavlněná, </w:t>
            </w:r>
            <w:r w:rsidRPr="003A733F">
              <w:rPr>
                <w:rFonts w:asciiTheme="minorHAnsi" w:hAnsiTheme="minorHAnsi" w:cs="Helvetica"/>
                <w:i/>
                <w:sz w:val="22"/>
                <w:szCs w:val="22"/>
              </w:rPr>
              <w:t>40 x 45 cm, dlouhá ucha 70 cm</w:t>
            </w:r>
            <w:r w:rsidRPr="003A733F">
              <w:rPr>
                <w:rFonts w:asciiTheme="minorHAnsi" w:hAnsiTheme="minorHAnsi" w:cs="Arial"/>
                <w:i/>
                <w:sz w:val="22"/>
                <w:szCs w:val="22"/>
                <w:lang w:eastAsia="cs-CZ"/>
              </w:rPr>
              <w:t xml:space="preserve"> s logem MPSV v počtu - 2400 ks </w:t>
            </w: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>(300 ks/kraj)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sz w:val="22"/>
                <w:szCs w:val="22"/>
                <w:lang w:eastAsia="cs-CZ"/>
              </w:rPr>
              <w:t>Zajištění programu Seniorské roadshow (kulturní program formou hudebního vystoupení min. 45 minut v polovině programu (v cca 16 hodin), dvě zábavné aktivity propagující volnočasové aktivity seniorů v délce 15 minut – zajištěno zadavatelem v rámci spolupráce s Krajskými úřady)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6"/>
              </w:numPr>
              <w:suppressAutoHyphens w:val="0"/>
              <w:overflowPunct/>
              <w:autoSpaceDE/>
              <w:spacing w:after="200" w:line="276" w:lineRule="auto"/>
              <w:contextualSpacing/>
              <w:jc w:val="both"/>
              <w:textAlignment w:val="auto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3A733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  <w:lang w:eastAsia="cs-CZ"/>
              </w:rPr>
              <w:t>Inzertní prostor - v regionálním denním tisku (např. Deník) ve všech krajích minimálně 1/4 strany, barevný, obsah a grafickou podobu dodá Objednatel Dodavateli (3 inzeráty v týdnu před akcí)</w:t>
            </w:r>
          </w:p>
        </w:tc>
      </w:tr>
      <w:tr w:rsidR="003A733F" w:rsidRPr="003A733F" w:rsidTr="002510A3">
        <w:tc>
          <w:tcPr>
            <w:tcW w:w="2559" w:type="dxa"/>
          </w:tcPr>
          <w:p w:rsidR="003A733F" w:rsidRPr="003A733F" w:rsidRDefault="003A733F" w:rsidP="002510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A733F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SENIOR ROADSHOW</w:t>
            </w:r>
          </w:p>
        </w:tc>
        <w:tc>
          <w:tcPr>
            <w:tcW w:w="6729" w:type="dxa"/>
          </w:tcPr>
          <w:p w:rsidR="003A733F" w:rsidRPr="003A733F" w:rsidRDefault="003A733F" w:rsidP="002510A3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 xml:space="preserve">Hlavní náplň by měly být informační stánky, výstavy a přednášky v hlavních oblastech politiky stárnutí, tj. </w:t>
            </w:r>
          </w:p>
          <w:p w:rsidR="003A733F" w:rsidRPr="003A733F" w:rsidRDefault="003A733F" w:rsidP="002510A3">
            <w:pPr>
              <w:pStyle w:val="Odstavecseseznamem"/>
              <w:ind w:left="36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ind w:left="360"/>
              <w:contextualSpacing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Důchodový systém (ČSSZ) – např. možnost nechat si spočítat důchod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ind w:left="360"/>
              <w:contextualSpacing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Sociální služby (MPSV) – poradenství, jak zajistit péči o osobu blízkou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ind w:left="360"/>
              <w:contextualSpacing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Poradenství ohledně nároku na sociální dávky (ÚP) v krizových životních situacích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ind w:left="360"/>
              <w:contextualSpacing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 xml:space="preserve">Poradenství ohledně zaměstnanosti generace 50+ (jak se bránit nezaměstnanosti, </w:t>
            </w:r>
            <w:proofErr w:type="spellStart"/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age</w:t>
            </w:r>
            <w:proofErr w:type="spellEnd"/>
            <w:r w:rsidRPr="003A733F">
              <w:rPr>
                <w:rFonts w:asciiTheme="minorHAnsi" w:hAnsiTheme="minorHAnsi"/>
                <w:i/>
                <w:sz w:val="22"/>
                <w:szCs w:val="22"/>
              </w:rPr>
              <w:t xml:space="preserve"> management, apod.), která školení fungují, jak změnit povolání v pokročilém věku a uchránit se zároveň před dopady digitalizace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ind w:left="360"/>
              <w:contextualSpacing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Spotřebitelská práva a ochrana před tzv. šmejdy a problematikou exekucí (MPO, ÚV a MS)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ind w:left="360"/>
              <w:contextualSpacing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Bezpečnost seniorů (před kriminalitou i nehodami, zejména požáry – MV)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ind w:left="360"/>
              <w:contextualSpacing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Zdravotní prevence, sport a zdraví životní styl (</w:t>
            </w:r>
            <w:proofErr w:type="spellStart"/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MZe</w:t>
            </w:r>
            <w:proofErr w:type="spellEnd"/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ind w:left="360"/>
              <w:contextualSpacing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>Lidská práva a senioři (ÚV)</w:t>
            </w:r>
          </w:p>
          <w:p w:rsidR="003A733F" w:rsidRPr="003A733F" w:rsidRDefault="003A733F" w:rsidP="003A733F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ind w:left="360"/>
              <w:contextualSpacing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A733F">
              <w:rPr>
                <w:rFonts w:asciiTheme="minorHAnsi" w:hAnsiTheme="minorHAnsi"/>
                <w:i/>
                <w:sz w:val="22"/>
                <w:szCs w:val="22"/>
              </w:rPr>
              <w:t xml:space="preserve">Celoživotní vzdělávání (MŠMT) </w:t>
            </w:r>
          </w:p>
        </w:tc>
      </w:tr>
    </w:tbl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A733F" w:rsidRDefault="003A733F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87B20" w:rsidRDefault="00D87B2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87B20" w:rsidRDefault="00D87B2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  <w:sectPr w:rsidR="00D87B20" w:rsidSect="002752D8">
          <w:footerReference w:type="default" r:id="rId9"/>
          <w:footerReference w:type="first" r:id="rId10"/>
          <w:pgSz w:w="11905" w:h="16837"/>
          <w:pgMar w:top="1418" w:right="1418" w:bottom="1418" w:left="1418" w:header="709" w:footer="709" w:gutter="0"/>
          <w:cols w:space="720"/>
          <w:docGrid w:linePitch="360"/>
        </w:sectPr>
      </w:pPr>
    </w:p>
    <w:tbl>
      <w:tblPr>
        <w:tblStyle w:val="Mkatabulky"/>
        <w:tblpPr w:leftFromText="141" w:rightFromText="141" w:horzAnchor="margin" w:tblpY="-402"/>
        <w:tblW w:w="14492" w:type="dxa"/>
        <w:tblLook w:val="04A0" w:firstRow="1" w:lastRow="0" w:firstColumn="1" w:lastColumn="0" w:noHBand="0" w:noVBand="1"/>
      </w:tblPr>
      <w:tblGrid>
        <w:gridCol w:w="2669"/>
        <w:gridCol w:w="2161"/>
        <w:gridCol w:w="2415"/>
        <w:gridCol w:w="2415"/>
        <w:gridCol w:w="2416"/>
        <w:gridCol w:w="2416"/>
      </w:tblGrid>
      <w:tr w:rsidR="00D87B20" w:rsidRPr="00D87B20" w:rsidTr="002510A3">
        <w:trPr>
          <w:trHeight w:val="345"/>
        </w:trPr>
        <w:tc>
          <w:tcPr>
            <w:tcW w:w="2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Položka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Množství</w:t>
            </w:r>
          </w:p>
        </w:tc>
        <w:tc>
          <w:tcPr>
            <w:tcW w:w="24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Nabídková cena</w:t>
            </w:r>
          </w:p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(v Kč bez DPH)</w:t>
            </w:r>
          </w:p>
        </w:tc>
        <w:tc>
          <w:tcPr>
            <w:tcW w:w="24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Výše 15% DPH</w:t>
            </w:r>
          </w:p>
        </w:tc>
        <w:tc>
          <w:tcPr>
            <w:tcW w:w="24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Výše 21% DPH</w:t>
            </w:r>
          </w:p>
        </w:tc>
        <w:tc>
          <w:tcPr>
            <w:tcW w:w="24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Nabídková cena</w:t>
            </w:r>
          </w:p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(v Kč vč. DPH)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Pronájem prostor</w:t>
            </w:r>
          </w:p>
        </w:tc>
        <w:tc>
          <w:tcPr>
            <w:tcW w:w="2161" w:type="dxa"/>
            <w:tcBorders>
              <w:top w:val="single" w:sz="18" w:space="0" w:color="auto"/>
            </w:tcBorders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8x</w:t>
            </w:r>
          </w:p>
        </w:tc>
        <w:tc>
          <w:tcPr>
            <w:tcW w:w="2415" w:type="dxa"/>
            <w:tcBorders>
              <w:top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160000,-</w:t>
            </w:r>
          </w:p>
        </w:tc>
        <w:tc>
          <w:tcPr>
            <w:tcW w:w="2415" w:type="dxa"/>
            <w:tcBorders>
              <w:top w:val="single" w:sz="18" w:space="0" w:color="auto"/>
            </w:tcBorders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tcBorders>
              <w:top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33600,-</w:t>
            </w:r>
          </w:p>
        </w:tc>
        <w:tc>
          <w:tcPr>
            <w:tcW w:w="24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193600,-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Technické zajištění akcí (stánky, ozvučení, zázemí pro kulturní program a catering)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8x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400000,-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84000,-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484000,-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Blok poznámkový A5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 Ks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5040,-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29040,-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Kapesní lupa s logem MPSV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 Ks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5040,-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29040,-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Kuličkové pero gelové s logem MPSV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 Ks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5040,-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29040,-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Desky papírové s chlopněmi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 Ks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5040,-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29040,-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Deštník kapesní, rozkládací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 Ks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160000,-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33600,-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193600,-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Taška nákupní skládací, bavlněná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 Ks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64000,-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13440,-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77440,-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Inzerce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8x 3 inzeráty v týdnu před akcí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200000,-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42000,-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242000,-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Catering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8x 300 osob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400000,-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84000,-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484000,-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Fotodokumentace a videozáznam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8x 2 minuty z každé akce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40000,-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8400,-</w:t>
            </w:r>
          </w:p>
        </w:tc>
        <w:tc>
          <w:tcPr>
            <w:tcW w:w="241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48400,-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Moderátor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8x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64000,-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13440,-</w:t>
            </w:r>
          </w:p>
        </w:tc>
        <w:tc>
          <w:tcPr>
            <w:tcW w:w="2416" w:type="dxa"/>
            <w:tcBorders>
              <w:bottom w:val="nil"/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77440,-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Hudební vystoupení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8x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80000,-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16800,-</w:t>
            </w:r>
          </w:p>
        </w:tc>
        <w:tc>
          <w:tcPr>
            <w:tcW w:w="2416" w:type="dxa"/>
            <w:tcBorders>
              <w:top w:val="nil"/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96800,-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Svoz účastníků z okolních měst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8x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80000,-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16800,-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96800,-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Letáky A5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3000 ks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16000,-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3360,-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19360,-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87B20">
              <w:rPr>
                <w:rFonts w:asciiTheme="minorHAnsi" w:hAnsiTheme="minorHAnsi"/>
                <w:sz w:val="22"/>
                <w:szCs w:val="22"/>
              </w:rPr>
              <w:t>Platáky</w:t>
            </w:r>
            <w:proofErr w:type="spellEnd"/>
            <w:r w:rsidRPr="00D87B20">
              <w:rPr>
                <w:rFonts w:asciiTheme="minorHAnsi" w:hAnsiTheme="minorHAnsi"/>
                <w:sz w:val="22"/>
                <w:szCs w:val="22"/>
              </w:rPr>
              <w:t xml:space="preserve"> A3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2400 ks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16000,-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3360,-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19360,-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Ostatní náklady</w:t>
            </w:r>
          </w:p>
        </w:tc>
        <w:tc>
          <w:tcPr>
            <w:tcW w:w="2161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120000,-</w:t>
            </w:r>
          </w:p>
        </w:tc>
        <w:tc>
          <w:tcPr>
            <w:tcW w:w="2415" w:type="dxa"/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25200,-</w:t>
            </w:r>
          </w:p>
        </w:tc>
        <w:tc>
          <w:tcPr>
            <w:tcW w:w="2416" w:type="dxa"/>
            <w:tcBorders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145200,-</w:t>
            </w:r>
          </w:p>
        </w:tc>
      </w:tr>
      <w:tr w:rsidR="00D87B20" w:rsidRPr="00D87B20" w:rsidTr="002510A3">
        <w:trPr>
          <w:trHeight w:val="345"/>
        </w:trPr>
        <w:tc>
          <w:tcPr>
            <w:tcW w:w="26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2161" w:type="dxa"/>
            <w:tcBorders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1.896.000,-</w:t>
            </w:r>
          </w:p>
        </w:tc>
        <w:tc>
          <w:tcPr>
            <w:tcW w:w="2415" w:type="dxa"/>
            <w:tcBorders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  <w:tc>
          <w:tcPr>
            <w:tcW w:w="2416" w:type="dxa"/>
            <w:tcBorders>
              <w:bottom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398.160</w:t>
            </w:r>
            <w:r w:rsidRPr="00D87B20">
              <w:rPr>
                <w:rFonts w:asciiTheme="minorHAnsi" w:hAnsiTheme="minorHAnsi"/>
                <w:sz w:val="22"/>
                <w:szCs w:val="22"/>
              </w:rPr>
              <w:t>,-</w:t>
            </w:r>
          </w:p>
        </w:tc>
        <w:tc>
          <w:tcPr>
            <w:tcW w:w="24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87B20" w:rsidRPr="00D87B20" w:rsidRDefault="00D87B20" w:rsidP="002510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7B20">
              <w:rPr>
                <w:rFonts w:asciiTheme="minorHAnsi" w:hAnsiTheme="minorHAnsi"/>
                <w:b/>
                <w:sz w:val="22"/>
                <w:szCs w:val="22"/>
              </w:rPr>
              <w:t>2.294.160</w:t>
            </w:r>
            <w:r w:rsidRPr="00D87B20">
              <w:rPr>
                <w:rFonts w:asciiTheme="minorHAnsi" w:hAnsiTheme="minorHAnsi"/>
                <w:sz w:val="22"/>
                <w:szCs w:val="22"/>
              </w:rPr>
              <w:t>,-</w:t>
            </w:r>
          </w:p>
        </w:tc>
      </w:tr>
    </w:tbl>
    <w:p w:rsidR="00D87B20" w:rsidRPr="00D87B20" w:rsidRDefault="00D87B20" w:rsidP="00D81532">
      <w:pPr>
        <w:suppressAutoHyphens w:val="0"/>
        <w:overflowPunct/>
        <w:autoSpaceDE/>
        <w:textAlignment w:val="auto"/>
        <w:rPr>
          <w:rFonts w:asciiTheme="minorHAnsi" w:hAnsiTheme="minorHAnsi" w:cs="Arial"/>
          <w:b/>
          <w:sz w:val="22"/>
          <w:szCs w:val="22"/>
        </w:rPr>
      </w:pPr>
    </w:p>
    <w:sectPr w:rsidR="00D87B20" w:rsidRPr="00D87B20" w:rsidSect="00D87B20">
      <w:pgSz w:w="16837" w:h="11905" w:orient="landscape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A2" w:rsidRDefault="00330FA2">
      <w:r>
        <w:separator/>
      </w:r>
    </w:p>
  </w:endnote>
  <w:endnote w:type="continuationSeparator" w:id="0">
    <w:p w:rsidR="00330FA2" w:rsidRDefault="0033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19062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60356864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7521BF" w:rsidRPr="008146A6" w:rsidRDefault="007521BF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87B20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87B20">
              <w:rPr>
                <w:rFonts w:ascii="Arial" w:hAnsi="Arial" w:cs="Arial"/>
                <w:bCs/>
                <w:noProof/>
                <w:sz w:val="18"/>
                <w:szCs w:val="18"/>
              </w:rPr>
              <w:t>13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BF" w:rsidRDefault="007521B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7521BF" w:rsidRPr="00AA65F2" w:rsidRDefault="007521BF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A2" w:rsidRDefault="00330FA2">
      <w:r>
        <w:separator/>
      </w:r>
    </w:p>
  </w:footnote>
  <w:footnote w:type="continuationSeparator" w:id="0">
    <w:p w:rsidR="00330FA2" w:rsidRDefault="0033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FF4F9C"/>
    <w:multiLevelType w:val="multilevel"/>
    <w:tmpl w:val="AE0C863E"/>
    <w:lvl w:ilvl="0">
      <w:start w:val="4"/>
      <w:numFmt w:val="bullet"/>
      <w:lvlText w:val="-"/>
      <w:lvlJc w:val="left"/>
      <w:pPr>
        <w:ind w:left="390" w:hanging="39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E1008"/>
    <w:multiLevelType w:val="hybridMultilevel"/>
    <w:tmpl w:val="A19C7BBA"/>
    <w:lvl w:ilvl="0" w:tplc="9762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197671"/>
    <w:multiLevelType w:val="hybridMultilevel"/>
    <w:tmpl w:val="214EF4C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B924B0"/>
    <w:multiLevelType w:val="hybridMultilevel"/>
    <w:tmpl w:val="7FD6C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C5D22"/>
    <w:multiLevelType w:val="hybridMultilevel"/>
    <w:tmpl w:val="6B4E1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4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34F1D"/>
    <w:multiLevelType w:val="multilevel"/>
    <w:tmpl w:val="AF9EF6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7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14"/>
  </w:num>
  <w:num w:numId="4">
    <w:abstractNumId w:val="3"/>
  </w:num>
  <w:num w:numId="5">
    <w:abstractNumId w:val="0"/>
  </w:num>
  <w:num w:numId="6">
    <w:abstractNumId w:val="17"/>
  </w:num>
  <w:num w:numId="7">
    <w:abstractNumId w:val="18"/>
  </w:num>
  <w:num w:numId="8">
    <w:abstractNumId w:val="13"/>
  </w:num>
  <w:num w:numId="9">
    <w:abstractNumId w:val="29"/>
  </w:num>
  <w:num w:numId="10">
    <w:abstractNumId w:val="3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0"/>
  </w:num>
  <w:num w:numId="14">
    <w:abstractNumId w:val="6"/>
  </w:num>
  <w:num w:numId="15">
    <w:abstractNumId w:val="9"/>
  </w:num>
  <w:num w:numId="16">
    <w:abstractNumId w:val="7"/>
  </w:num>
  <w:num w:numId="17">
    <w:abstractNumId w:val="24"/>
  </w:num>
  <w:num w:numId="18">
    <w:abstractNumId w:val="27"/>
  </w:num>
  <w:num w:numId="19">
    <w:abstractNumId w:val="33"/>
  </w:num>
  <w:num w:numId="20">
    <w:abstractNumId w:val="26"/>
  </w:num>
  <w:num w:numId="21">
    <w:abstractNumId w:val="31"/>
  </w:num>
  <w:num w:numId="22">
    <w:abstractNumId w:val="15"/>
  </w:num>
  <w:num w:numId="23">
    <w:abstractNumId w:val="28"/>
  </w:num>
  <w:num w:numId="24">
    <w:abstractNumId w:val="4"/>
  </w:num>
  <w:num w:numId="25">
    <w:abstractNumId w:val="5"/>
  </w:num>
  <w:num w:numId="26">
    <w:abstractNumId w:val="19"/>
  </w:num>
  <w:num w:numId="27">
    <w:abstractNumId w:val="10"/>
  </w:num>
  <w:num w:numId="28">
    <w:abstractNumId w:val="2"/>
  </w:num>
  <w:num w:numId="29">
    <w:abstractNumId w:val="3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8"/>
  </w:num>
  <w:num w:numId="33">
    <w:abstractNumId w:val="1"/>
  </w:num>
  <w:num w:numId="34">
    <w:abstractNumId w:val="23"/>
  </w:num>
  <w:num w:numId="35">
    <w:abstractNumId w:val="23"/>
  </w:num>
  <w:num w:numId="36">
    <w:abstractNumId w:val="22"/>
  </w:num>
  <w:num w:numId="3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3551"/>
    <w:rsid w:val="000158A8"/>
    <w:rsid w:val="00016495"/>
    <w:rsid w:val="00016683"/>
    <w:rsid w:val="00020E30"/>
    <w:rsid w:val="00022D09"/>
    <w:rsid w:val="00022E3E"/>
    <w:rsid w:val="00023016"/>
    <w:rsid w:val="00024B18"/>
    <w:rsid w:val="00025FCC"/>
    <w:rsid w:val="000270BF"/>
    <w:rsid w:val="00027820"/>
    <w:rsid w:val="00030AE7"/>
    <w:rsid w:val="00031128"/>
    <w:rsid w:val="00032BCB"/>
    <w:rsid w:val="00033369"/>
    <w:rsid w:val="00033D28"/>
    <w:rsid w:val="00036003"/>
    <w:rsid w:val="000368C9"/>
    <w:rsid w:val="0004005E"/>
    <w:rsid w:val="00044D92"/>
    <w:rsid w:val="00046426"/>
    <w:rsid w:val="00047714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6463"/>
    <w:rsid w:val="00081188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959E6"/>
    <w:rsid w:val="000A0117"/>
    <w:rsid w:val="000A11AA"/>
    <w:rsid w:val="000A15A1"/>
    <w:rsid w:val="000A2BD3"/>
    <w:rsid w:val="000A2D1C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203C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D750D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253C3"/>
    <w:rsid w:val="0013033E"/>
    <w:rsid w:val="00132DFD"/>
    <w:rsid w:val="00133174"/>
    <w:rsid w:val="001340F1"/>
    <w:rsid w:val="001356E8"/>
    <w:rsid w:val="00136284"/>
    <w:rsid w:val="00136550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923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0FD5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BA7"/>
    <w:rsid w:val="001D5D32"/>
    <w:rsid w:val="001D6764"/>
    <w:rsid w:val="001D6EF4"/>
    <w:rsid w:val="001E0B54"/>
    <w:rsid w:val="001E0DE6"/>
    <w:rsid w:val="001E2D1A"/>
    <w:rsid w:val="001E3C09"/>
    <w:rsid w:val="001E42ED"/>
    <w:rsid w:val="001E4C7D"/>
    <w:rsid w:val="001E72ED"/>
    <w:rsid w:val="001F06A2"/>
    <w:rsid w:val="001F099D"/>
    <w:rsid w:val="001F1136"/>
    <w:rsid w:val="001F180E"/>
    <w:rsid w:val="001F28D6"/>
    <w:rsid w:val="001F3D1C"/>
    <w:rsid w:val="001F4031"/>
    <w:rsid w:val="001F67EB"/>
    <w:rsid w:val="00202264"/>
    <w:rsid w:val="00203627"/>
    <w:rsid w:val="00204140"/>
    <w:rsid w:val="00204FCA"/>
    <w:rsid w:val="0020652A"/>
    <w:rsid w:val="002066B3"/>
    <w:rsid w:val="002068A9"/>
    <w:rsid w:val="002076D3"/>
    <w:rsid w:val="00210353"/>
    <w:rsid w:val="0021050D"/>
    <w:rsid w:val="00211C7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BC4"/>
    <w:rsid w:val="0023317A"/>
    <w:rsid w:val="00233C1E"/>
    <w:rsid w:val="00234DF5"/>
    <w:rsid w:val="002359AB"/>
    <w:rsid w:val="00235FD4"/>
    <w:rsid w:val="002412CE"/>
    <w:rsid w:val="00241CCA"/>
    <w:rsid w:val="0024232A"/>
    <w:rsid w:val="0024479E"/>
    <w:rsid w:val="002447B7"/>
    <w:rsid w:val="0024544E"/>
    <w:rsid w:val="00246C36"/>
    <w:rsid w:val="002479EB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6EAE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978B4"/>
    <w:rsid w:val="002A08AD"/>
    <w:rsid w:val="002A090C"/>
    <w:rsid w:val="002A2910"/>
    <w:rsid w:val="002A2AFB"/>
    <w:rsid w:val="002A40F1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F0889"/>
    <w:rsid w:val="002F290A"/>
    <w:rsid w:val="002F3D66"/>
    <w:rsid w:val="002F4E4F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0FA2"/>
    <w:rsid w:val="00332409"/>
    <w:rsid w:val="00333AEB"/>
    <w:rsid w:val="00334F72"/>
    <w:rsid w:val="00335BBC"/>
    <w:rsid w:val="00340544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1EB2"/>
    <w:rsid w:val="0036293E"/>
    <w:rsid w:val="00363505"/>
    <w:rsid w:val="00363CDA"/>
    <w:rsid w:val="00363DD6"/>
    <w:rsid w:val="00363E05"/>
    <w:rsid w:val="00364D86"/>
    <w:rsid w:val="003663F5"/>
    <w:rsid w:val="00366E6C"/>
    <w:rsid w:val="00375396"/>
    <w:rsid w:val="0037655B"/>
    <w:rsid w:val="00377AFB"/>
    <w:rsid w:val="0038088C"/>
    <w:rsid w:val="003809BD"/>
    <w:rsid w:val="00382494"/>
    <w:rsid w:val="00382BEC"/>
    <w:rsid w:val="00383035"/>
    <w:rsid w:val="00383C90"/>
    <w:rsid w:val="003874C6"/>
    <w:rsid w:val="003907DC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A733F"/>
    <w:rsid w:val="003B0216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D74D5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4D9E"/>
    <w:rsid w:val="004357CC"/>
    <w:rsid w:val="0043607B"/>
    <w:rsid w:val="00436DED"/>
    <w:rsid w:val="004370F5"/>
    <w:rsid w:val="00437348"/>
    <w:rsid w:val="00437D61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0942"/>
    <w:rsid w:val="00461990"/>
    <w:rsid w:val="00463BBC"/>
    <w:rsid w:val="00463C2D"/>
    <w:rsid w:val="004654D9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6262"/>
    <w:rsid w:val="00497350"/>
    <w:rsid w:val="0049793E"/>
    <w:rsid w:val="004A00AA"/>
    <w:rsid w:val="004A1D46"/>
    <w:rsid w:val="004A3C16"/>
    <w:rsid w:val="004A5B1D"/>
    <w:rsid w:val="004A5DAD"/>
    <w:rsid w:val="004B039D"/>
    <w:rsid w:val="004B106B"/>
    <w:rsid w:val="004B2CF2"/>
    <w:rsid w:val="004B3419"/>
    <w:rsid w:val="004B3D51"/>
    <w:rsid w:val="004B439F"/>
    <w:rsid w:val="004B5770"/>
    <w:rsid w:val="004B673A"/>
    <w:rsid w:val="004B6F46"/>
    <w:rsid w:val="004C2B58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91D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26BBD"/>
    <w:rsid w:val="00530AC0"/>
    <w:rsid w:val="00530CF2"/>
    <w:rsid w:val="00531718"/>
    <w:rsid w:val="0053173A"/>
    <w:rsid w:val="00533A73"/>
    <w:rsid w:val="0053459A"/>
    <w:rsid w:val="005355AB"/>
    <w:rsid w:val="0053627E"/>
    <w:rsid w:val="005370D2"/>
    <w:rsid w:val="0053776E"/>
    <w:rsid w:val="00540233"/>
    <w:rsid w:val="005407F9"/>
    <w:rsid w:val="00541BCF"/>
    <w:rsid w:val="00542441"/>
    <w:rsid w:val="00542F0E"/>
    <w:rsid w:val="005466FC"/>
    <w:rsid w:val="005508F1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160B"/>
    <w:rsid w:val="00583DA3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5E7A"/>
    <w:rsid w:val="005961F7"/>
    <w:rsid w:val="005A3444"/>
    <w:rsid w:val="005A44D0"/>
    <w:rsid w:val="005A6115"/>
    <w:rsid w:val="005A7A9B"/>
    <w:rsid w:val="005B1C17"/>
    <w:rsid w:val="005B517B"/>
    <w:rsid w:val="005B5AF6"/>
    <w:rsid w:val="005B5E38"/>
    <w:rsid w:val="005B60DF"/>
    <w:rsid w:val="005B61BD"/>
    <w:rsid w:val="005B6929"/>
    <w:rsid w:val="005B7972"/>
    <w:rsid w:val="005C08D7"/>
    <w:rsid w:val="005C1E90"/>
    <w:rsid w:val="005C1EA8"/>
    <w:rsid w:val="005C3E55"/>
    <w:rsid w:val="005C42E2"/>
    <w:rsid w:val="005C4323"/>
    <w:rsid w:val="005C4767"/>
    <w:rsid w:val="005C495D"/>
    <w:rsid w:val="005C5E4B"/>
    <w:rsid w:val="005C6C6D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526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24DB"/>
    <w:rsid w:val="00633074"/>
    <w:rsid w:val="006336EB"/>
    <w:rsid w:val="00634D44"/>
    <w:rsid w:val="00635134"/>
    <w:rsid w:val="00636E50"/>
    <w:rsid w:val="00640D54"/>
    <w:rsid w:val="00641082"/>
    <w:rsid w:val="00641E76"/>
    <w:rsid w:val="00643182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60E56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5F72"/>
    <w:rsid w:val="006765E1"/>
    <w:rsid w:val="00676F20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4FBA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DED"/>
    <w:rsid w:val="006C1DBA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AE7"/>
    <w:rsid w:val="006D0CC5"/>
    <w:rsid w:val="006D263F"/>
    <w:rsid w:val="006D3D0B"/>
    <w:rsid w:val="006D4BC0"/>
    <w:rsid w:val="006D4CF1"/>
    <w:rsid w:val="006D57B5"/>
    <w:rsid w:val="006E005D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16A1"/>
    <w:rsid w:val="007046E2"/>
    <w:rsid w:val="00705AB8"/>
    <w:rsid w:val="007061F4"/>
    <w:rsid w:val="007067D3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1BF"/>
    <w:rsid w:val="0075227B"/>
    <w:rsid w:val="00752717"/>
    <w:rsid w:val="0075342D"/>
    <w:rsid w:val="00753AF7"/>
    <w:rsid w:val="00753F0C"/>
    <w:rsid w:val="00760D35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B7898"/>
    <w:rsid w:val="007C3406"/>
    <w:rsid w:val="007C5826"/>
    <w:rsid w:val="007C5EB9"/>
    <w:rsid w:val="007D0CAC"/>
    <w:rsid w:val="007D18D7"/>
    <w:rsid w:val="007D29A6"/>
    <w:rsid w:val="007D2CE6"/>
    <w:rsid w:val="007D6243"/>
    <w:rsid w:val="007D63A5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149E"/>
    <w:rsid w:val="00821AE3"/>
    <w:rsid w:val="00823A88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2027"/>
    <w:rsid w:val="00884B52"/>
    <w:rsid w:val="008853BF"/>
    <w:rsid w:val="008867CE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35E4"/>
    <w:rsid w:val="009341C1"/>
    <w:rsid w:val="00934510"/>
    <w:rsid w:val="00936D3D"/>
    <w:rsid w:val="009451F2"/>
    <w:rsid w:val="00946563"/>
    <w:rsid w:val="009469F3"/>
    <w:rsid w:val="00946A81"/>
    <w:rsid w:val="009508B5"/>
    <w:rsid w:val="0095102A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0DF"/>
    <w:rsid w:val="009641AA"/>
    <w:rsid w:val="009659C9"/>
    <w:rsid w:val="009660CA"/>
    <w:rsid w:val="0096636E"/>
    <w:rsid w:val="009666FD"/>
    <w:rsid w:val="00967958"/>
    <w:rsid w:val="00970423"/>
    <w:rsid w:val="00971B85"/>
    <w:rsid w:val="00971E0E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2CCB"/>
    <w:rsid w:val="00993820"/>
    <w:rsid w:val="009939BC"/>
    <w:rsid w:val="00993EE5"/>
    <w:rsid w:val="00994791"/>
    <w:rsid w:val="00995C81"/>
    <w:rsid w:val="0099659D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5DBF"/>
    <w:rsid w:val="009A781D"/>
    <w:rsid w:val="009B26F7"/>
    <w:rsid w:val="009B29D3"/>
    <w:rsid w:val="009B44BD"/>
    <w:rsid w:val="009B44C9"/>
    <w:rsid w:val="009B517B"/>
    <w:rsid w:val="009B6D08"/>
    <w:rsid w:val="009B7383"/>
    <w:rsid w:val="009C0307"/>
    <w:rsid w:val="009C15A3"/>
    <w:rsid w:val="009C1A02"/>
    <w:rsid w:val="009C1CED"/>
    <w:rsid w:val="009C4616"/>
    <w:rsid w:val="009C485A"/>
    <w:rsid w:val="009C5285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E5B1C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6B4A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6634"/>
    <w:rsid w:val="00A46D2F"/>
    <w:rsid w:val="00A47D74"/>
    <w:rsid w:val="00A47FFB"/>
    <w:rsid w:val="00A5044A"/>
    <w:rsid w:val="00A50B0B"/>
    <w:rsid w:val="00A50B5F"/>
    <w:rsid w:val="00A5138A"/>
    <w:rsid w:val="00A51490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6763D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5677"/>
    <w:rsid w:val="00A863F1"/>
    <w:rsid w:val="00A91F3E"/>
    <w:rsid w:val="00A91F7E"/>
    <w:rsid w:val="00A925DC"/>
    <w:rsid w:val="00A92674"/>
    <w:rsid w:val="00A92866"/>
    <w:rsid w:val="00A9371D"/>
    <w:rsid w:val="00A93D88"/>
    <w:rsid w:val="00A945BB"/>
    <w:rsid w:val="00A949CE"/>
    <w:rsid w:val="00A95307"/>
    <w:rsid w:val="00A95633"/>
    <w:rsid w:val="00A95E3B"/>
    <w:rsid w:val="00AA13F2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94C"/>
    <w:rsid w:val="00AB1A19"/>
    <w:rsid w:val="00AB597D"/>
    <w:rsid w:val="00AB65C4"/>
    <w:rsid w:val="00AB7729"/>
    <w:rsid w:val="00AB7F76"/>
    <w:rsid w:val="00AC018F"/>
    <w:rsid w:val="00AC1CAF"/>
    <w:rsid w:val="00AC2A94"/>
    <w:rsid w:val="00AC3030"/>
    <w:rsid w:val="00AC400C"/>
    <w:rsid w:val="00AC45EE"/>
    <w:rsid w:val="00AC5DC8"/>
    <w:rsid w:val="00AC7360"/>
    <w:rsid w:val="00AD1EB7"/>
    <w:rsid w:val="00AD39A9"/>
    <w:rsid w:val="00AD4845"/>
    <w:rsid w:val="00AD5E45"/>
    <w:rsid w:val="00AD6418"/>
    <w:rsid w:val="00AD6A2F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AF745E"/>
    <w:rsid w:val="00AF7921"/>
    <w:rsid w:val="00B0023A"/>
    <w:rsid w:val="00B00E4B"/>
    <w:rsid w:val="00B01C1A"/>
    <w:rsid w:val="00B03413"/>
    <w:rsid w:val="00B03F88"/>
    <w:rsid w:val="00B045A7"/>
    <w:rsid w:val="00B053C6"/>
    <w:rsid w:val="00B05977"/>
    <w:rsid w:val="00B05D6C"/>
    <w:rsid w:val="00B10BF3"/>
    <w:rsid w:val="00B1104F"/>
    <w:rsid w:val="00B11589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5F3"/>
    <w:rsid w:val="00B24FCB"/>
    <w:rsid w:val="00B25B9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126"/>
    <w:rsid w:val="00B4150A"/>
    <w:rsid w:val="00B423D6"/>
    <w:rsid w:val="00B42821"/>
    <w:rsid w:val="00B4459B"/>
    <w:rsid w:val="00B44DA0"/>
    <w:rsid w:val="00B44FA3"/>
    <w:rsid w:val="00B52F4B"/>
    <w:rsid w:val="00B548C2"/>
    <w:rsid w:val="00B549B7"/>
    <w:rsid w:val="00B56593"/>
    <w:rsid w:val="00B56F7C"/>
    <w:rsid w:val="00B57599"/>
    <w:rsid w:val="00B5766E"/>
    <w:rsid w:val="00B6179C"/>
    <w:rsid w:val="00B61AFD"/>
    <w:rsid w:val="00B632E5"/>
    <w:rsid w:val="00B6386F"/>
    <w:rsid w:val="00B65139"/>
    <w:rsid w:val="00B65970"/>
    <w:rsid w:val="00B65A2B"/>
    <w:rsid w:val="00B66886"/>
    <w:rsid w:val="00B6689F"/>
    <w:rsid w:val="00B67CF1"/>
    <w:rsid w:val="00B70E4B"/>
    <w:rsid w:val="00B70EFC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C23"/>
    <w:rsid w:val="00BA53DB"/>
    <w:rsid w:val="00BA64AF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48E"/>
    <w:rsid w:val="00C03994"/>
    <w:rsid w:val="00C05188"/>
    <w:rsid w:val="00C0533C"/>
    <w:rsid w:val="00C060A5"/>
    <w:rsid w:val="00C06CC8"/>
    <w:rsid w:val="00C10D26"/>
    <w:rsid w:val="00C11420"/>
    <w:rsid w:val="00C12979"/>
    <w:rsid w:val="00C21067"/>
    <w:rsid w:val="00C21218"/>
    <w:rsid w:val="00C2169B"/>
    <w:rsid w:val="00C21F01"/>
    <w:rsid w:val="00C231D8"/>
    <w:rsid w:val="00C248B9"/>
    <w:rsid w:val="00C27504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2B20"/>
    <w:rsid w:val="00C43CA9"/>
    <w:rsid w:val="00C44109"/>
    <w:rsid w:val="00C45767"/>
    <w:rsid w:val="00C47703"/>
    <w:rsid w:val="00C47854"/>
    <w:rsid w:val="00C52CB6"/>
    <w:rsid w:val="00C538D8"/>
    <w:rsid w:val="00C54195"/>
    <w:rsid w:val="00C558D0"/>
    <w:rsid w:val="00C5679D"/>
    <w:rsid w:val="00C60B4A"/>
    <w:rsid w:val="00C6159C"/>
    <w:rsid w:val="00C61DD7"/>
    <w:rsid w:val="00C62F7F"/>
    <w:rsid w:val="00C63C5F"/>
    <w:rsid w:val="00C652D7"/>
    <w:rsid w:val="00C66F4F"/>
    <w:rsid w:val="00C6778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37E9"/>
    <w:rsid w:val="00C85341"/>
    <w:rsid w:val="00C866EA"/>
    <w:rsid w:val="00C86C2F"/>
    <w:rsid w:val="00C87190"/>
    <w:rsid w:val="00C87430"/>
    <w:rsid w:val="00C91232"/>
    <w:rsid w:val="00C9164D"/>
    <w:rsid w:val="00C91748"/>
    <w:rsid w:val="00C91C13"/>
    <w:rsid w:val="00C91DE2"/>
    <w:rsid w:val="00C923AD"/>
    <w:rsid w:val="00C924C6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992"/>
    <w:rsid w:val="00CB2F1C"/>
    <w:rsid w:val="00CB4CCA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84"/>
    <w:rsid w:val="00CD0F91"/>
    <w:rsid w:val="00CD16C6"/>
    <w:rsid w:val="00CD2294"/>
    <w:rsid w:val="00CD420F"/>
    <w:rsid w:val="00CD6244"/>
    <w:rsid w:val="00CD7293"/>
    <w:rsid w:val="00CE0309"/>
    <w:rsid w:val="00CE05AA"/>
    <w:rsid w:val="00CE0B15"/>
    <w:rsid w:val="00CE166F"/>
    <w:rsid w:val="00CE1B64"/>
    <w:rsid w:val="00CE4283"/>
    <w:rsid w:val="00CE4D9B"/>
    <w:rsid w:val="00CE6D0B"/>
    <w:rsid w:val="00CE7660"/>
    <w:rsid w:val="00CF0DC7"/>
    <w:rsid w:val="00CF2FC2"/>
    <w:rsid w:val="00CF5E5A"/>
    <w:rsid w:val="00D00773"/>
    <w:rsid w:val="00D027F8"/>
    <w:rsid w:val="00D04292"/>
    <w:rsid w:val="00D04C9D"/>
    <w:rsid w:val="00D04F19"/>
    <w:rsid w:val="00D05991"/>
    <w:rsid w:val="00D07CB7"/>
    <w:rsid w:val="00D1087A"/>
    <w:rsid w:val="00D15B9A"/>
    <w:rsid w:val="00D17016"/>
    <w:rsid w:val="00D171F3"/>
    <w:rsid w:val="00D210FC"/>
    <w:rsid w:val="00D21874"/>
    <w:rsid w:val="00D21CC7"/>
    <w:rsid w:val="00D223DA"/>
    <w:rsid w:val="00D223DB"/>
    <w:rsid w:val="00D224FD"/>
    <w:rsid w:val="00D22DD8"/>
    <w:rsid w:val="00D23543"/>
    <w:rsid w:val="00D24534"/>
    <w:rsid w:val="00D25534"/>
    <w:rsid w:val="00D30BA3"/>
    <w:rsid w:val="00D30E9C"/>
    <w:rsid w:val="00D31CE0"/>
    <w:rsid w:val="00D32CF4"/>
    <w:rsid w:val="00D32E13"/>
    <w:rsid w:val="00D3343E"/>
    <w:rsid w:val="00D33F10"/>
    <w:rsid w:val="00D36D64"/>
    <w:rsid w:val="00D37A41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471C"/>
    <w:rsid w:val="00D65AD8"/>
    <w:rsid w:val="00D65E1D"/>
    <w:rsid w:val="00D65F40"/>
    <w:rsid w:val="00D70516"/>
    <w:rsid w:val="00D71426"/>
    <w:rsid w:val="00D715B0"/>
    <w:rsid w:val="00D74D5D"/>
    <w:rsid w:val="00D76340"/>
    <w:rsid w:val="00D76C27"/>
    <w:rsid w:val="00D76DF7"/>
    <w:rsid w:val="00D814B2"/>
    <w:rsid w:val="00D81532"/>
    <w:rsid w:val="00D81889"/>
    <w:rsid w:val="00D8481A"/>
    <w:rsid w:val="00D87662"/>
    <w:rsid w:val="00D87B20"/>
    <w:rsid w:val="00D91007"/>
    <w:rsid w:val="00D91BF7"/>
    <w:rsid w:val="00D939B2"/>
    <w:rsid w:val="00D96009"/>
    <w:rsid w:val="00D971BF"/>
    <w:rsid w:val="00DA2311"/>
    <w:rsid w:val="00DA3190"/>
    <w:rsid w:val="00DA49B3"/>
    <w:rsid w:val="00DA4BC0"/>
    <w:rsid w:val="00DA6A3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0AFB"/>
    <w:rsid w:val="00DE25D6"/>
    <w:rsid w:val="00DE27BC"/>
    <w:rsid w:val="00DE2A20"/>
    <w:rsid w:val="00DE32AD"/>
    <w:rsid w:val="00DE36B0"/>
    <w:rsid w:val="00DE4EC0"/>
    <w:rsid w:val="00DE7755"/>
    <w:rsid w:val="00DE7FCF"/>
    <w:rsid w:val="00DF000E"/>
    <w:rsid w:val="00DF2309"/>
    <w:rsid w:val="00DF255D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30A3"/>
    <w:rsid w:val="00E032A5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07A29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50E24"/>
    <w:rsid w:val="00E5197A"/>
    <w:rsid w:val="00E51DBE"/>
    <w:rsid w:val="00E527F6"/>
    <w:rsid w:val="00E53585"/>
    <w:rsid w:val="00E5568B"/>
    <w:rsid w:val="00E556B2"/>
    <w:rsid w:val="00E55A0D"/>
    <w:rsid w:val="00E55B0E"/>
    <w:rsid w:val="00E56301"/>
    <w:rsid w:val="00E56EF3"/>
    <w:rsid w:val="00E57F84"/>
    <w:rsid w:val="00E610A3"/>
    <w:rsid w:val="00E6254B"/>
    <w:rsid w:val="00E661D3"/>
    <w:rsid w:val="00E668BA"/>
    <w:rsid w:val="00E70EAA"/>
    <w:rsid w:val="00E7162A"/>
    <w:rsid w:val="00E7284A"/>
    <w:rsid w:val="00E72C88"/>
    <w:rsid w:val="00E752BF"/>
    <w:rsid w:val="00E767A8"/>
    <w:rsid w:val="00E7744E"/>
    <w:rsid w:val="00E77918"/>
    <w:rsid w:val="00E80CB7"/>
    <w:rsid w:val="00E824A3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0A87"/>
    <w:rsid w:val="00EA168A"/>
    <w:rsid w:val="00EA2924"/>
    <w:rsid w:val="00EA403A"/>
    <w:rsid w:val="00EA4B0F"/>
    <w:rsid w:val="00EA4DCD"/>
    <w:rsid w:val="00EA59C6"/>
    <w:rsid w:val="00EA71AE"/>
    <w:rsid w:val="00EA7B50"/>
    <w:rsid w:val="00EA7E70"/>
    <w:rsid w:val="00EB07BA"/>
    <w:rsid w:val="00EB2213"/>
    <w:rsid w:val="00EB29AB"/>
    <w:rsid w:val="00EB433F"/>
    <w:rsid w:val="00EB50C0"/>
    <w:rsid w:val="00EB54E1"/>
    <w:rsid w:val="00EB6252"/>
    <w:rsid w:val="00EB646E"/>
    <w:rsid w:val="00EB6851"/>
    <w:rsid w:val="00EC01A6"/>
    <w:rsid w:val="00EC213A"/>
    <w:rsid w:val="00EC33C5"/>
    <w:rsid w:val="00EC3FE5"/>
    <w:rsid w:val="00EC530E"/>
    <w:rsid w:val="00EC5E12"/>
    <w:rsid w:val="00EC77EA"/>
    <w:rsid w:val="00EC7E12"/>
    <w:rsid w:val="00ED0E89"/>
    <w:rsid w:val="00ED19D1"/>
    <w:rsid w:val="00ED23B5"/>
    <w:rsid w:val="00ED5031"/>
    <w:rsid w:val="00ED5D16"/>
    <w:rsid w:val="00ED7333"/>
    <w:rsid w:val="00ED7B29"/>
    <w:rsid w:val="00EE0EF6"/>
    <w:rsid w:val="00EE22AB"/>
    <w:rsid w:val="00EE2B63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61E8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6D31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00C9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637D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AE0"/>
    <w:rsid w:val="00FC2BCF"/>
    <w:rsid w:val="00FC7235"/>
    <w:rsid w:val="00FC7DE0"/>
    <w:rsid w:val="00FC7F82"/>
    <w:rsid w:val="00FD02E5"/>
    <w:rsid w:val="00FD0A09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47DA2-426E-4799-8D0A-358CEA3A5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FBC14-902E-42F3-BFF2-2AC87380F3F9}"/>
</file>

<file path=customXml/itemProps3.xml><?xml version="1.0" encoding="utf-8"?>
<ds:datastoreItem xmlns:ds="http://schemas.openxmlformats.org/officeDocument/2006/customXml" ds:itemID="{80E6BF0D-2F0F-4D1B-B9D0-425520B2B9BF}"/>
</file>

<file path=customXml/itemProps4.xml><?xml version="1.0" encoding="utf-8"?>
<ds:datastoreItem xmlns:ds="http://schemas.openxmlformats.org/officeDocument/2006/customXml" ds:itemID="{A2C6AFF3-2915-4C5D-B35F-E3AA349F1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3919</Words>
  <Characters>23124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26990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2017-07-25T09:34:00Z</dcterms:created>
  <dcterms:modified xsi:type="dcterms:W3CDTF">2017-09-27T08:30:00Z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