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0A241" w14:textId="77777777" w:rsidR="003A2777" w:rsidRDefault="00000000">
      <w:pPr>
        <w:pStyle w:val="Heading110"/>
        <w:keepNext/>
        <w:keepLines/>
        <w:spacing w:after="0" w:line="209" w:lineRule="auto"/>
        <w:jc w:val="center"/>
      </w:pPr>
      <w:bookmarkStart w:id="0" w:name="bookmark2"/>
      <w:r>
        <w:rPr>
          <w:rStyle w:val="Heading11"/>
        </w:rPr>
        <w:t>Smlouva o poskytnutí obratového bonusu</w:t>
      </w:r>
      <w:bookmarkEnd w:id="0"/>
    </w:p>
    <w:p w14:paraId="27BD61CB" w14:textId="77777777" w:rsidR="003A2777" w:rsidRDefault="00000000">
      <w:pPr>
        <w:pStyle w:val="Bodytext10"/>
        <w:spacing w:after="220" w:line="209" w:lineRule="auto"/>
        <w:jc w:val="center"/>
      </w:pPr>
      <w:r>
        <w:rPr>
          <w:rStyle w:val="Bodytext1"/>
        </w:rPr>
        <w:t xml:space="preserve">(dále jen </w:t>
      </w:r>
      <w:r>
        <w:rPr>
          <w:rStyle w:val="Bodytext1"/>
          <w:b/>
          <w:bCs/>
        </w:rPr>
        <w:t>„smlouva")</w:t>
      </w:r>
    </w:p>
    <w:p w14:paraId="275D7BD8" w14:textId="25E4B0B9" w:rsidR="003A2777" w:rsidRDefault="00000000">
      <w:pPr>
        <w:pStyle w:val="Bodytext10"/>
        <w:spacing w:line="240" w:lineRule="auto"/>
        <w:jc w:val="center"/>
      </w:pPr>
      <w:r>
        <w:rPr>
          <w:rStyle w:val="Bodytext1"/>
        </w:rPr>
        <w:t>uzavřená níže uvedeného dne, měsíce a roku podle § 1746 odst. 2 zákona č. 89/2012 Sb.,</w:t>
      </w:r>
      <w:r>
        <w:rPr>
          <w:rStyle w:val="Bodytext1"/>
        </w:rPr>
        <w:br/>
        <w:t>občanský zákoník, ve znění pozdějších předpisů (dále jen „občanský zákoník"),</w:t>
      </w:r>
      <w:r>
        <w:rPr>
          <w:rStyle w:val="Bodytext1"/>
        </w:rPr>
        <w:br/>
        <w:t>mezi následujícími smluvními stranami:</w:t>
      </w:r>
    </w:p>
    <w:p w14:paraId="4864D1CE" w14:textId="569ED1D5" w:rsidR="003A2777" w:rsidRDefault="00000000">
      <w:pPr>
        <w:spacing w:line="1" w:lineRule="exact"/>
      </w:pPr>
      <w:r>
        <w:rPr>
          <w:noProof/>
        </w:rPr>
        <mc:AlternateContent>
          <mc:Choice Requires="wps">
            <w:drawing>
              <wp:anchor distT="241300" distB="2623820" distL="0" distR="0" simplePos="0" relativeHeight="125829378" behindDoc="0" locked="0" layoutInCell="1" allowOverlap="1" wp14:anchorId="207D7768" wp14:editId="085A93C6">
                <wp:simplePos x="0" y="0"/>
                <wp:positionH relativeFrom="page">
                  <wp:posOffset>847725</wp:posOffset>
                </wp:positionH>
                <wp:positionV relativeFrom="paragraph">
                  <wp:posOffset>241300</wp:posOffset>
                </wp:positionV>
                <wp:extent cx="2244725" cy="17399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244725" cy="173990"/>
                        </a:xfrm>
                        <a:prstGeom prst="rect">
                          <a:avLst/>
                        </a:prstGeom>
                        <a:noFill/>
                      </wps:spPr>
                      <wps:txbx>
                        <w:txbxContent>
                          <w:p w14:paraId="6A0507BB" w14:textId="77777777" w:rsidR="003A2777" w:rsidRDefault="00000000">
                            <w:pPr>
                              <w:pStyle w:val="Bodytext10"/>
                              <w:spacing w:line="240" w:lineRule="auto"/>
                            </w:pPr>
                            <w:r>
                              <w:rPr>
                                <w:rStyle w:val="Bodytext1"/>
                                <w:b/>
                                <w:bCs/>
                              </w:rPr>
                              <w:t>Angelini Pharma Česká republika s.r.o.</w:t>
                            </w:r>
                          </w:p>
                        </w:txbxContent>
                      </wps:txbx>
                      <wps:bodyPr wrap="none" lIns="0" tIns="0" rIns="0" bIns="0"/>
                    </wps:wsp>
                  </a:graphicData>
                </a:graphic>
              </wp:anchor>
            </w:drawing>
          </mc:Choice>
          <mc:Fallback>
            <w:pict>
              <v:shapetype w14:anchorId="207D7768" id="_x0000_t202" coordsize="21600,21600" o:spt="202" path="m,l,21600r21600,l21600,xe">
                <v:stroke joinstyle="miter"/>
                <v:path gradientshapeok="t" o:connecttype="rect"/>
              </v:shapetype>
              <v:shape id="Shape 1" o:spid="_x0000_s1026" type="#_x0000_t202" style="position:absolute;margin-left:66.75pt;margin-top:19pt;width:176.75pt;height:13.7pt;z-index:125829378;visibility:visible;mso-wrap-style:none;mso-wrap-distance-left:0;mso-wrap-distance-top:19pt;mso-wrap-distance-right:0;mso-wrap-distance-bottom:206.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" filled="f" stroked="f">
                <v:textbox inset="0,0,0,0">
                  <w:txbxContent>
                    <w:p w14:paraId="6A0507BB" w14:textId="77777777" w:rsidR="003A2777" w:rsidRDefault="00000000">
                      <w:pPr>
                        <w:pStyle w:val="Bodytext10"/>
                        <w:spacing w:line="240" w:lineRule="auto"/>
                      </w:pPr>
                      <w:r>
                        <w:rPr>
                          <w:rStyle w:val="Bodytext1"/>
                          <w:b/>
                          <w:bCs/>
                        </w:rPr>
                        <w:t>Angelini Pharma Česká republika s.r.o.</w:t>
                      </w:r>
                    </w:p>
                  </w:txbxContent>
                </v:textbox>
                <w10:wrap type="topAndBottom" anchorx="page"/>
              </v:shape>
            </w:pict>
          </mc:Fallback>
        </mc:AlternateContent>
      </w:r>
      <w:r>
        <w:rPr>
          <w:noProof/>
        </w:rPr>
        <mc:AlternateContent>
          <mc:Choice Requires="wps">
            <w:drawing>
              <wp:anchor distT="401320" distB="1814830" distL="0" distR="0" simplePos="0" relativeHeight="125829380" behindDoc="0" locked="0" layoutInCell="1" allowOverlap="1" wp14:anchorId="15E3BD44" wp14:editId="5CE0A53B">
                <wp:simplePos x="0" y="0"/>
                <wp:positionH relativeFrom="page">
                  <wp:posOffset>843280</wp:posOffset>
                </wp:positionH>
                <wp:positionV relativeFrom="paragraph">
                  <wp:posOffset>401320</wp:posOffset>
                </wp:positionV>
                <wp:extent cx="969010" cy="82296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969010" cy="822960"/>
                        </a:xfrm>
                        <a:prstGeom prst="rect">
                          <a:avLst/>
                        </a:prstGeom>
                        <a:noFill/>
                      </wps:spPr>
                      <wps:txbx>
                        <w:txbxContent>
                          <w:p w14:paraId="3B822E54" w14:textId="77777777" w:rsidR="003A2777" w:rsidRDefault="00000000">
                            <w:pPr>
                              <w:pStyle w:val="Bodytext10"/>
                            </w:pPr>
                            <w:r>
                              <w:rPr>
                                <w:rStyle w:val="Bodytext1"/>
                              </w:rPr>
                              <w:t>sídlo:</w:t>
                            </w:r>
                          </w:p>
                          <w:p w14:paraId="0C3828AE" w14:textId="77777777" w:rsidR="003A2777" w:rsidRDefault="00000000">
                            <w:pPr>
                              <w:pStyle w:val="Bodytext10"/>
                            </w:pPr>
                            <w:r>
                              <w:rPr>
                                <w:rStyle w:val="Bodytext1"/>
                              </w:rPr>
                              <w:t>IČO, DIČ: zastoupená: bankovní spojení: zapsaná v OŘ: datová schránka:</w:t>
                            </w:r>
                          </w:p>
                        </w:txbxContent>
                      </wps:txbx>
                      <wps:bodyPr lIns="0" tIns="0" rIns="0" bIns="0"/>
                    </wps:wsp>
                  </a:graphicData>
                </a:graphic>
              </wp:anchor>
            </w:drawing>
          </mc:Choice>
          <mc:Fallback>
            <w:pict>
              <v:shape w14:anchorId="15E3BD44" id="Shape 3" o:spid="_x0000_s1027" type="#_x0000_t202" style="position:absolute;margin-left:66.4pt;margin-top:31.6pt;width:76.3pt;height:64.8pt;z-index:125829380;visibility:visible;mso-wrap-style:square;mso-wrap-distance-left:0;mso-wrap-distance-top:31.6pt;mso-wrap-distance-right:0;mso-wrap-distance-bottom:142.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" filled="f" stroked="f">
                <v:textbox inset="0,0,0,0">
                  <w:txbxContent>
                    <w:p w14:paraId="3B822E54" w14:textId="77777777" w:rsidR="003A2777" w:rsidRDefault="00000000">
                      <w:pPr>
                        <w:pStyle w:val="Bodytext10"/>
                      </w:pPr>
                      <w:r>
                        <w:rPr>
                          <w:rStyle w:val="Bodytext1"/>
                        </w:rPr>
                        <w:t>sídlo:</w:t>
                      </w:r>
                    </w:p>
                    <w:p w14:paraId="0C3828AE" w14:textId="77777777" w:rsidR="003A2777" w:rsidRDefault="00000000">
                      <w:pPr>
                        <w:pStyle w:val="Bodytext10"/>
                      </w:pPr>
                      <w:r>
                        <w:rPr>
                          <w:rStyle w:val="Bodytext1"/>
                        </w:rPr>
                        <w:t>IČO, DIČ: zastoupená: bankovní spojení: zapsaná v OŘ: datová schránka:</w:t>
                      </w:r>
                    </w:p>
                  </w:txbxContent>
                </v:textbox>
                <w10:wrap type="topAndBottom" anchorx="page"/>
              </v:shape>
            </w:pict>
          </mc:Fallback>
        </mc:AlternateContent>
      </w:r>
      <w:r>
        <w:rPr>
          <w:noProof/>
        </w:rPr>
        <mc:AlternateContent>
          <mc:Choice Requires="wps">
            <w:drawing>
              <wp:anchor distT="1228725" distB="1659255" distL="0" distR="0" simplePos="0" relativeHeight="125829382" behindDoc="0" locked="0" layoutInCell="1" allowOverlap="1" wp14:anchorId="312FA5DF" wp14:editId="12986604">
                <wp:simplePos x="0" y="0"/>
                <wp:positionH relativeFrom="page">
                  <wp:posOffset>847725</wp:posOffset>
                </wp:positionH>
                <wp:positionV relativeFrom="paragraph">
                  <wp:posOffset>1228725</wp:posOffset>
                </wp:positionV>
                <wp:extent cx="1353185" cy="15113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353185" cy="151130"/>
                        </a:xfrm>
                        <a:prstGeom prst="rect">
                          <a:avLst/>
                        </a:prstGeom>
                        <a:noFill/>
                      </wps:spPr>
                      <wps:txbx>
                        <w:txbxContent>
                          <w:p w14:paraId="21A7ABF0" w14:textId="77777777" w:rsidR="003A2777" w:rsidRDefault="00000000">
                            <w:pPr>
                              <w:pStyle w:val="Bodytext10"/>
                              <w:spacing w:line="240" w:lineRule="auto"/>
                            </w:pPr>
                            <w:r>
                              <w:rPr>
                                <w:rStyle w:val="Bodytext1"/>
                                <w:b/>
                                <w:bCs/>
                              </w:rPr>
                              <w:t>(dále jen „Společnost“)</w:t>
                            </w:r>
                          </w:p>
                        </w:txbxContent>
                      </wps:txbx>
                      <wps:bodyPr wrap="none" lIns="0" tIns="0" rIns="0" bIns="0"/>
                    </wps:wsp>
                  </a:graphicData>
                </a:graphic>
              </wp:anchor>
            </w:drawing>
          </mc:Choice>
          <mc:Fallback>
            <w:pict>
              <v:shape w14:anchorId="312FA5DF" id="Shape 5" o:spid="_x0000_s1028" type="#_x0000_t202" style="position:absolute;margin-left:66.75pt;margin-top:96.75pt;width:106.55pt;height:11.9pt;z-index:125829382;visibility:visible;mso-wrap-style:none;mso-wrap-distance-left:0;mso-wrap-distance-top:96.75pt;mso-wrap-distance-right:0;mso-wrap-distance-bottom:130.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" filled="f" stroked="f">
                <v:textbox inset="0,0,0,0">
                  <w:txbxContent>
                    <w:p w14:paraId="21A7ABF0" w14:textId="77777777" w:rsidR="003A2777" w:rsidRDefault="00000000">
                      <w:pPr>
                        <w:pStyle w:val="Bodytext10"/>
                        <w:spacing w:line="240" w:lineRule="auto"/>
                      </w:pPr>
                      <w:r>
                        <w:rPr>
                          <w:rStyle w:val="Bodytext1"/>
                          <w:b/>
                          <w:bCs/>
                        </w:rPr>
                        <w:t>(dále jen „Společnost“)</w:t>
                      </w:r>
                    </w:p>
                  </w:txbxContent>
                </v:textbox>
                <w10:wrap type="topAndBottom" anchorx="page"/>
              </v:shape>
            </w:pict>
          </mc:Fallback>
        </mc:AlternateContent>
      </w:r>
      <w:r>
        <w:rPr>
          <w:noProof/>
        </w:rPr>
        <mc:AlternateContent>
          <mc:Choice Requires="wps">
            <w:drawing>
              <wp:anchor distT="396875" distB="1791970" distL="0" distR="0" simplePos="0" relativeHeight="125829384" behindDoc="0" locked="0" layoutInCell="1" allowOverlap="1" wp14:anchorId="3C767E96" wp14:editId="603F8D07">
                <wp:simplePos x="0" y="0"/>
                <wp:positionH relativeFrom="page">
                  <wp:posOffset>2127885</wp:posOffset>
                </wp:positionH>
                <wp:positionV relativeFrom="paragraph">
                  <wp:posOffset>396875</wp:posOffset>
                </wp:positionV>
                <wp:extent cx="3904615" cy="85026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3904615" cy="850265"/>
                        </a:xfrm>
                        <a:prstGeom prst="rect">
                          <a:avLst/>
                        </a:prstGeom>
                        <a:noFill/>
                      </wps:spPr>
                      <wps:txbx>
                        <w:txbxContent>
                          <w:p w14:paraId="7FF4506D" w14:textId="77777777" w:rsidR="003A2777" w:rsidRDefault="00000000">
                            <w:pPr>
                              <w:pStyle w:val="Bodytext10"/>
                              <w:spacing w:line="259" w:lineRule="auto"/>
                            </w:pPr>
                            <w:r>
                              <w:rPr>
                                <w:rStyle w:val="Bodytext1"/>
                              </w:rPr>
                              <w:t>Palachovo náměstí 799/5, 625 00 Brno</w:t>
                            </w:r>
                          </w:p>
                          <w:p w14:paraId="5ABE6559" w14:textId="77777777" w:rsidR="003A2777" w:rsidRDefault="00000000">
                            <w:pPr>
                              <w:pStyle w:val="Bodytext10"/>
                              <w:spacing w:line="259" w:lineRule="auto"/>
                            </w:pPr>
                            <w:r>
                              <w:rPr>
                                <w:rStyle w:val="Bodytext1"/>
                              </w:rPr>
                              <w:t>18824706, CZ18824706</w:t>
                            </w:r>
                          </w:p>
                          <w:p w14:paraId="7AEA99EE" w14:textId="77777777" w:rsidR="00451607" w:rsidRDefault="00451607">
                            <w:pPr>
                              <w:pStyle w:val="Bodytext10"/>
                              <w:spacing w:line="259" w:lineRule="auto"/>
                              <w:rPr>
                                <w:rStyle w:val="Bodytext1"/>
                              </w:rPr>
                            </w:pPr>
                          </w:p>
                          <w:p w14:paraId="496EF820" w14:textId="77777777" w:rsidR="00451607" w:rsidRDefault="00451607">
                            <w:pPr>
                              <w:pStyle w:val="Bodytext10"/>
                              <w:spacing w:line="259" w:lineRule="auto"/>
                              <w:rPr>
                                <w:rStyle w:val="Bodytext1"/>
                              </w:rPr>
                            </w:pPr>
                          </w:p>
                          <w:p w14:paraId="05CA385D" w14:textId="1708D8B9" w:rsidR="003A2777" w:rsidRDefault="00000000">
                            <w:pPr>
                              <w:pStyle w:val="Bodytext10"/>
                              <w:spacing w:line="259" w:lineRule="auto"/>
                            </w:pPr>
                            <w:r>
                              <w:rPr>
                                <w:rStyle w:val="Bodytext1"/>
                              </w:rPr>
                              <w:t xml:space="preserve"> Krajského soudu v Brně, </w:t>
                            </w:r>
                            <w:proofErr w:type="spellStart"/>
                            <w:r>
                              <w:rPr>
                                <w:rStyle w:val="Bodytext1"/>
                              </w:rPr>
                              <w:t>sp</w:t>
                            </w:r>
                            <w:proofErr w:type="spellEnd"/>
                            <w:r>
                              <w:rPr>
                                <w:rStyle w:val="Bodytext1"/>
                              </w:rPr>
                              <w:t>. zn. C 1132 p4iky7t</w:t>
                            </w:r>
                          </w:p>
                        </w:txbxContent>
                      </wps:txbx>
                      <wps:bodyPr lIns="0" tIns="0" rIns="0" bIns="0"/>
                    </wps:wsp>
                  </a:graphicData>
                </a:graphic>
              </wp:anchor>
            </w:drawing>
          </mc:Choice>
          <mc:Fallback>
            <w:pict>
              <v:shape w14:anchorId="3C767E96" id="Shape 7" o:spid="_x0000_s1029" type="#_x0000_t202" style="position:absolute;margin-left:167.55pt;margin-top:31.25pt;width:307.45pt;height:66.95pt;z-index:125829384;visibility:visible;mso-wrap-style:square;mso-wrap-distance-left:0;mso-wrap-distance-top:31.25pt;mso-wrap-distance-right:0;mso-wrap-distance-bottom:141.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" filled="f" stroked="f">
                <v:textbox inset="0,0,0,0">
                  <w:txbxContent>
                    <w:p w14:paraId="7FF4506D" w14:textId="77777777" w:rsidR="003A2777" w:rsidRDefault="00000000">
                      <w:pPr>
                        <w:pStyle w:val="Bodytext10"/>
                        <w:spacing w:line="259" w:lineRule="auto"/>
                      </w:pPr>
                      <w:r>
                        <w:rPr>
                          <w:rStyle w:val="Bodytext1"/>
                        </w:rPr>
                        <w:t>Palachovo náměstí 799/5, 625 00 Brno</w:t>
                      </w:r>
                    </w:p>
                    <w:p w14:paraId="5ABE6559" w14:textId="77777777" w:rsidR="003A2777" w:rsidRDefault="00000000">
                      <w:pPr>
                        <w:pStyle w:val="Bodytext10"/>
                        <w:spacing w:line="259" w:lineRule="auto"/>
                      </w:pPr>
                      <w:r>
                        <w:rPr>
                          <w:rStyle w:val="Bodytext1"/>
                        </w:rPr>
                        <w:t>18824706, CZ18824706</w:t>
                      </w:r>
                    </w:p>
                    <w:p w14:paraId="7AEA99EE" w14:textId="77777777" w:rsidR="00451607" w:rsidRDefault="00451607">
                      <w:pPr>
                        <w:pStyle w:val="Bodytext10"/>
                        <w:spacing w:line="259" w:lineRule="auto"/>
                        <w:rPr>
                          <w:rStyle w:val="Bodytext1"/>
                        </w:rPr>
                      </w:pPr>
                    </w:p>
                    <w:p w14:paraId="496EF820" w14:textId="77777777" w:rsidR="00451607" w:rsidRDefault="00451607">
                      <w:pPr>
                        <w:pStyle w:val="Bodytext10"/>
                        <w:spacing w:line="259" w:lineRule="auto"/>
                        <w:rPr>
                          <w:rStyle w:val="Bodytext1"/>
                        </w:rPr>
                      </w:pPr>
                    </w:p>
                    <w:p w14:paraId="05CA385D" w14:textId="1708D8B9" w:rsidR="003A2777" w:rsidRDefault="00000000">
                      <w:pPr>
                        <w:pStyle w:val="Bodytext10"/>
                        <w:spacing w:line="259" w:lineRule="auto"/>
                      </w:pPr>
                      <w:r>
                        <w:rPr>
                          <w:rStyle w:val="Bodytext1"/>
                        </w:rPr>
                        <w:t xml:space="preserve"> Krajského soudu v Brně, </w:t>
                      </w:r>
                      <w:proofErr w:type="spellStart"/>
                      <w:r>
                        <w:rPr>
                          <w:rStyle w:val="Bodytext1"/>
                        </w:rPr>
                        <w:t>sp</w:t>
                      </w:r>
                      <w:proofErr w:type="spellEnd"/>
                      <w:r>
                        <w:rPr>
                          <w:rStyle w:val="Bodytext1"/>
                        </w:rPr>
                        <w:t>. zn. C 1132 p4iky7t</w:t>
                      </w:r>
                    </w:p>
                  </w:txbxContent>
                </v:textbox>
                <w10:wrap type="topAndBottom" anchorx="page"/>
              </v:shape>
            </w:pict>
          </mc:Fallback>
        </mc:AlternateContent>
      </w:r>
      <w:r>
        <w:rPr>
          <w:noProof/>
        </w:rPr>
        <mc:AlternateContent>
          <mc:Choice Requires="wps">
            <w:drawing>
              <wp:anchor distT="1777365" distB="1110615" distL="0" distR="0" simplePos="0" relativeHeight="125829386" behindDoc="0" locked="0" layoutInCell="1" allowOverlap="1" wp14:anchorId="2C6A558F" wp14:editId="06612353">
                <wp:simplePos x="0" y="0"/>
                <wp:positionH relativeFrom="page">
                  <wp:posOffset>847725</wp:posOffset>
                </wp:positionH>
                <wp:positionV relativeFrom="paragraph">
                  <wp:posOffset>1777365</wp:posOffset>
                </wp:positionV>
                <wp:extent cx="3570605" cy="1511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3570605" cy="151130"/>
                        </a:xfrm>
                        <a:prstGeom prst="rect">
                          <a:avLst/>
                        </a:prstGeom>
                        <a:noFill/>
                      </wps:spPr>
                      <wps:txbx>
                        <w:txbxContent>
                          <w:p w14:paraId="04622A0E" w14:textId="77777777" w:rsidR="003A2777" w:rsidRDefault="00000000">
                            <w:pPr>
                              <w:pStyle w:val="Heading210"/>
                              <w:keepNext/>
                              <w:keepLines/>
                              <w:spacing w:after="0" w:line="240" w:lineRule="auto"/>
                              <w:jc w:val="left"/>
                            </w:pPr>
                            <w:bookmarkStart w:id="1" w:name="bookmark0"/>
                            <w:r>
                              <w:rPr>
                                <w:rStyle w:val="Heading21"/>
                                <w:b/>
                                <w:bCs/>
                              </w:rPr>
                              <w:t>Moravskoslezská nemocnice Havířov, příspěvková organizace</w:t>
                            </w:r>
                            <w:bookmarkEnd w:id="1"/>
                          </w:p>
                        </w:txbxContent>
                      </wps:txbx>
                      <wps:bodyPr wrap="none" lIns="0" tIns="0" rIns="0" bIns="0"/>
                    </wps:wsp>
                  </a:graphicData>
                </a:graphic>
              </wp:anchor>
            </w:drawing>
          </mc:Choice>
          <mc:Fallback>
            <w:pict>
              <v:shape w14:anchorId="2C6A558F" id="Shape 9" o:spid="_x0000_s1030" type="#_x0000_t202" style="position:absolute;margin-left:66.75pt;margin-top:139.95pt;width:281.15pt;height:11.9pt;z-index:125829386;visibility:visible;mso-wrap-style:none;mso-wrap-distance-left:0;mso-wrap-distance-top:139.95pt;mso-wrap-distance-right:0;mso-wrap-distance-bottom:8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" filled="f" stroked="f">
                <v:textbox inset="0,0,0,0">
                  <w:txbxContent>
                    <w:p w14:paraId="04622A0E" w14:textId="77777777" w:rsidR="003A2777" w:rsidRDefault="00000000">
                      <w:pPr>
                        <w:pStyle w:val="Heading210"/>
                        <w:keepNext/>
                        <w:keepLines/>
                        <w:spacing w:after="0" w:line="240" w:lineRule="auto"/>
                        <w:jc w:val="left"/>
                      </w:pPr>
                      <w:bookmarkStart w:id="2" w:name="bookmark0"/>
                      <w:r>
                        <w:rPr>
                          <w:rStyle w:val="Heading21"/>
                          <w:b/>
                          <w:bCs/>
                        </w:rPr>
                        <w:t>Moravskoslezská nemocnice Havířov, příspěvková organizace</w:t>
                      </w:r>
                      <w:bookmarkEnd w:id="2"/>
                    </w:p>
                  </w:txbxContent>
                </v:textbox>
                <w10:wrap type="topAndBottom" anchorx="page"/>
              </v:shape>
            </w:pict>
          </mc:Fallback>
        </mc:AlternateContent>
      </w:r>
      <w:r>
        <w:rPr>
          <w:noProof/>
        </w:rPr>
        <mc:AlternateContent>
          <mc:Choice Requires="wps">
            <w:drawing>
              <wp:anchor distT="1918970" distB="160020" distL="0" distR="0" simplePos="0" relativeHeight="125829388" behindDoc="0" locked="0" layoutInCell="1" allowOverlap="1" wp14:anchorId="5794C87F" wp14:editId="01DC8376">
                <wp:simplePos x="0" y="0"/>
                <wp:positionH relativeFrom="page">
                  <wp:posOffset>838835</wp:posOffset>
                </wp:positionH>
                <wp:positionV relativeFrom="paragraph">
                  <wp:posOffset>1918970</wp:posOffset>
                </wp:positionV>
                <wp:extent cx="941705" cy="96012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941705" cy="960120"/>
                        </a:xfrm>
                        <a:prstGeom prst="rect">
                          <a:avLst/>
                        </a:prstGeom>
                        <a:noFill/>
                      </wps:spPr>
                      <wps:txbx>
                        <w:txbxContent>
                          <w:p w14:paraId="48EAD923" w14:textId="77777777" w:rsidR="00451607" w:rsidRDefault="00000000">
                            <w:pPr>
                              <w:pStyle w:val="Bodytext10"/>
                              <w:rPr>
                                <w:rStyle w:val="Bodytext1"/>
                              </w:rPr>
                            </w:pPr>
                            <w:r>
                              <w:rPr>
                                <w:rStyle w:val="Bodytext1"/>
                              </w:rPr>
                              <w:t xml:space="preserve">sídlo: IČO: DIČ: zastoupená: číslo účtu: </w:t>
                            </w:r>
                          </w:p>
                          <w:p w14:paraId="608C4B3E" w14:textId="082685E2" w:rsidR="003A2777" w:rsidRDefault="00000000">
                            <w:pPr>
                              <w:pStyle w:val="Bodytext10"/>
                            </w:pPr>
                            <w:r>
                              <w:rPr>
                                <w:rStyle w:val="Bodytext1"/>
                              </w:rPr>
                              <w:t>zapsaná v OR: datová schránka:</w:t>
                            </w:r>
                          </w:p>
                        </w:txbxContent>
                      </wps:txbx>
                      <wps:bodyPr lIns="0" tIns="0" rIns="0" bIns="0"/>
                    </wps:wsp>
                  </a:graphicData>
                </a:graphic>
              </wp:anchor>
            </w:drawing>
          </mc:Choice>
          <mc:Fallback>
            <w:pict>
              <v:shape w14:anchorId="5794C87F" id="Shape 11" o:spid="_x0000_s1031" type="#_x0000_t202" style="position:absolute;margin-left:66.05pt;margin-top:151.1pt;width:74.15pt;height:75.6pt;z-index:125829388;visibility:visible;mso-wrap-style:square;mso-wrap-distance-left:0;mso-wrap-distance-top:151.1pt;mso-wrap-distance-right:0;mso-wrap-distance-bottom:12.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" filled="f" stroked="f">
                <v:textbox inset="0,0,0,0">
                  <w:txbxContent>
                    <w:p w14:paraId="48EAD923" w14:textId="77777777" w:rsidR="00451607" w:rsidRDefault="00000000">
                      <w:pPr>
                        <w:pStyle w:val="Bodytext10"/>
                        <w:rPr>
                          <w:rStyle w:val="Bodytext1"/>
                        </w:rPr>
                      </w:pPr>
                      <w:r>
                        <w:rPr>
                          <w:rStyle w:val="Bodytext1"/>
                        </w:rPr>
                        <w:t xml:space="preserve">sídlo: IČO: DIČ: zastoupená: číslo účtu: </w:t>
                      </w:r>
                    </w:p>
                    <w:p w14:paraId="608C4B3E" w14:textId="082685E2" w:rsidR="003A2777" w:rsidRDefault="00000000">
                      <w:pPr>
                        <w:pStyle w:val="Bodytext10"/>
                      </w:pPr>
                      <w:r>
                        <w:rPr>
                          <w:rStyle w:val="Bodytext1"/>
                        </w:rPr>
                        <w:t>zapsaná v OR: datová schránka:</w:t>
                      </w:r>
                    </w:p>
                  </w:txbxContent>
                </v:textbox>
                <w10:wrap type="topAndBottom" anchorx="page"/>
              </v:shape>
            </w:pict>
          </mc:Fallback>
        </mc:AlternateContent>
      </w:r>
      <w:r>
        <w:rPr>
          <w:noProof/>
        </w:rPr>
        <mc:AlternateContent>
          <mc:Choice Requires="wps">
            <w:drawing>
              <wp:anchor distT="2884170" distB="0" distL="0" distR="0" simplePos="0" relativeHeight="125829390" behindDoc="0" locked="0" layoutInCell="1" allowOverlap="1" wp14:anchorId="03ABF8BF" wp14:editId="777277AD">
                <wp:simplePos x="0" y="0"/>
                <wp:positionH relativeFrom="page">
                  <wp:posOffset>843280</wp:posOffset>
                </wp:positionH>
                <wp:positionV relativeFrom="paragraph">
                  <wp:posOffset>2884170</wp:posOffset>
                </wp:positionV>
                <wp:extent cx="1856105" cy="15557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856105" cy="155575"/>
                        </a:xfrm>
                        <a:prstGeom prst="rect">
                          <a:avLst/>
                        </a:prstGeom>
                        <a:noFill/>
                      </wps:spPr>
                      <wps:txbx>
                        <w:txbxContent>
                          <w:p w14:paraId="15D50C7D" w14:textId="77777777" w:rsidR="003A2777" w:rsidRDefault="00000000">
                            <w:pPr>
                              <w:pStyle w:val="Bodytext10"/>
                              <w:spacing w:line="240" w:lineRule="auto"/>
                            </w:pPr>
                            <w:r>
                              <w:rPr>
                                <w:rStyle w:val="Bodytext1"/>
                              </w:rPr>
                              <w:t xml:space="preserve">(dále jen </w:t>
                            </w:r>
                            <w:r>
                              <w:rPr>
                                <w:rStyle w:val="Bodytext1"/>
                                <w:b/>
                                <w:bCs/>
                              </w:rPr>
                              <w:t>„Zdravotnické zařízení“)</w:t>
                            </w:r>
                          </w:p>
                        </w:txbxContent>
                      </wps:txbx>
                      <wps:bodyPr wrap="none" lIns="0" tIns="0" rIns="0" bIns="0"/>
                    </wps:wsp>
                  </a:graphicData>
                </a:graphic>
              </wp:anchor>
            </w:drawing>
          </mc:Choice>
          <mc:Fallback>
            <w:pict>
              <v:shape w14:anchorId="03ABF8BF" id="Shape 13" o:spid="_x0000_s1032" type="#_x0000_t202" style="position:absolute;margin-left:66.4pt;margin-top:227.1pt;width:146.15pt;height:12.25pt;z-index:125829390;visibility:visible;mso-wrap-style:none;mso-wrap-distance-left:0;mso-wrap-distance-top:227.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" filled="f" stroked="f">
                <v:textbox inset="0,0,0,0">
                  <w:txbxContent>
                    <w:p w14:paraId="15D50C7D" w14:textId="77777777" w:rsidR="003A2777" w:rsidRDefault="00000000">
                      <w:pPr>
                        <w:pStyle w:val="Bodytext10"/>
                        <w:spacing w:line="240" w:lineRule="auto"/>
                      </w:pPr>
                      <w:r>
                        <w:rPr>
                          <w:rStyle w:val="Bodytext1"/>
                        </w:rPr>
                        <w:t xml:space="preserve">(dále jen </w:t>
                      </w:r>
                      <w:r>
                        <w:rPr>
                          <w:rStyle w:val="Bodytext1"/>
                          <w:b/>
                          <w:bCs/>
                        </w:rPr>
                        <w:t>„Zdravotnické zařízení“)</w:t>
                      </w:r>
                    </w:p>
                  </w:txbxContent>
                </v:textbox>
                <w10:wrap type="topAndBottom" anchorx="page"/>
              </v:shape>
            </w:pict>
          </mc:Fallback>
        </mc:AlternateContent>
      </w:r>
      <w:r>
        <w:rPr>
          <w:noProof/>
        </w:rPr>
        <mc:AlternateContent>
          <mc:Choice Requires="wps">
            <w:drawing>
              <wp:anchor distT="1914525" distB="141605" distL="0" distR="0" simplePos="0" relativeHeight="125829392" behindDoc="0" locked="0" layoutInCell="1" allowOverlap="1" wp14:anchorId="7D6612D5" wp14:editId="7498E9BB">
                <wp:simplePos x="0" y="0"/>
                <wp:positionH relativeFrom="page">
                  <wp:posOffset>2091690</wp:posOffset>
                </wp:positionH>
                <wp:positionV relativeFrom="paragraph">
                  <wp:posOffset>1914525</wp:posOffset>
                </wp:positionV>
                <wp:extent cx="3163570" cy="98298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3163570" cy="982980"/>
                        </a:xfrm>
                        <a:prstGeom prst="rect">
                          <a:avLst/>
                        </a:prstGeom>
                        <a:noFill/>
                      </wps:spPr>
                      <wps:txbx>
                        <w:txbxContent>
                          <w:p w14:paraId="640A2A9A" w14:textId="77777777" w:rsidR="00451607" w:rsidRDefault="00000000">
                            <w:pPr>
                              <w:pStyle w:val="Bodytext10"/>
                              <w:spacing w:line="254" w:lineRule="auto"/>
                              <w:rPr>
                                <w:rStyle w:val="Bodytext1"/>
                              </w:rPr>
                            </w:pPr>
                            <w:r>
                              <w:rPr>
                                <w:rStyle w:val="Bodytext1"/>
                              </w:rPr>
                              <w:t xml:space="preserve">Dělnická 1132/24, 73601 Havířov </w:t>
                            </w:r>
                          </w:p>
                          <w:p w14:paraId="3398F332" w14:textId="77777777" w:rsidR="00451607" w:rsidRDefault="00000000">
                            <w:pPr>
                              <w:pStyle w:val="Bodytext10"/>
                              <w:spacing w:line="254" w:lineRule="auto"/>
                              <w:rPr>
                                <w:rStyle w:val="Bodytext1"/>
                              </w:rPr>
                            </w:pPr>
                            <w:r>
                              <w:rPr>
                                <w:rStyle w:val="Bodytext1"/>
                              </w:rPr>
                              <w:t xml:space="preserve">00844896, </w:t>
                            </w:r>
                          </w:p>
                          <w:p w14:paraId="3DBDE3B3" w14:textId="72132034" w:rsidR="00451607" w:rsidRDefault="00000000" w:rsidP="00451607">
                            <w:pPr>
                              <w:pStyle w:val="Bodytext10"/>
                              <w:spacing w:line="254" w:lineRule="auto"/>
                              <w:rPr>
                                <w:rStyle w:val="Bodytext1"/>
                              </w:rPr>
                            </w:pPr>
                            <w:r>
                              <w:rPr>
                                <w:rStyle w:val="Bodytext1"/>
                              </w:rPr>
                              <w:t>CZ00844896</w:t>
                            </w:r>
                          </w:p>
                          <w:p w14:paraId="30729883" w14:textId="6299B4E7" w:rsidR="003A2777" w:rsidRDefault="00000000">
                            <w:pPr>
                              <w:pStyle w:val="Bodytext10"/>
                              <w:spacing w:line="254" w:lineRule="auto"/>
                              <w:jc w:val="both"/>
                              <w:rPr>
                                <w:rStyle w:val="Bodytext1"/>
                              </w:rPr>
                            </w:pPr>
                            <w:r>
                              <w:rPr>
                                <w:rStyle w:val="Bodytext1"/>
                              </w:rPr>
                              <w:t xml:space="preserve">vedeném Krajským soudem v Ostravě oddíl </w:t>
                            </w:r>
                            <w:proofErr w:type="spellStart"/>
                            <w:r>
                              <w:rPr>
                                <w:rStyle w:val="Bodytext1"/>
                              </w:rPr>
                              <w:t>Pr</w:t>
                            </w:r>
                            <w:proofErr w:type="spellEnd"/>
                            <w:r>
                              <w:rPr>
                                <w:rStyle w:val="Bodytext1"/>
                              </w:rPr>
                              <w:t>. Vložka 899 rifk6my</w:t>
                            </w:r>
                          </w:p>
                          <w:p w14:paraId="5433CF04" w14:textId="77777777" w:rsidR="00451607" w:rsidRDefault="00451607">
                            <w:pPr>
                              <w:pStyle w:val="Bodytext10"/>
                              <w:spacing w:line="254" w:lineRule="auto"/>
                              <w:jc w:val="both"/>
                            </w:pPr>
                          </w:p>
                        </w:txbxContent>
                      </wps:txbx>
                      <wps:bodyPr lIns="0" tIns="0" rIns="0" bIns="0"/>
                    </wps:wsp>
                  </a:graphicData>
                </a:graphic>
              </wp:anchor>
            </w:drawing>
          </mc:Choice>
          <mc:Fallback>
            <w:pict>
              <v:shape w14:anchorId="7D6612D5" id="Shape 15" o:spid="_x0000_s1033" type="#_x0000_t202" style="position:absolute;margin-left:164.7pt;margin-top:150.75pt;width:249.1pt;height:77.4pt;z-index:125829392;visibility:visible;mso-wrap-style:square;mso-wrap-distance-left:0;mso-wrap-distance-top:150.75pt;mso-wrap-distance-right:0;mso-wrap-distance-bottom:11.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" filled="f" stroked="f">
                <v:textbox inset="0,0,0,0">
                  <w:txbxContent>
                    <w:p w14:paraId="640A2A9A" w14:textId="77777777" w:rsidR="00451607" w:rsidRDefault="00000000">
                      <w:pPr>
                        <w:pStyle w:val="Bodytext10"/>
                        <w:spacing w:line="254" w:lineRule="auto"/>
                        <w:rPr>
                          <w:rStyle w:val="Bodytext1"/>
                        </w:rPr>
                      </w:pPr>
                      <w:r>
                        <w:rPr>
                          <w:rStyle w:val="Bodytext1"/>
                        </w:rPr>
                        <w:t xml:space="preserve">Dělnická 1132/24, 73601 Havířov </w:t>
                      </w:r>
                    </w:p>
                    <w:p w14:paraId="3398F332" w14:textId="77777777" w:rsidR="00451607" w:rsidRDefault="00000000">
                      <w:pPr>
                        <w:pStyle w:val="Bodytext10"/>
                        <w:spacing w:line="254" w:lineRule="auto"/>
                        <w:rPr>
                          <w:rStyle w:val="Bodytext1"/>
                        </w:rPr>
                      </w:pPr>
                      <w:r>
                        <w:rPr>
                          <w:rStyle w:val="Bodytext1"/>
                        </w:rPr>
                        <w:t xml:space="preserve">00844896, </w:t>
                      </w:r>
                    </w:p>
                    <w:p w14:paraId="3DBDE3B3" w14:textId="72132034" w:rsidR="00451607" w:rsidRDefault="00000000" w:rsidP="00451607">
                      <w:pPr>
                        <w:pStyle w:val="Bodytext10"/>
                        <w:spacing w:line="254" w:lineRule="auto"/>
                        <w:rPr>
                          <w:rStyle w:val="Bodytext1"/>
                        </w:rPr>
                      </w:pPr>
                      <w:r>
                        <w:rPr>
                          <w:rStyle w:val="Bodytext1"/>
                        </w:rPr>
                        <w:t>CZ00844896</w:t>
                      </w:r>
                    </w:p>
                    <w:p w14:paraId="30729883" w14:textId="6299B4E7" w:rsidR="003A2777" w:rsidRDefault="00000000">
                      <w:pPr>
                        <w:pStyle w:val="Bodytext10"/>
                        <w:spacing w:line="254" w:lineRule="auto"/>
                        <w:jc w:val="both"/>
                        <w:rPr>
                          <w:rStyle w:val="Bodytext1"/>
                        </w:rPr>
                      </w:pPr>
                      <w:r>
                        <w:rPr>
                          <w:rStyle w:val="Bodytext1"/>
                        </w:rPr>
                        <w:t xml:space="preserve">vedeném Krajským soudem v Ostravě oddíl </w:t>
                      </w:r>
                      <w:proofErr w:type="spellStart"/>
                      <w:r>
                        <w:rPr>
                          <w:rStyle w:val="Bodytext1"/>
                        </w:rPr>
                        <w:t>Pr</w:t>
                      </w:r>
                      <w:proofErr w:type="spellEnd"/>
                      <w:r>
                        <w:rPr>
                          <w:rStyle w:val="Bodytext1"/>
                        </w:rPr>
                        <w:t>. Vložka 899 rifk6my</w:t>
                      </w:r>
                    </w:p>
                    <w:p w14:paraId="5433CF04" w14:textId="77777777" w:rsidR="00451607" w:rsidRDefault="00451607">
                      <w:pPr>
                        <w:pStyle w:val="Bodytext10"/>
                        <w:spacing w:line="254" w:lineRule="auto"/>
                        <w:jc w:val="both"/>
                      </w:pPr>
                    </w:p>
                  </w:txbxContent>
                </v:textbox>
                <w10:wrap type="topAndBottom" anchorx="page"/>
              </v:shape>
            </w:pict>
          </mc:Fallback>
        </mc:AlternateContent>
      </w:r>
    </w:p>
    <w:p w14:paraId="5ED1987C" w14:textId="77777777" w:rsidR="003A2777" w:rsidRDefault="00000000">
      <w:pPr>
        <w:pStyle w:val="Bodytext10"/>
        <w:spacing w:after="660" w:line="240" w:lineRule="auto"/>
        <w:jc w:val="both"/>
      </w:pPr>
      <w:r>
        <w:rPr>
          <w:rStyle w:val="Bodytext1"/>
        </w:rPr>
        <w:t xml:space="preserve">(Společnost a Zdravotnické zařízení se dále společně označují jako </w:t>
      </w:r>
      <w:r>
        <w:rPr>
          <w:rStyle w:val="Bodytext1"/>
          <w:b/>
          <w:bCs/>
        </w:rPr>
        <w:t>„smluvní strany“)</w:t>
      </w:r>
    </w:p>
    <w:p w14:paraId="29D3C648" w14:textId="77777777" w:rsidR="003A2777" w:rsidRDefault="00000000">
      <w:pPr>
        <w:pStyle w:val="Heading210"/>
        <w:keepNext/>
        <w:keepLines/>
        <w:spacing w:after="0" w:line="240" w:lineRule="auto"/>
      </w:pPr>
      <w:bookmarkStart w:id="3" w:name="bookmark4"/>
      <w:r>
        <w:rPr>
          <w:rStyle w:val="Heading21"/>
          <w:b/>
          <w:bCs/>
        </w:rPr>
        <w:t>I.</w:t>
      </w:r>
      <w:bookmarkEnd w:id="3"/>
    </w:p>
    <w:p w14:paraId="3C6A8DF3" w14:textId="77777777" w:rsidR="003A2777" w:rsidRDefault="00000000">
      <w:pPr>
        <w:pStyle w:val="Heading210"/>
        <w:keepNext/>
        <w:keepLines/>
        <w:spacing w:line="240" w:lineRule="auto"/>
      </w:pPr>
      <w:r>
        <w:rPr>
          <w:rStyle w:val="Heading21"/>
          <w:b/>
          <w:bCs/>
        </w:rPr>
        <w:t>Úvodní ustanovení</w:t>
      </w:r>
    </w:p>
    <w:p w14:paraId="5ED47C4A" w14:textId="77777777" w:rsidR="003A2777" w:rsidRDefault="00000000">
      <w:pPr>
        <w:pStyle w:val="Bodytext10"/>
        <w:numPr>
          <w:ilvl w:val="0"/>
          <w:numId w:val="1"/>
        </w:numPr>
        <w:tabs>
          <w:tab w:val="left" w:pos="514"/>
        </w:tabs>
        <w:spacing w:after="200" w:line="240" w:lineRule="auto"/>
        <w:ind w:left="520" w:hanging="520"/>
        <w:jc w:val="both"/>
      </w:pPr>
      <w:r>
        <w:rPr>
          <w:rStyle w:val="Bodytext1"/>
        </w:rPr>
        <w:t xml:space="preserve">Zdravotnické zařízení odebírá prostřednictvím svého odběrového místa (tj. útvarem lékárna Nemocnice s poliklinikou Havířov, příspěvková organizace) z distribuční sítě v České republice výrobky uvedené v příloze č.1 této </w:t>
      </w:r>
      <w:proofErr w:type="gramStart"/>
      <w:r>
        <w:rPr>
          <w:rStyle w:val="Bodytext1"/>
        </w:rPr>
        <w:t>smlouvy - Vzor</w:t>
      </w:r>
      <w:proofErr w:type="gramEnd"/>
      <w:r>
        <w:rPr>
          <w:rStyle w:val="Bodytext1"/>
        </w:rPr>
        <w:t xml:space="preserve"> a výpočet obratového bonusu (dále jen </w:t>
      </w:r>
      <w:r>
        <w:rPr>
          <w:rStyle w:val="Bodytext1"/>
          <w:b/>
          <w:bCs/>
        </w:rPr>
        <w:t xml:space="preserve">„Příloha“), </w:t>
      </w:r>
      <w:r>
        <w:rPr>
          <w:rStyle w:val="Bodytext1"/>
        </w:rPr>
        <w:t xml:space="preserve">které na tento trh uvádí Společnost (dále jen </w:t>
      </w:r>
      <w:r>
        <w:rPr>
          <w:rStyle w:val="Bodytext1"/>
          <w:b/>
          <w:bCs/>
        </w:rPr>
        <w:t xml:space="preserve">„Výrobky“). </w:t>
      </w:r>
      <w:r>
        <w:rPr>
          <w:rStyle w:val="Bodytext1"/>
        </w:rPr>
        <w:t>Podmínky odběrů Výrobků Zdravotnickým zařízením nejsou touto smlouvou nijak dotčeny.</w:t>
      </w:r>
    </w:p>
    <w:p w14:paraId="18B11AFF" w14:textId="77777777" w:rsidR="003A2777" w:rsidRDefault="00000000">
      <w:pPr>
        <w:pStyle w:val="Bodytext10"/>
        <w:numPr>
          <w:ilvl w:val="0"/>
          <w:numId w:val="1"/>
        </w:numPr>
        <w:tabs>
          <w:tab w:val="left" w:pos="514"/>
        </w:tabs>
        <w:spacing w:after="200" w:line="266" w:lineRule="auto"/>
        <w:ind w:left="520" w:hanging="520"/>
        <w:jc w:val="both"/>
      </w:pPr>
      <w:r>
        <w:rPr>
          <w:rStyle w:val="Bodytext1"/>
        </w:rPr>
        <w:t>Smluvní strany se v rámci naplňování této smlouvy zavazují postupovat vždy v souladu s právním řádem České republiky.</w:t>
      </w:r>
    </w:p>
    <w:p w14:paraId="5D6562A1" w14:textId="77777777" w:rsidR="003A2777" w:rsidRDefault="003A2777">
      <w:pPr>
        <w:pStyle w:val="Bodytext10"/>
        <w:numPr>
          <w:ilvl w:val="0"/>
          <w:numId w:val="2"/>
        </w:numPr>
        <w:spacing w:line="240" w:lineRule="auto"/>
        <w:jc w:val="center"/>
      </w:pPr>
    </w:p>
    <w:p w14:paraId="1585AAF5" w14:textId="77777777" w:rsidR="003A2777" w:rsidRDefault="00000000">
      <w:pPr>
        <w:pStyle w:val="Heading210"/>
        <w:keepNext/>
        <w:keepLines/>
        <w:spacing w:line="240" w:lineRule="auto"/>
      </w:pPr>
      <w:bookmarkStart w:id="4" w:name="bookmark7"/>
      <w:r>
        <w:rPr>
          <w:rStyle w:val="Heading21"/>
          <w:b/>
          <w:bCs/>
        </w:rPr>
        <w:t>Předmět smlouvy</w:t>
      </w:r>
      <w:bookmarkEnd w:id="4"/>
    </w:p>
    <w:p w14:paraId="43FC4522" w14:textId="77777777" w:rsidR="003A2777" w:rsidRDefault="00000000">
      <w:pPr>
        <w:pStyle w:val="Bodytext10"/>
        <w:numPr>
          <w:ilvl w:val="0"/>
          <w:numId w:val="3"/>
        </w:numPr>
        <w:tabs>
          <w:tab w:val="left" w:pos="514"/>
        </w:tabs>
        <w:spacing w:after="200" w:line="240" w:lineRule="auto"/>
        <w:ind w:left="520" w:hanging="520"/>
        <w:jc w:val="both"/>
      </w:pPr>
      <w:r>
        <w:rPr>
          <w:rStyle w:val="Bodytext1"/>
        </w:rPr>
        <w:t xml:space="preserve">Smluvní strany se dohodly, že Společnost postupem dle čl. III této smlouvy poskytne Zdravotnickému zařízení za odběr Výrobků při splnění podmínek uvedených v Příloze obratový bonus (dále jen „Bonus"), a to ve výši uvedené v Příloze. Bonus bude vypočten dle Přílohy samostatně pro každé referenční období specifikované v Příloze (dále jen </w:t>
      </w:r>
      <w:r>
        <w:rPr>
          <w:rStyle w:val="Bodytext1"/>
          <w:b/>
          <w:bCs/>
        </w:rPr>
        <w:t xml:space="preserve">„Referenční období“), </w:t>
      </w:r>
      <w:r>
        <w:rPr>
          <w:rStyle w:val="Bodytext1"/>
        </w:rPr>
        <w:t xml:space="preserve">a to za předpokladu, že odběr Výrobků v daném Referenčním období dosáhne minimálně obratu uvedeného v Příloze pro odpovídající Výrobky, přičemž výše Bonusu bude stanovena vždy dle toho, jakého pásma obratu daný odběr dosáhne. Výběr Výrobků uvedených v Příloze vychází z potřeb Zdravotnického zařízení. Pro vyloučení všech pochybností se výslovně uvádí, že vzhledem ke sjednanému bonusovému schématu se jedná o tzv. neadresný bonus ve smyslu Příkazu ministra zdravotnictví č. 13/2018 (dále jen </w:t>
      </w:r>
      <w:r>
        <w:rPr>
          <w:rStyle w:val="Bodytext1"/>
          <w:b/>
          <w:bCs/>
        </w:rPr>
        <w:t>„Příkaz ministra“).</w:t>
      </w:r>
    </w:p>
    <w:p w14:paraId="3FF4F1CF" w14:textId="77777777" w:rsidR="003A2777" w:rsidRDefault="00000000">
      <w:pPr>
        <w:pStyle w:val="Bodytext10"/>
        <w:numPr>
          <w:ilvl w:val="0"/>
          <w:numId w:val="3"/>
        </w:numPr>
        <w:tabs>
          <w:tab w:val="left" w:pos="518"/>
        </w:tabs>
        <w:ind w:left="540" w:hanging="540"/>
        <w:jc w:val="both"/>
      </w:pPr>
      <w:r>
        <w:rPr>
          <w:rStyle w:val="Bodytext1"/>
        </w:rPr>
        <w:t>Bonus je stanoven v Příloze vždy pro konkrétní dosažený obrat Výrobků v Referenčním období, který Zdravotnické zařízení odebere v Referenčním období z distribuční sítě v České republice (s tím, že takovým odběrem se rozumí dodávky Výrobků, které jsou distributory fakturovány s datem uskutečnění zdanitelného plnění spadajícím do daného Referenčního období). Cenou Výrobku se pro účely této smlouvy rozumí cena výrobce bez DPH určená Společností (tj. bez obchodní přirážky distributora vůči Zdravotnickému zařízení) a platná v daném Referenčním období (na žádost Zdravotnického zařízení je Společnost povinna mu písemně sdělit příslušnou cenu). Bonus bude poskytnut pouze v úrovni nejvyššího dosaženého pásma obratu v daném Referenčním období.</w:t>
      </w:r>
    </w:p>
    <w:p w14:paraId="32ED5E7A" w14:textId="77777777" w:rsidR="003A2777" w:rsidRDefault="00000000">
      <w:pPr>
        <w:pStyle w:val="Bodytext10"/>
        <w:numPr>
          <w:ilvl w:val="0"/>
          <w:numId w:val="3"/>
        </w:numPr>
        <w:tabs>
          <w:tab w:val="left" w:pos="518"/>
        </w:tabs>
        <w:spacing w:after="200"/>
        <w:ind w:left="540" w:hanging="540"/>
        <w:jc w:val="both"/>
      </w:pPr>
      <w:r>
        <w:rPr>
          <w:rStyle w:val="Bodytext1"/>
        </w:rPr>
        <w:t xml:space="preserve">Dojde-li v Referenčním období ke změně ceny výrobce (viz odst. 2 tohoto článku) o více než 10 % a/nebo k jakékoli změně výše úhrady z veřejného zdravotního pojištění ve vztahu ke kterémukoli Výrobku, vstoupí obě smluvní strany do jednání o případném zrevidování Přílohy. Jednání o zrevidování Přílohy podle tohoto </w:t>
      </w:r>
      <w:r>
        <w:rPr>
          <w:rStyle w:val="Bodytext1"/>
        </w:rPr>
        <w:lastRenderedPageBreak/>
        <w:t>odstavce může zahájit oznámením kterákoli smluvní strana, oznámení musí být učiněno písemně, případně datovou schránkou nebo e-mailem a musí být doručeno druhé smluvní straně. Pokud smluvní strany nedosáhnou žádné dohody o zrevidování Přílohy ani do 30 dní ode dne doručení příslušného oznámení, je smluvní strana, která oznámení učinila, dle svého výhradního uvážení oprávněna písemně vypovědět tuto smlouvu bez výpovědní doby (tj. s účinností ke dni doručení výpovědi druhé smluvní straně), nebo k pozdějšímu dni uvedenému ve výpovědi (nejpozději však ke konci Referenčního období, ve kterém byla výpověď doručena).</w:t>
      </w:r>
    </w:p>
    <w:p w14:paraId="574E44B6" w14:textId="77777777" w:rsidR="003A2777" w:rsidRDefault="003A2777">
      <w:pPr>
        <w:pStyle w:val="Bodytext10"/>
        <w:numPr>
          <w:ilvl w:val="0"/>
          <w:numId w:val="2"/>
        </w:numPr>
        <w:spacing w:line="254" w:lineRule="auto"/>
        <w:jc w:val="center"/>
      </w:pPr>
    </w:p>
    <w:p w14:paraId="70AEE483" w14:textId="77777777" w:rsidR="003A2777" w:rsidRDefault="00000000">
      <w:pPr>
        <w:pStyle w:val="Heading210"/>
        <w:keepNext/>
        <w:keepLines/>
        <w:spacing w:line="254" w:lineRule="auto"/>
      </w:pPr>
      <w:bookmarkStart w:id="5" w:name="bookmark9"/>
      <w:r>
        <w:rPr>
          <w:rStyle w:val="Heading21"/>
          <w:b/>
          <w:bCs/>
        </w:rPr>
        <w:t>Uplatnění Bonusu a jeho uhrazení</w:t>
      </w:r>
      <w:bookmarkEnd w:id="5"/>
    </w:p>
    <w:p w14:paraId="00817319" w14:textId="77777777" w:rsidR="003A2777" w:rsidRDefault="00000000">
      <w:pPr>
        <w:pStyle w:val="Bodytext10"/>
        <w:numPr>
          <w:ilvl w:val="0"/>
          <w:numId w:val="4"/>
        </w:numPr>
        <w:tabs>
          <w:tab w:val="left" w:pos="518"/>
        </w:tabs>
        <w:spacing w:line="254" w:lineRule="auto"/>
        <w:ind w:left="540" w:hanging="540"/>
        <w:jc w:val="both"/>
      </w:pPr>
      <w:r>
        <w:rPr>
          <w:rStyle w:val="Bodytext1"/>
        </w:rPr>
        <w:t>Smluvní strany se zavazují vyčíslit Bonus za jednotlivé Referenční období vždy následujícím postupem:</w:t>
      </w:r>
    </w:p>
    <w:p w14:paraId="01294327" w14:textId="77777777" w:rsidR="003A2777" w:rsidRDefault="00000000">
      <w:pPr>
        <w:pStyle w:val="Bodytext10"/>
        <w:numPr>
          <w:ilvl w:val="0"/>
          <w:numId w:val="5"/>
        </w:numPr>
        <w:tabs>
          <w:tab w:val="left" w:pos="1086"/>
        </w:tabs>
        <w:spacing w:line="254" w:lineRule="auto"/>
        <w:ind w:left="1080" w:hanging="520"/>
        <w:jc w:val="both"/>
      </w:pPr>
      <w:r>
        <w:rPr>
          <w:rStyle w:val="Bodytext1"/>
        </w:rPr>
        <w:t>Společnost předloží Zdravotnickému zařízení do 10 pracovních dnů po skončeni Referenčního období návrh kalkulace Bonusu za uplynulé Referenční období k odsouhlasení. Zdravotnické zařízeni je oprávněno do 10 pracovních dnů po doručení návrhu Společnosti uplatnit vůči němu připomínky (které musejí být odpovídajícím způsobem podloženy). Pokud Zdravotnické zařízení ve lhůtě neuplatní žádné připomínky nebo návrh Společnosti výslovně odsouhlasí, je daný návrh odsouhlasen Zdravotnickým zařízením.</w:t>
      </w:r>
    </w:p>
    <w:p w14:paraId="2701E412" w14:textId="77777777" w:rsidR="003A2777" w:rsidRDefault="00000000">
      <w:pPr>
        <w:pStyle w:val="Bodytext10"/>
        <w:numPr>
          <w:ilvl w:val="0"/>
          <w:numId w:val="5"/>
        </w:numPr>
        <w:tabs>
          <w:tab w:val="left" w:pos="1086"/>
        </w:tabs>
        <w:spacing w:line="254" w:lineRule="auto"/>
        <w:ind w:left="1080" w:hanging="520"/>
        <w:jc w:val="both"/>
      </w:pPr>
      <w:r>
        <w:rPr>
          <w:rStyle w:val="Bodytext1"/>
        </w:rPr>
        <w:t>Společnost je povinna připomínky Zdravotnického zařízení odpovídajícím způsobem reflektovat s tím, že je do 3 pracovních dnů po jejich doručení oprávněna uplatnit vůči nim výhrady (které musejí být odpovídajícím způsobem podloženy). Pokud Společnost ve lhůtě neuplatní žádné výhrady nebo připomínky Zdravotnického zařízení výslovně akceptuje, jsou dané připomínky Zdravotnického zařízení akceptovány Společností.</w:t>
      </w:r>
    </w:p>
    <w:p w14:paraId="0E974EA9" w14:textId="77777777" w:rsidR="003A2777" w:rsidRDefault="00000000">
      <w:pPr>
        <w:pStyle w:val="Bodytext10"/>
        <w:numPr>
          <w:ilvl w:val="0"/>
          <w:numId w:val="5"/>
        </w:numPr>
        <w:tabs>
          <w:tab w:val="left" w:pos="1086"/>
        </w:tabs>
        <w:spacing w:line="254" w:lineRule="auto"/>
        <w:ind w:left="1080" w:hanging="520"/>
        <w:jc w:val="both"/>
      </w:pPr>
      <w:r>
        <w:rPr>
          <w:rStyle w:val="Bodytext1"/>
        </w:rPr>
        <w:t>Zdravotnické zařízení je oprávněno do 3 pracovních dnů po doručení výhrad Společnosti uplatnit vůči nim připomínky (které musejí být odpovídajícím způsobem podloženy). Pokud Zdravotnické zařízení ve lhůtě neuplatní žádné připomínky nebo výhrady Společnosti výslovně akceptuje, jsou dané výhrady Společnosti akceptovány Zdravotnickým zařízením.</w:t>
      </w:r>
    </w:p>
    <w:p w14:paraId="5DB1527E" w14:textId="77777777" w:rsidR="003A2777" w:rsidRDefault="00000000">
      <w:pPr>
        <w:pStyle w:val="Bodytext10"/>
        <w:numPr>
          <w:ilvl w:val="0"/>
          <w:numId w:val="5"/>
        </w:numPr>
        <w:tabs>
          <w:tab w:val="left" w:pos="1086"/>
        </w:tabs>
        <w:spacing w:line="254" w:lineRule="auto"/>
        <w:ind w:left="1080" w:hanging="520"/>
        <w:jc w:val="both"/>
      </w:pPr>
      <w:r>
        <w:rPr>
          <w:rStyle w:val="Bodytext1"/>
        </w:rPr>
        <w:t>V případě, že smluvní strany postupem dle písm. a) až c) tohoto odstavce nedospějí k vzájemnému odsouhlasení kalkulace Bonusu za příslušné Referenční období, budou smluvní strany dále postupovat obdobně dle písm. b) a c) tohoto odstavce, a to až do doby, než dospějí k odsouhlasení kalkulace Bonusu.</w:t>
      </w:r>
    </w:p>
    <w:p w14:paraId="76B68A98" w14:textId="77777777" w:rsidR="003A2777" w:rsidRDefault="00000000">
      <w:pPr>
        <w:pStyle w:val="Bodytext10"/>
        <w:numPr>
          <w:ilvl w:val="0"/>
          <w:numId w:val="5"/>
        </w:numPr>
        <w:tabs>
          <w:tab w:val="left" w:pos="1086"/>
        </w:tabs>
        <w:spacing w:line="254" w:lineRule="auto"/>
        <w:ind w:left="1080" w:hanging="520"/>
        <w:jc w:val="both"/>
      </w:pPr>
      <w:r>
        <w:rPr>
          <w:rStyle w:val="Bodytext1"/>
        </w:rPr>
        <w:t>Smluvní strany se přitom zavazují v dobré víře postupovat vždy tak, aby dospěly k odsouhlasení kalkulace Bonusu za dané Referenční období nejpozději do 60 dnů po jeho skončení.</w:t>
      </w:r>
    </w:p>
    <w:p w14:paraId="53EFD112" w14:textId="77777777" w:rsidR="003A2777" w:rsidRDefault="00000000">
      <w:pPr>
        <w:pStyle w:val="Bodytext10"/>
        <w:numPr>
          <w:ilvl w:val="0"/>
          <w:numId w:val="5"/>
        </w:numPr>
        <w:tabs>
          <w:tab w:val="left" w:pos="1086"/>
        </w:tabs>
        <w:spacing w:line="254" w:lineRule="auto"/>
        <w:ind w:left="1080" w:hanging="520"/>
        <w:jc w:val="both"/>
      </w:pPr>
      <w:r>
        <w:rPr>
          <w:rStyle w:val="Bodytext1"/>
        </w:rPr>
        <w:t>Den, kdy byla odsouhlasena kalkulace Bonusu za příslušné Referenční období postupem dle tohoto odstavce, představuje den, kterým vznikne nárok na příslušný Bonus, a zároveň den uskutečnění zdanitelného plnění ve vztahu k příslušnému Bonusu.</w:t>
      </w:r>
    </w:p>
    <w:p w14:paraId="32347017" w14:textId="77777777" w:rsidR="003A2777" w:rsidRDefault="00000000">
      <w:pPr>
        <w:pStyle w:val="Bodytext10"/>
        <w:numPr>
          <w:ilvl w:val="0"/>
          <w:numId w:val="4"/>
        </w:numPr>
        <w:tabs>
          <w:tab w:val="left" w:pos="518"/>
        </w:tabs>
        <w:spacing w:after="200" w:line="254" w:lineRule="auto"/>
        <w:ind w:left="540" w:hanging="540"/>
        <w:jc w:val="both"/>
      </w:pPr>
      <w:r>
        <w:rPr>
          <w:rStyle w:val="Bodytext1"/>
        </w:rPr>
        <w:t>Bonus bude Zdravotnickému zařízení uhrazen vždy na základě opravného daňového dokladu vystaveného Společností, který se Společnost zavazuje vystavit do 15 dnů ode dne odsouhlasení kalkulace Bonusu postupem dle odst. 1 tohoto článku a následně doručit Zdravotnickému zařízení do 3 pracovních dnů ode dne jeho vystavení. Smluvní strany se dále dohodly, že splatnost úhrady dle opravného daňového dokladu je vždy nejpozději do 30 dnu ode dne jeho doručeni Zdravotnickému zařízeni, a to na účet Zdravotnického zařízení uvedený v záhlaví této smlouvy, nebo na jiný účet následně oznámený Společnosti písemně, případně datovou schránkou nebo e-mailem.</w:t>
      </w:r>
    </w:p>
    <w:p w14:paraId="20BCDFF3" w14:textId="77777777" w:rsidR="003A2777" w:rsidRDefault="00000000">
      <w:pPr>
        <w:pStyle w:val="Bodytext10"/>
        <w:numPr>
          <w:ilvl w:val="0"/>
          <w:numId w:val="4"/>
        </w:numPr>
        <w:tabs>
          <w:tab w:val="left" w:pos="518"/>
        </w:tabs>
        <w:ind w:left="520" w:hanging="520"/>
        <w:jc w:val="both"/>
      </w:pPr>
      <w:r>
        <w:rPr>
          <w:rStyle w:val="Bodytext1"/>
        </w:rPr>
        <w:t xml:space="preserve">Společnost je v rámci odůvodněných připomínek k návrhu vyčíslení Bonusu, uplatněných ve </w:t>
      </w:r>
      <w:proofErr w:type="spellStart"/>
      <w:r>
        <w:rPr>
          <w:rStyle w:val="Bodytext1"/>
        </w:rPr>
        <w:t>Ihůtě</w:t>
      </w:r>
      <w:proofErr w:type="spellEnd"/>
      <w:r>
        <w:rPr>
          <w:rStyle w:val="Bodytext1"/>
        </w:rPr>
        <w:t xml:space="preserve"> dle odst. 1 tohoto článku, oprávněn od Zdravotnického zařízení požadovat předložení reprezentativních dokladů k osvědčeni nároku na Zdravotnickým zařízením vyčíslenou výši Bonusu. Zdravotnické zařízení je dané doklady povinno předložit Společnosti v rámci odůvodněného vypořádání připomínek dle čtvrté věty odst. 1 tohoto článku.</w:t>
      </w:r>
    </w:p>
    <w:p w14:paraId="08E82C98" w14:textId="77777777" w:rsidR="003A2777" w:rsidRDefault="00000000">
      <w:pPr>
        <w:pStyle w:val="Bodytext10"/>
        <w:numPr>
          <w:ilvl w:val="0"/>
          <w:numId w:val="4"/>
        </w:numPr>
        <w:tabs>
          <w:tab w:val="left" w:pos="518"/>
        </w:tabs>
        <w:ind w:left="520" w:hanging="520"/>
        <w:jc w:val="both"/>
      </w:pPr>
      <w:r>
        <w:rPr>
          <w:rStyle w:val="Bodytext1"/>
        </w:rPr>
        <w:t>Společnost je oprávněna zaslat Zdravotnickému zařízení opravný daňový doklad také e-mailem ze své e-mailové adresy na e-mailovou adresu Zdravotnického zařízení, kterou Zdravotnické zařízení pro tento účel sdělí Společnosti, a to ve formátu PDF nebo v jiném obdobném formátu zaručujícím neporušitelnost obsahu. Pokud Společnost zašle takový doklad Zdravotnickému zařízení e-mailem v souladu s předchozí větou, pak je daný doklad doručen v den jeho odeslání Společností.</w:t>
      </w:r>
    </w:p>
    <w:p w14:paraId="4E03895A" w14:textId="77777777" w:rsidR="003A2777" w:rsidRDefault="00000000">
      <w:pPr>
        <w:pStyle w:val="Bodytext10"/>
        <w:numPr>
          <w:ilvl w:val="0"/>
          <w:numId w:val="4"/>
        </w:numPr>
        <w:tabs>
          <w:tab w:val="left" w:pos="518"/>
        </w:tabs>
        <w:ind w:left="520" w:hanging="520"/>
        <w:jc w:val="both"/>
      </w:pPr>
      <w:r>
        <w:rPr>
          <w:rStyle w:val="Bodytext1"/>
        </w:rPr>
        <w:t>V případě, že dojde k ukončení této smlouvy před uplynutím Referenčního období, poskytne Společnost Zdravotnickému zařízení Bonus v poměrné výši (alikvotní část) za takové zkrácené Referenční období, a to však za předpokladu, že Zdravotnické zařízení splní v poměrné výši požadovaný obrat pro poskytnutí Bonusu dle příslušné Přílohy.</w:t>
      </w:r>
    </w:p>
    <w:p w14:paraId="78B91C21" w14:textId="77777777" w:rsidR="003A2777" w:rsidRDefault="00000000">
      <w:pPr>
        <w:pStyle w:val="Bodytext10"/>
        <w:numPr>
          <w:ilvl w:val="0"/>
          <w:numId w:val="4"/>
        </w:numPr>
        <w:tabs>
          <w:tab w:val="left" w:pos="518"/>
        </w:tabs>
        <w:spacing w:after="200"/>
        <w:ind w:left="520" w:hanging="520"/>
        <w:jc w:val="both"/>
      </w:pPr>
      <w:r>
        <w:rPr>
          <w:rStyle w:val="Bodytext1"/>
        </w:rPr>
        <w:t xml:space="preserve">V případě, že bude Zdravotnické zařízení v prodlení s úhradou byť jen části kupní ceny jakékoli objednávky Výrobků, je Společnost oprávněna započíst Bonus, na který vystavila a Zdravotnickému zařízení doručila opravný daňový doklad (a to i před jeho splatností), vůči neuhrazeným splatným pohledávkám Společnosti za Zdravotnickým zařízením, a to oznámením doručeným Zdravotnickému zařízení, které musí být učiněno písemně, případně datovou schránkou nebo e-mailem (na adresu </w:t>
      </w:r>
      <w:hyperlink r:id="rId7" w:history="1">
        <w:r>
          <w:rPr>
            <w:rStyle w:val="Bodytext1"/>
            <w:lang w:val="en-US" w:eastAsia="en-US" w:bidi="en-US"/>
          </w:rPr>
          <w:t>podatelna@nemhav.cz</w:t>
        </w:r>
      </w:hyperlink>
      <w:r>
        <w:rPr>
          <w:rStyle w:val="Bodytext1"/>
          <w:lang w:val="en-US" w:eastAsia="en-US" w:bidi="en-US"/>
        </w:rPr>
        <w:t>).</w:t>
      </w:r>
    </w:p>
    <w:p w14:paraId="70792767" w14:textId="77777777" w:rsidR="003A2777" w:rsidRDefault="003A2777">
      <w:pPr>
        <w:pStyle w:val="Bodytext10"/>
        <w:numPr>
          <w:ilvl w:val="0"/>
          <w:numId w:val="2"/>
        </w:numPr>
        <w:jc w:val="center"/>
      </w:pPr>
    </w:p>
    <w:p w14:paraId="72E99FB6" w14:textId="77777777" w:rsidR="003A2777" w:rsidRDefault="00000000">
      <w:pPr>
        <w:pStyle w:val="Heading210"/>
        <w:keepNext/>
        <w:keepLines/>
      </w:pPr>
      <w:bookmarkStart w:id="6" w:name="bookmark11"/>
      <w:r>
        <w:rPr>
          <w:rStyle w:val="Heading21"/>
          <w:b/>
          <w:bCs/>
        </w:rPr>
        <w:lastRenderedPageBreak/>
        <w:t>Prohlášení smluvních stran</w:t>
      </w:r>
      <w:bookmarkEnd w:id="6"/>
    </w:p>
    <w:p w14:paraId="07A10EB8" w14:textId="77777777" w:rsidR="003A2777" w:rsidRDefault="00000000">
      <w:pPr>
        <w:pStyle w:val="Bodytext10"/>
        <w:numPr>
          <w:ilvl w:val="0"/>
          <w:numId w:val="6"/>
        </w:numPr>
        <w:tabs>
          <w:tab w:val="left" w:pos="518"/>
        </w:tabs>
        <w:ind w:left="520" w:hanging="520"/>
        <w:jc w:val="both"/>
      </w:pPr>
      <w:r>
        <w:rPr>
          <w:rStyle w:val="Bodytext1"/>
        </w:rPr>
        <w:t>Smluvní strany souhlasně prohlašují, že touto smlouvou není Zdravotnické zařízení jakkoli zavázáno odebírat Výrobky, a to v jakémkoli množství a nadále disponuje absolutní smluvní volnosti co do výběru výrobků i co do výběru jejich dodavatelů. Smluvní strany dále prohlašuji, že se tato smlouva nedotýká obchodních vztahů Zdravotnického zařízení s distributory a/nebo dodavateli Výrobků.</w:t>
      </w:r>
    </w:p>
    <w:p w14:paraId="48BE5739" w14:textId="77777777" w:rsidR="003A2777" w:rsidRDefault="00000000">
      <w:pPr>
        <w:pStyle w:val="Bodytext10"/>
        <w:numPr>
          <w:ilvl w:val="0"/>
          <w:numId w:val="6"/>
        </w:numPr>
        <w:tabs>
          <w:tab w:val="left" w:pos="518"/>
        </w:tabs>
        <w:ind w:left="520" w:hanging="520"/>
        <w:jc w:val="both"/>
      </w:pPr>
      <w:r>
        <w:rPr>
          <w:rStyle w:val="Bodytext1"/>
        </w:rPr>
        <w:t>Smluvní strany dále prohlašují, že účelem této smlouvy není reklama Výrobků ani poskytnutí daru či sponzorského příspěvku Zdravotnickému zařízení ani pobídka či návod na neoprávněné čerpání prostředků z veřejného zdravotního pojištění, nýbrž pouze poskytnutí Bonusu, který zohledňuje ekonomickou úsporu na straně Společnosti danou množstvím Výrobků Zdravotnickým zařízením odebraných. Zdravotnické zařízení zůstává plně odpovědné za své evidenční a daňové povinnosti vůči veřejným orgánům.</w:t>
      </w:r>
    </w:p>
    <w:p w14:paraId="49251041" w14:textId="77777777" w:rsidR="003A2777" w:rsidRDefault="00000000">
      <w:pPr>
        <w:pStyle w:val="Bodytext10"/>
        <w:numPr>
          <w:ilvl w:val="0"/>
          <w:numId w:val="6"/>
        </w:numPr>
        <w:tabs>
          <w:tab w:val="left" w:pos="518"/>
        </w:tabs>
        <w:ind w:left="520" w:hanging="520"/>
        <w:jc w:val="both"/>
      </w:pPr>
      <w:r>
        <w:rPr>
          <w:rStyle w:val="Bodytext1"/>
        </w:rPr>
        <w:t>Smluvní strany dále prohlašují, že jim nejsou známé žádné skutečnosti, které by bránily poskytnutí Bonusu podle této smlouvy. Případné závazky Zdravotnického zařízení vůči zdravotním pojišťovnám a jejich vypořádání jsou výhradní záležitostí Zdravotnického zařízení.</w:t>
      </w:r>
    </w:p>
    <w:p w14:paraId="2DED72B1" w14:textId="77777777" w:rsidR="003A2777" w:rsidRDefault="00000000">
      <w:pPr>
        <w:pStyle w:val="Bodytext10"/>
        <w:numPr>
          <w:ilvl w:val="0"/>
          <w:numId w:val="6"/>
        </w:numPr>
        <w:tabs>
          <w:tab w:val="left" w:pos="518"/>
        </w:tabs>
        <w:ind w:left="520" w:hanging="520"/>
        <w:jc w:val="both"/>
      </w:pPr>
      <w:r>
        <w:rPr>
          <w:rStyle w:val="Bodytext1"/>
        </w:rPr>
        <w:t>Smluvní strany prohlašují, že jejich bankovní účty uvedené v záhlaví této smlouvy představují bankovní účty pro platby dle této smlouvy, které jsou v souladu s požadavky zákona č. 235/2004 Sb., o dani z přidané hodnoty, ve znění pozdějších předpisů, přičemž se smluvní strany zavazují nevyžadovat platby od druhé smluvní strany na jiné než takové spolehlivé účty. Smluvní strany se zavazují prokazatelně písemně nahlásit druhé smluvní straně skutečnost, že se staly nespolehlivými plátci dle zákona č. 235/2004 Sb., o dani z přidané hodnoty, ve znění pozdějších předpisů. V případě, že bude některá ze smluvních stran vyžadovat platbu od druhé smluvní strany na jiný než výše specifikovaný spolehlivý účet, či stane-li se některá ze smluvních stran nespolehlivým plátcem, je druhá smluvní strana oprávněna plnit část závazku ve výši daně z přidané hodnoty přímo na účet příslušného finančního úřadu.</w:t>
      </w:r>
    </w:p>
    <w:p w14:paraId="0955CB6B" w14:textId="77777777" w:rsidR="003A2777" w:rsidRDefault="00000000">
      <w:pPr>
        <w:pStyle w:val="Bodytext10"/>
        <w:numPr>
          <w:ilvl w:val="0"/>
          <w:numId w:val="6"/>
        </w:numPr>
        <w:tabs>
          <w:tab w:val="left" w:pos="518"/>
        </w:tabs>
        <w:ind w:left="520" w:hanging="520"/>
        <w:jc w:val="both"/>
      </w:pPr>
      <w:r>
        <w:rPr>
          <w:rStyle w:val="Bodytext1"/>
        </w:rPr>
        <w:t xml:space="preserve">Zdravotnické zařízení bere na vědomí etický kodex společnosti Angelini, dostupný na stránkách společnosti </w:t>
      </w:r>
      <w:hyperlink r:id="rId8" w:history="1">
        <w:r>
          <w:rPr>
            <w:rStyle w:val="Bodytext1"/>
            <w:color w:val="476D93"/>
            <w:u w:val="single"/>
            <w:lang w:val="en-US" w:eastAsia="en-US" w:bidi="en-US"/>
          </w:rPr>
          <w:t>www.anqelini.cz</w:t>
        </w:r>
      </w:hyperlink>
      <w:r>
        <w:rPr>
          <w:rStyle w:val="Bodytext1"/>
          <w:color w:val="476D93"/>
          <w:lang w:val="en-US" w:eastAsia="en-US" w:bidi="en-US"/>
        </w:rPr>
        <w:t xml:space="preserve"> </w:t>
      </w:r>
      <w:r>
        <w:rPr>
          <w:rStyle w:val="Bodytext1"/>
        </w:rPr>
        <w:t xml:space="preserve">(dále jen </w:t>
      </w:r>
      <w:r>
        <w:rPr>
          <w:rStyle w:val="Bodytext1"/>
          <w:b/>
          <w:bCs/>
        </w:rPr>
        <w:t xml:space="preserve">„Etický kodex“), </w:t>
      </w:r>
      <w:r>
        <w:rPr>
          <w:rStyle w:val="Bodytext1"/>
        </w:rPr>
        <w:t xml:space="preserve">přičemž pověřené osoby Zdravotnického zařízeni při jednání se zástupci Společnosti budou respektovat pravidla z Etického kodexu výslovně uvedená v Příloze č. 2 této </w:t>
      </w:r>
      <w:proofErr w:type="gramStart"/>
      <w:r>
        <w:rPr>
          <w:rStyle w:val="Bodytext1"/>
        </w:rPr>
        <w:t>smlouvy - Výňatek</w:t>
      </w:r>
      <w:proofErr w:type="gramEnd"/>
      <w:r>
        <w:rPr>
          <w:rStyle w:val="Bodytext1"/>
        </w:rPr>
        <w:t xml:space="preserve"> z Etického kodexu.</w:t>
      </w:r>
    </w:p>
    <w:p w14:paraId="3B69768D" w14:textId="77777777" w:rsidR="003A2777" w:rsidRDefault="00000000">
      <w:pPr>
        <w:pStyle w:val="Bodytext10"/>
        <w:numPr>
          <w:ilvl w:val="0"/>
          <w:numId w:val="6"/>
        </w:numPr>
        <w:tabs>
          <w:tab w:val="left" w:pos="518"/>
        </w:tabs>
        <w:ind w:left="520" w:hanging="520"/>
        <w:jc w:val="both"/>
      </w:pPr>
      <w:r>
        <w:rPr>
          <w:rStyle w:val="Bodytext1"/>
        </w:rPr>
        <w:t xml:space="preserve">Smluvní strany se zavazují, že pokud by se objevilo důvodné </w:t>
      </w:r>
      <w:proofErr w:type="spellStart"/>
      <w:r>
        <w:rPr>
          <w:rStyle w:val="Bodytext1"/>
        </w:rPr>
        <w:t>podezřeni</w:t>
      </w:r>
      <w:proofErr w:type="spellEnd"/>
      <w:r>
        <w:rPr>
          <w:rStyle w:val="Bodytext1"/>
        </w:rPr>
        <w:t>, že poskytování Bonusu může vyvolat nebo vyvolává účinky omezení účinné hospodářské soutěže nebo pokud by bylo proti Společnosti a/nebo Zdravotnickému zařízení vedeno v souvislosti s touto smlouvou správní řízení pro porušení pravidel hospodářské soutěže, budou podmínky poskytování Bonusů smluvními stranami bez zbytečného odkladu odpovídajícím způsobem a v odpovídajícím rozsahu revidovány, a to na žádost kterékoli ze smluvních stran, která musí být učiněna písemně, případně datovou schránkou nebo e-mailem a musí být doručena druhé smluvní straně. Pokud smluvní strana, které byla příslušná žádost doručena, odmítne takovou revizi provést nebo pokud smluvní strany nedospějí k dohodě do 30 dnů ode dne doručení příslušné žádosti, je smluvní strana, která žádost učinila, oprávněna tuto smlouvu písemně vypovědět s právními účinky ke dni doručení výpovědi (tj. bez výpovědní doby), přičemž je současně oprávněna odmítnout poskytnutí nebo přijetí Bonusu za příslušné referenční období, ve kterém smlouvu vypověděla.</w:t>
      </w:r>
    </w:p>
    <w:p w14:paraId="57F5DF48" w14:textId="77777777" w:rsidR="003A2777" w:rsidRDefault="00000000">
      <w:pPr>
        <w:pStyle w:val="Bodytext10"/>
        <w:numPr>
          <w:ilvl w:val="0"/>
          <w:numId w:val="6"/>
        </w:numPr>
        <w:tabs>
          <w:tab w:val="left" w:pos="1158"/>
        </w:tabs>
        <w:ind w:left="1160" w:hanging="520"/>
        <w:jc w:val="both"/>
      </w:pPr>
      <w:r>
        <w:rPr>
          <w:rStyle w:val="Bodytext1"/>
        </w:rPr>
        <w:t>Zdravotnické zařízení se zavazuje, že Bonus případně v budoucnu přijatý na základě a za podmínek stanovených v této smlouvě:</w:t>
      </w:r>
    </w:p>
    <w:p w14:paraId="0E83A1C1" w14:textId="77777777" w:rsidR="003A2777" w:rsidRDefault="00000000">
      <w:pPr>
        <w:pStyle w:val="Bodytext10"/>
        <w:numPr>
          <w:ilvl w:val="0"/>
          <w:numId w:val="7"/>
        </w:numPr>
        <w:tabs>
          <w:tab w:val="left" w:pos="1717"/>
        </w:tabs>
        <w:spacing w:line="240" w:lineRule="auto"/>
        <w:ind w:left="1680" w:hanging="500"/>
        <w:jc w:val="both"/>
      </w:pPr>
      <w:r>
        <w:rPr>
          <w:rStyle w:val="Bodytext1"/>
        </w:rPr>
        <w:t>nebude v žádné formě použit k ovlivnění rozhodnutí osoby oprávněné předepisovat a/nebo vydávat léčivé přípravky o tom, který léčivý přípravek předepsat, použít nebo vydat pacientovi v konkrétním případě ani obecně,</w:t>
      </w:r>
    </w:p>
    <w:p w14:paraId="6AE11F5C" w14:textId="77777777" w:rsidR="003A2777" w:rsidRDefault="00000000">
      <w:pPr>
        <w:pStyle w:val="Bodytext10"/>
        <w:numPr>
          <w:ilvl w:val="0"/>
          <w:numId w:val="7"/>
        </w:numPr>
        <w:tabs>
          <w:tab w:val="left" w:pos="1717"/>
        </w:tabs>
        <w:spacing w:line="254" w:lineRule="auto"/>
        <w:ind w:left="1680" w:hanging="500"/>
        <w:jc w:val="both"/>
      </w:pPr>
      <w:r>
        <w:rPr>
          <w:rStyle w:val="Bodytext1"/>
        </w:rPr>
        <w:t>nebude v žádné formě v konečném důsledku (například jako kapitálový příjem) představovat prospěch osoby oprávněné předepisovat a/nebo vydávat léčivé přípravky nebo osoby oprávněné jednat za Zdravotnické zařízení či rozhodovat o nákupu léčivých přípravků,</w:t>
      </w:r>
    </w:p>
    <w:p w14:paraId="597CF9BE" w14:textId="77777777" w:rsidR="003A2777" w:rsidRDefault="00000000">
      <w:pPr>
        <w:pStyle w:val="Bodytext10"/>
        <w:numPr>
          <w:ilvl w:val="0"/>
          <w:numId w:val="7"/>
        </w:numPr>
        <w:tabs>
          <w:tab w:val="left" w:pos="1717"/>
        </w:tabs>
        <w:spacing w:after="200"/>
        <w:ind w:left="1160"/>
        <w:jc w:val="both"/>
      </w:pPr>
      <w:r>
        <w:rPr>
          <w:rStyle w:val="Bodytext1"/>
        </w:rPr>
        <w:t>a bude Zdravotnickým zařízením použit v souladu s Příkazem ministra.</w:t>
      </w:r>
    </w:p>
    <w:p w14:paraId="2A85C877" w14:textId="77777777" w:rsidR="003A2777" w:rsidRDefault="003A2777">
      <w:pPr>
        <w:pStyle w:val="Heading210"/>
        <w:keepNext/>
        <w:keepLines/>
        <w:numPr>
          <w:ilvl w:val="0"/>
          <w:numId w:val="2"/>
        </w:numPr>
        <w:spacing w:after="0"/>
      </w:pPr>
      <w:bookmarkStart w:id="7" w:name="bookmark13"/>
      <w:bookmarkEnd w:id="7"/>
    </w:p>
    <w:p w14:paraId="696839EC" w14:textId="77777777" w:rsidR="003A2777" w:rsidRDefault="00000000">
      <w:pPr>
        <w:pStyle w:val="Heading210"/>
        <w:keepNext/>
        <w:keepLines/>
      </w:pPr>
      <w:r>
        <w:rPr>
          <w:rStyle w:val="Heading21"/>
          <w:b/>
          <w:bCs/>
        </w:rPr>
        <w:t>Mlčenlivost</w:t>
      </w:r>
    </w:p>
    <w:p w14:paraId="5E82F184" w14:textId="77777777" w:rsidR="003A2777" w:rsidRDefault="00000000">
      <w:pPr>
        <w:pStyle w:val="Bodytext10"/>
        <w:numPr>
          <w:ilvl w:val="0"/>
          <w:numId w:val="8"/>
        </w:numPr>
        <w:tabs>
          <w:tab w:val="left" w:pos="1158"/>
        </w:tabs>
        <w:ind w:left="1160" w:hanging="520"/>
        <w:jc w:val="both"/>
      </w:pPr>
      <w:r>
        <w:rPr>
          <w:rStyle w:val="Bodytext1"/>
        </w:rPr>
        <w:t>Smluvní strany se zavazují bez předchozího písemného souhlasu druhé smluvní strany nezveřejnit či jiným způsobem nezpřístupnit třetím osobám žádné informace o vzájemných obchodních vztazích, a to ani po skončení či zániku této smlouvy, s výjimkami uvedenými dále v tomto článku V.</w:t>
      </w:r>
    </w:p>
    <w:p w14:paraId="60784C89" w14:textId="77777777" w:rsidR="003A2777" w:rsidRDefault="00000000">
      <w:pPr>
        <w:pStyle w:val="Bodytext10"/>
        <w:numPr>
          <w:ilvl w:val="0"/>
          <w:numId w:val="8"/>
        </w:numPr>
        <w:tabs>
          <w:tab w:val="left" w:pos="1158"/>
        </w:tabs>
        <w:ind w:left="1160" w:hanging="520"/>
        <w:jc w:val="both"/>
      </w:pPr>
      <w:r>
        <w:rPr>
          <w:rStyle w:val="Bodytext1"/>
        </w:rPr>
        <w:t>Každá ze smluvních stran může zpřístupnit obsah této smlouvy a informace týkající se jejího předmětu a obchodních vztahu smluvních stran společníkům, akcionářům, resp. zřizovateli, advokátům a/nebo daňovým poradcům povinným zachovávat mlčenlivost a dále pouze těm zaměstnancům a/nebo jiným spolupracovníkům, kteří ji potřebují znát v souvislosti s plněním úkolů dle této smlouvy.</w:t>
      </w:r>
    </w:p>
    <w:p w14:paraId="021D2014" w14:textId="77777777" w:rsidR="003A2777" w:rsidRDefault="00000000">
      <w:pPr>
        <w:pStyle w:val="Bodytext10"/>
        <w:numPr>
          <w:ilvl w:val="0"/>
          <w:numId w:val="8"/>
        </w:numPr>
        <w:tabs>
          <w:tab w:val="left" w:pos="1077"/>
        </w:tabs>
        <w:ind w:firstLine="640"/>
        <w:jc w:val="both"/>
      </w:pPr>
      <w:r>
        <w:rPr>
          <w:rStyle w:val="Bodytext1"/>
        </w:rPr>
        <w:t>Povinnost mlčenlivosti se nevztahuje na informace, které:</w:t>
      </w:r>
    </w:p>
    <w:p w14:paraId="32645FDB" w14:textId="77777777" w:rsidR="003A2777" w:rsidRDefault="00000000">
      <w:pPr>
        <w:pStyle w:val="Bodytext10"/>
        <w:ind w:left="1680"/>
        <w:jc w:val="both"/>
      </w:pPr>
      <w:r>
        <w:rPr>
          <w:rStyle w:val="Bodytext1"/>
        </w:rPr>
        <w:t>jsou veřejně známé,</w:t>
      </w:r>
    </w:p>
    <w:p w14:paraId="4FBE1E11" w14:textId="77777777" w:rsidR="003A2777" w:rsidRDefault="00000000">
      <w:pPr>
        <w:pStyle w:val="Bodytext10"/>
        <w:ind w:left="1680"/>
        <w:jc w:val="both"/>
      </w:pPr>
      <w:r>
        <w:rPr>
          <w:rStyle w:val="Bodytext1"/>
        </w:rPr>
        <w:t>se stanou veřejně známými jinak než porušením ustanovení této smlouvy,</w:t>
      </w:r>
    </w:p>
    <w:p w14:paraId="4B9443EC" w14:textId="77777777" w:rsidR="003A2777" w:rsidRDefault="00000000">
      <w:pPr>
        <w:pStyle w:val="Bodytext10"/>
        <w:ind w:left="1680" w:firstLine="40"/>
        <w:jc w:val="both"/>
      </w:pPr>
      <w:r>
        <w:rPr>
          <w:rStyle w:val="Bodytext1"/>
        </w:rPr>
        <w:t>jsou oprávněně v dispozici druhé smluvní strany před jejich poskytnutím této smluvní straně,</w:t>
      </w:r>
    </w:p>
    <w:p w14:paraId="11FE9518" w14:textId="77777777" w:rsidR="003A2777" w:rsidRDefault="00000000">
      <w:pPr>
        <w:pStyle w:val="Bodytext10"/>
        <w:ind w:left="1680" w:firstLine="40"/>
        <w:jc w:val="both"/>
      </w:pPr>
      <w:r>
        <w:rPr>
          <w:rStyle w:val="Bodytext1"/>
        </w:rPr>
        <w:t>smluvní strana získá od třetí osoby.</w:t>
      </w:r>
    </w:p>
    <w:p w14:paraId="6EAA83D2" w14:textId="77777777" w:rsidR="003A2777" w:rsidRDefault="00000000">
      <w:pPr>
        <w:pStyle w:val="Bodytext10"/>
        <w:numPr>
          <w:ilvl w:val="0"/>
          <w:numId w:val="8"/>
        </w:numPr>
        <w:tabs>
          <w:tab w:val="left" w:pos="1158"/>
        </w:tabs>
        <w:ind w:left="1160" w:hanging="520"/>
        <w:jc w:val="both"/>
      </w:pPr>
      <w:r>
        <w:rPr>
          <w:rStyle w:val="Bodytext1"/>
        </w:rPr>
        <w:t>Smluvní strany jsou dále povinny poskytovat informace v rozsahu a způsobem, který vyžadují obecně závazné právní předpisy a/nebo rozhodnutí soudů a/nebo správních orgánů.</w:t>
      </w:r>
    </w:p>
    <w:p w14:paraId="1E9001C8" w14:textId="77777777" w:rsidR="003A2777" w:rsidRDefault="00000000">
      <w:pPr>
        <w:pStyle w:val="Bodytext10"/>
        <w:numPr>
          <w:ilvl w:val="0"/>
          <w:numId w:val="8"/>
        </w:numPr>
        <w:tabs>
          <w:tab w:val="left" w:pos="1158"/>
        </w:tabs>
        <w:ind w:left="1160" w:hanging="520"/>
        <w:jc w:val="both"/>
      </w:pPr>
      <w:r>
        <w:rPr>
          <w:rStyle w:val="Bodytext1"/>
        </w:rPr>
        <w:t xml:space="preserve">V souvislosti s aplikací zákona č. 340/2015 Sb., o zvláštních podmínkách účinnosti některých smluv, </w:t>
      </w:r>
      <w:r>
        <w:rPr>
          <w:rStyle w:val="Bodytext1"/>
        </w:rPr>
        <w:lastRenderedPageBreak/>
        <w:t xml:space="preserve">uveřejňování těchto smluv a o registru smluv (zákon o registru smluv), ve znění pozdějších předpisů (dále jen </w:t>
      </w:r>
      <w:r>
        <w:rPr>
          <w:rStyle w:val="Bodytext1"/>
          <w:b/>
          <w:bCs/>
        </w:rPr>
        <w:t xml:space="preserve">„zákon o registru smluv“), </w:t>
      </w:r>
      <w:r>
        <w:rPr>
          <w:rStyle w:val="Bodytext1"/>
        </w:rPr>
        <w:t>prohlašuje Společnost, že Přílohu považuje za své obchodní tajemství, které dle § 3 odst. 1 a (pokud jde o Přílohu, rovněž) dle § 3 odst. 2 písm. b) zákona o registru smluv požaduje neuveřejnit. S ohledem na předchozí větu se smluvní strany dohodly na následujícím:</w:t>
      </w:r>
    </w:p>
    <w:p w14:paraId="15A11E1D" w14:textId="77777777" w:rsidR="003A2777" w:rsidRDefault="00000000">
      <w:pPr>
        <w:pStyle w:val="Bodytext10"/>
        <w:numPr>
          <w:ilvl w:val="0"/>
          <w:numId w:val="9"/>
        </w:numPr>
        <w:tabs>
          <w:tab w:val="left" w:pos="1717"/>
        </w:tabs>
        <w:ind w:left="1680" w:hanging="500"/>
        <w:jc w:val="both"/>
      </w:pPr>
      <w:r>
        <w:rPr>
          <w:rStyle w:val="Bodytext1"/>
        </w:rPr>
        <w:t>Tuto smlouvu postupem podle zákona o registru smluv uveřejni Zdravotnické zařízení, vyjma Přílohy a dále vyjma osobních údajů fyzických osob uvedených ve smlouvě.</w:t>
      </w:r>
    </w:p>
    <w:p w14:paraId="610D0ACF" w14:textId="77777777" w:rsidR="003A2777" w:rsidRDefault="00000000">
      <w:pPr>
        <w:pStyle w:val="Bodytext10"/>
        <w:numPr>
          <w:ilvl w:val="0"/>
          <w:numId w:val="9"/>
        </w:numPr>
        <w:tabs>
          <w:tab w:val="left" w:pos="1717"/>
        </w:tabs>
        <w:ind w:left="1680" w:hanging="500"/>
        <w:jc w:val="both"/>
      </w:pPr>
      <w:r>
        <w:rPr>
          <w:rStyle w:val="Bodytext1"/>
        </w:rPr>
        <w:t>Zdravotnické zařízení uvede při uveřejnění identifikaci datové schránky Společnosti tak, aby potvrzení od správce registru smluv o uveřejnění bylo doručeno oběma smluvním stranám.</w:t>
      </w:r>
    </w:p>
    <w:p w14:paraId="4C64A3F4" w14:textId="77777777" w:rsidR="003A2777" w:rsidRDefault="00000000">
      <w:pPr>
        <w:pStyle w:val="Bodytext10"/>
        <w:numPr>
          <w:ilvl w:val="0"/>
          <w:numId w:val="9"/>
        </w:numPr>
        <w:tabs>
          <w:tab w:val="left" w:pos="1717"/>
        </w:tabs>
        <w:ind w:left="1680" w:hanging="500"/>
        <w:jc w:val="both"/>
      </w:pPr>
      <w:r>
        <w:rPr>
          <w:rStyle w:val="Bodytext1"/>
        </w:rPr>
        <w:t>V případě, že by tato smlouva byla shledána za neuveřejněnou prostřednictvím registru smluv (ať už zcela, nebo částečně), a to současně v případě, kdy byla uveřejněna postupem dle písm. a) tohoto odstavce, se Společnost tímto výslovně vůči Zdravotnickému zařízení vzdává veškerých případných práv, a to včetně případných budoucích práv, na náhradu majetkové a/nebo nemajetkové újmy, včetně veškerých finančních nároků z takto neplatně uzavřené smlouvy, zejména nároků na vrácení poskytnutého plnění, a dále se též zavazuje, že neuplatní vůči Zdravotnickému zařízení v souvislosti s případnou neplatností této smlouvy žádný takový nárok u soudu či jiného orgánu veřejné moci.</w:t>
      </w:r>
    </w:p>
    <w:p w14:paraId="4BF2B20A" w14:textId="77777777" w:rsidR="003A2777" w:rsidRDefault="00000000">
      <w:pPr>
        <w:pStyle w:val="Bodytext10"/>
        <w:numPr>
          <w:ilvl w:val="0"/>
          <w:numId w:val="9"/>
        </w:numPr>
        <w:tabs>
          <w:tab w:val="left" w:pos="1717"/>
        </w:tabs>
        <w:ind w:left="1680" w:hanging="500"/>
        <w:jc w:val="both"/>
      </w:pPr>
      <w:r>
        <w:rPr>
          <w:rStyle w:val="Bodytext1"/>
        </w:rPr>
        <w:t xml:space="preserve">Hodnota předmětu této smlouvy pro účely uveřejnění prostřednictvím registru smluv, kterou lze předběžně určit, činí bez DPH: </w:t>
      </w:r>
      <w:proofErr w:type="gramStart"/>
      <w:r>
        <w:rPr>
          <w:rStyle w:val="Bodytext1"/>
        </w:rPr>
        <w:t>500.000,-</w:t>
      </w:r>
      <w:proofErr w:type="gramEnd"/>
      <w:r>
        <w:rPr>
          <w:rStyle w:val="Bodytext1"/>
        </w:rPr>
        <w:t xml:space="preserve"> Kč. Smluvní strany pro vyloučení všech pochybností výslovně sjednávají, že hodnota dle předchozí věty se uvádí výlučně pro účely uveřejnění v registru smluv a nemá tedy žádný normativní význam ani nikterak nepředjímá rozsah ani cenu plnění dle této smlouvy.</w:t>
      </w:r>
    </w:p>
    <w:p w14:paraId="38A500C6" w14:textId="77777777" w:rsidR="003A2777" w:rsidRDefault="003A2777">
      <w:pPr>
        <w:pStyle w:val="Bodytext10"/>
        <w:numPr>
          <w:ilvl w:val="0"/>
          <w:numId w:val="2"/>
        </w:numPr>
        <w:jc w:val="center"/>
      </w:pPr>
    </w:p>
    <w:p w14:paraId="2D1B8F49" w14:textId="77777777" w:rsidR="003A2777" w:rsidRDefault="00000000">
      <w:pPr>
        <w:pStyle w:val="Heading210"/>
        <w:keepNext/>
        <w:keepLines/>
      </w:pPr>
      <w:bookmarkStart w:id="8" w:name="bookmark16"/>
      <w:r>
        <w:rPr>
          <w:rStyle w:val="Heading21"/>
          <w:b/>
          <w:bCs/>
        </w:rPr>
        <w:t>Závěrečná ustanovení</w:t>
      </w:r>
      <w:bookmarkEnd w:id="8"/>
    </w:p>
    <w:p w14:paraId="1554B7D1" w14:textId="77777777" w:rsidR="003A2777" w:rsidRDefault="00000000">
      <w:pPr>
        <w:pStyle w:val="Bodytext10"/>
        <w:numPr>
          <w:ilvl w:val="0"/>
          <w:numId w:val="10"/>
        </w:numPr>
        <w:tabs>
          <w:tab w:val="left" w:pos="1131"/>
        </w:tabs>
        <w:ind w:left="1120" w:hanging="500"/>
        <w:jc w:val="both"/>
      </w:pPr>
      <w:r>
        <w:rPr>
          <w:rStyle w:val="Bodytext1"/>
        </w:rPr>
        <w:t>Ve všech ostatních otázkách neupravených touto smlouvou se právní vztah založený touto smlouvou řídí ustanoveními občanského zákoníku.</w:t>
      </w:r>
    </w:p>
    <w:p w14:paraId="6E1C8DA9" w14:textId="77777777" w:rsidR="003A2777" w:rsidRDefault="00000000">
      <w:pPr>
        <w:pStyle w:val="Bodytext10"/>
        <w:numPr>
          <w:ilvl w:val="0"/>
          <w:numId w:val="10"/>
        </w:numPr>
        <w:tabs>
          <w:tab w:val="left" w:pos="1131"/>
        </w:tabs>
        <w:ind w:left="1120" w:hanging="500"/>
        <w:jc w:val="both"/>
      </w:pPr>
      <w:r>
        <w:rPr>
          <w:rStyle w:val="Bodytext1"/>
        </w:rPr>
        <w:t>Smluvní strany ujednaly, že v případě změny adresy sídla nebo datové schránky uvedené v záhlaví této smlouvy je povinna příslušná smluvní strana změnu oznámit druhé smluvní straně. Korespondence doručovaná prostřednictvím provozovatele poštovních služeb je doručena třetím pracovním dnem po odeslání na adresu sídla druhé smluvní strany, a to na poslední adresu, která je odesílající smluvní straně v souladu s předchozí větou známa.</w:t>
      </w:r>
    </w:p>
    <w:p w14:paraId="58738A33" w14:textId="77777777" w:rsidR="003A2777" w:rsidRDefault="00000000">
      <w:pPr>
        <w:pStyle w:val="Bodytext10"/>
        <w:numPr>
          <w:ilvl w:val="0"/>
          <w:numId w:val="10"/>
        </w:numPr>
        <w:tabs>
          <w:tab w:val="left" w:pos="1131"/>
        </w:tabs>
        <w:spacing w:after="200"/>
        <w:ind w:left="1120" w:hanging="500"/>
        <w:jc w:val="both"/>
      </w:pPr>
      <w:r>
        <w:rPr>
          <w:rStyle w:val="Bodytext1"/>
        </w:rPr>
        <w:t>Ve věcech realizace této smlouvy budou smluvní strany v průběhu jejího trvání navzájem jednat prostřednictvím následujících pověřených osob:</w:t>
      </w:r>
    </w:p>
    <w:p w14:paraId="31B78960" w14:textId="62C75450" w:rsidR="003A2777" w:rsidRDefault="00000000" w:rsidP="00451607">
      <w:pPr>
        <w:pStyle w:val="Bodytext10"/>
        <w:tabs>
          <w:tab w:val="left" w:pos="7894"/>
        </w:tabs>
        <w:ind w:left="1120" w:firstLine="20"/>
        <w:jc w:val="both"/>
      </w:pPr>
      <w:r>
        <w:rPr>
          <w:rStyle w:val="Bodytext1"/>
        </w:rPr>
        <w:t xml:space="preserve">Na straně Společnosti: </w:t>
      </w:r>
    </w:p>
    <w:p w14:paraId="691DE5FD" w14:textId="13FA70C9" w:rsidR="003A2777" w:rsidRDefault="00000000">
      <w:pPr>
        <w:pStyle w:val="Bodytext10"/>
        <w:spacing w:after="200" w:line="259" w:lineRule="auto"/>
        <w:ind w:left="1120" w:firstLine="20"/>
        <w:jc w:val="both"/>
      </w:pPr>
      <w:r>
        <w:rPr>
          <w:rStyle w:val="Bodytext1"/>
        </w:rPr>
        <w:t xml:space="preserve">Na straně Zdravotnického zařízení: </w:t>
      </w:r>
    </w:p>
    <w:p w14:paraId="3B0D0B01" w14:textId="77777777" w:rsidR="003A2777" w:rsidRDefault="00000000">
      <w:pPr>
        <w:pStyle w:val="Bodytext10"/>
        <w:ind w:left="1120" w:firstLine="20"/>
        <w:jc w:val="both"/>
      </w:pPr>
      <w:r>
        <w:rPr>
          <w:rStyle w:val="Bodytext1"/>
        </w:rPr>
        <w:t xml:space="preserve">Smluvní strany se dohodly, že e-mail doručovaný uvedené kontaktní osobě na její uvedenou </w:t>
      </w:r>
      <w:proofErr w:type="gramStart"/>
      <w:r>
        <w:rPr>
          <w:rStyle w:val="Bodytext1"/>
        </w:rPr>
        <w:t>e- mailovou</w:t>
      </w:r>
      <w:proofErr w:type="gramEnd"/>
      <w:r>
        <w:rPr>
          <w:rStyle w:val="Bodytext1"/>
        </w:rPr>
        <w:t xml:space="preserve"> adresu, je doručen prvním pracovním dnem po jeho odeslání, ledaže příslušná smluvní strana vůči druhé smluvní straně prokáže, že se příslušná osoba nemohla s obsahem daného </w:t>
      </w:r>
      <w:proofErr w:type="gramStart"/>
      <w:r>
        <w:rPr>
          <w:rStyle w:val="Bodytext1"/>
        </w:rPr>
        <w:t>e- mailu</w:t>
      </w:r>
      <w:proofErr w:type="gramEnd"/>
      <w:r>
        <w:rPr>
          <w:rStyle w:val="Bodytext1"/>
        </w:rPr>
        <w:t xml:space="preserve"> seznámit nebo že se ním seznámila později.</w:t>
      </w:r>
    </w:p>
    <w:p w14:paraId="7E6BF502" w14:textId="77777777" w:rsidR="003A2777" w:rsidRDefault="00000000">
      <w:pPr>
        <w:pStyle w:val="Bodytext10"/>
        <w:ind w:left="1120" w:firstLine="20"/>
        <w:jc w:val="both"/>
      </w:pPr>
      <w:r>
        <w:rPr>
          <w:rStyle w:val="Bodytext1"/>
        </w:rPr>
        <w:t>Tento odstavec se nevztahuje na doručováni opravných daňových dokladů Zdravotnickému zařízení způsobem dle čl. III odst. 4 této smlouvy.</w:t>
      </w:r>
    </w:p>
    <w:p w14:paraId="0EA35127" w14:textId="77777777" w:rsidR="003A2777" w:rsidRDefault="00000000">
      <w:pPr>
        <w:pStyle w:val="Bodytext10"/>
        <w:numPr>
          <w:ilvl w:val="0"/>
          <w:numId w:val="10"/>
        </w:numPr>
        <w:tabs>
          <w:tab w:val="left" w:pos="1131"/>
        </w:tabs>
        <w:ind w:left="1120" w:hanging="500"/>
        <w:jc w:val="both"/>
      </w:pPr>
      <w:r>
        <w:rPr>
          <w:rStyle w:val="Bodytext1"/>
        </w:rPr>
        <w:t>Smluvní strana je oprávněna kdykoli změnit pověřenou osobu dle předchozího odstavce, a to s účinností ode dne, kdy takovou změnu písemně, případně datovou schránkou nebo e-mailem oznámí druhé smluvní straně. Pro vyloučení všech pochybností se výslovně sjednává, že taková změna nepředstavuje změnu (dodatek) této smlouvy.</w:t>
      </w:r>
    </w:p>
    <w:p w14:paraId="2A6D0FB9" w14:textId="77777777" w:rsidR="003A2777" w:rsidRDefault="00000000">
      <w:pPr>
        <w:pStyle w:val="Bodytext10"/>
        <w:numPr>
          <w:ilvl w:val="0"/>
          <w:numId w:val="10"/>
        </w:numPr>
        <w:tabs>
          <w:tab w:val="left" w:pos="1131"/>
        </w:tabs>
        <w:ind w:left="1120" w:hanging="500"/>
        <w:jc w:val="both"/>
      </w:pPr>
      <w:r>
        <w:rPr>
          <w:rStyle w:val="Bodytext1"/>
        </w:rPr>
        <w:t>Tato smlouva se uzavírá na dobu určitou, a to od 1. 1. 2026 do 31.12. 2026. Každá ze smluvních stran je oprávněna tuto smlouvu vypovědět písemnou výpovědí z jakéhokoli důvodu nebo bez uvedení důvodu doručenou druhé smluvní straně. Výpovědní lhůta činí 1 měsíc a započíná běžet prvním dnem kalendářního měsíce následujícího po měsíci, kdy byla výpověď doručena druhé smluvní straně.</w:t>
      </w:r>
    </w:p>
    <w:p w14:paraId="3500FBC8" w14:textId="77777777" w:rsidR="003A2777" w:rsidRDefault="00000000">
      <w:pPr>
        <w:pStyle w:val="Bodytext10"/>
        <w:numPr>
          <w:ilvl w:val="0"/>
          <w:numId w:val="10"/>
        </w:numPr>
        <w:tabs>
          <w:tab w:val="left" w:pos="1131"/>
        </w:tabs>
        <w:ind w:left="1120" w:hanging="500"/>
        <w:jc w:val="both"/>
      </w:pPr>
      <w:r>
        <w:rPr>
          <w:rStyle w:val="Bodytext1"/>
        </w:rPr>
        <w:t>Změny a doplňky této smlouvy mohou být činěny pouze formou číslovaných písemných dodatků, podepsaných smluvními stranami.</w:t>
      </w:r>
    </w:p>
    <w:p w14:paraId="01C7FDC1" w14:textId="77777777" w:rsidR="003A2777" w:rsidRDefault="00000000">
      <w:pPr>
        <w:pStyle w:val="Bodytext10"/>
        <w:numPr>
          <w:ilvl w:val="0"/>
          <w:numId w:val="10"/>
        </w:numPr>
        <w:tabs>
          <w:tab w:val="left" w:pos="1131"/>
        </w:tabs>
        <w:ind w:left="1120" w:hanging="500"/>
        <w:jc w:val="both"/>
      </w:pPr>
      <w:r>
        <w:rPr>
          <w:rStyle w:val="Bodytext1"/>
        </w:rPr>
        <w:t>Tato smlouva obsahuje úplné ujednání o předmětu smlouvy a všech náležitostech, které smluvní strany měly a chtěly ve smlouvě ujednat, a které považují za důležité. Současně smluvní strany prohlašují, že si navzájem sdělily všechny informace, které považují za důležité a podstatné pro uzavření této smlouvy.</w:t>
      </w:r>
    </w:p>
    <w:p w14:paraId="705E7D46" w14:textId="77777777" w:rsidR="003A2777" w:rsidRDefault="00000000">
      <w:pPr>
        <w:pStyle w:val="Bodytext10"/>
        <w:numPr>
          <w:ilvl w:val="0"/>
          <w:numId w:val="10"/>
        </w:numPr>
        <w:tabs>
          <w:tab w:val="left" w:pos="1131"/>
        </w:tabs>
        <w:ind w:left="1120" w:hanging="500"/>
        <w:jc w:val="both"/>
      </w:pPr>
      <w:r>
        <w:rPr>
          <w:rStyle w:val="Bodytext1"/>
        </w:rPr>
        <w:t>Smluvní strany se dohodly, že podstatná změna okolností, za nichž byla tato smlouva uzavřená, nezakládá právo žádné ze stran domáhat se obnoveni jednáni o smlouvě ve smyslu §1765 občanského zákoníku, nestanoví-li tato smlouva jinak.</w:t>
      </w:r>
    </w:p>
    <w:p w14:paraId="73F8CE0E" w14:textId="77777777" w:rsidR="003A2777" w:rsidRDefault="00000000">
      <w:pPr>
        <w:pStyle w:val="Bodytext10"/>
        <w:numPr>
          <w:ilvl w:val="0"/>
          <w:numId w:val="10"/>
        </w:numPr>
        <w:tabs>
          <w:tab w:val="left" w:pos="1131"/>
        </w:tabs>
        <w:ind w:left="1120" w:hanging="500"/>
        <w:jc w:val="both"/>
      </w:pPr>
      <w:r>
        <w:rPr>
          <w:rStyle w:val="Bodytext1"/>
        </w:rPr>
        <w:t>Smluvní strany se dohodly, že zvyklosti ani zavedená praxe mezi smluvními stranami nemají přednost před ustanoveními této smlouvy ani před ustanoveními právních předpisů. Pokud se za trvání této smlouvy kterákoli smluvní strana vzdá svého práva z ní vyplývajícího nebo jej nevykoná, bude takové vzdání se nebo jeho nevykonání aplikováno pouze na ten konkrétní případ, pro který bylo učiněno a nebude nahlíženo jako vzdání se téhož práva v budoucnu.</w:t>
      </w:r>
    </w:p>
    <w:p w14:paraId="2B05E7F2" w14:textId="77777777" w:rsidR="003A2777" w:rsidRDefault="00000000">
      <w:pPr>
        <w:pStyle w:val="Bodytext10"/>
        <w:numPr>
          <w:ilvl w:val="0"/>
          <w:numId w:val="10"/>
        </w:numPr>
        <w:tabs>
          <w:tab w:val="left" w:pos="1131"/>
        </w:tabs>
        <w:spacing w:after="1140"/>
        <w:ind w:left="1120" w:hanging="500"/>
        <w:jc w:val="both"/>
      </w:pPr>
      <w:r>
        <w:rPr>
          <w:rStyle w:val="Bodytext1"/>
        </w:rPr>
        <w:t xml:space="preserve">V případě, že se ke kterémukoli ustanovení této smlouvy či k jeho části podle zákona jako ke zdánlivému právnímu jednání nepřihlíží, nebo že kterékoli ustanovení této smlouvy či jeho část je nebo se stane </w:t>
      </w:r>
      <w:r>
        <w:rPr>
          <w:rStyle w:val="Bodytext1"/>
        </w:rPr>
        <w:lastRenderedPageBreak/>
        <w:t>neplatným, neúčinným a/nebo nevymahatelným, oddělí se bez dalšího v příslušném rozsahu od ostatních ujednání této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ustanoveni tak, aby účel a smysl této smlouvy zůstal zachován. Smluvní strany pro vyloučení všech pochybnosti výslovně vylučují aplikaci § 576 občanského zákoníku.</w:t>
      </w:r>
    </w:p>
    <w:p w14:paraId="1CA0084E" w14:textId="77777777" w:rsidR="003A2777" w:rsidRDefault="00000000">
      <w:pPr>
        <w:pStyle w:val="Heading110"/>
        <w:keepNext/>
        <w:keepLines/>
        <w:jc w:val="both"/>
        <w:rPr>
          <w:sz w:val="26"/>
          <w:szCs w:val="26"/>
        </w:rPr>
      </w:pPr>
      <w:bookmarkStart w:id="9" w:name="bookmark18"/>
      <w:r>
        <w:rPr>
          <w:rStyle w:val="Heading11"/>
          <w:sz w:val="26"/>
          <w:szCs w:val="26"/>
        </w:rPr>
        <w:t>X</w:t>
      </w:r>
      <w:proofErr w:type="gramStart"/>
      <w:r>
        <w:rPr>
          <w:rStyle w:val="Heading11"/>
          <w:sz w:val="26"/>
          <w:szCs w:val="26"/>
        </w:rPr>
        <w:t>/ .</w:t>
      </w:r>
      <w:bookmarkEnd w:id="9"/>
      <w:proofErr w:type="gramEnd"/>
      <w:r>
        <w:br w:type="page"/>
      </w:r>
    </w:p>
    <w:p w14:paraId="426B6690" w14:textId="32211E09" w:rsidR="003A2777" w:rsidRDefault="00000000">
      <w:pPr>
        <w:pStyle w:val="Bodytext10"/>
        <w:numPr>
          <w:ilvl w:val="0"/>
          <w:numId w:val="10"/>
        </w:numPr>
        <w:tabs>
          <w:tab w:val="left" w:pos="1191"/>
        </w:tabs>
        <w:spacing w:line="254" w:lineRule="auto"/>
        <w:ind w:left="1180" w:hanging="500"/>
        <w:jc w:val="both"/>
      </w:pPr>
      <w:r>
        <w:rPr>
          <w:rStyle w:val="Bodytext1"/>
        </w:rPr>
        <w:lastRenderedPageBreak/>
        <w:t>Tato smlouvaje vyhotovena ve dvou stejnopisech, přičemž každá ze smluvních stran obdrží po jednom.</w:t>
      </w:r>
    </w:p>
    <w:p w14:paraId="2D4A6E11" w14:textId="77777777" w:rsidR="003A2777" w:rsidRDefault="00000000">
      <w:pPr>
        <w:pStyle w:val="Bodytext10"/>
        <w:numPr>
          <w:ilvl w:val="0"/>
          <w:numId w:val="10"/>
        </w:numPr>
        <w:tabs>
          <w:tab w:val="left" w:pos="1191"/>
        </w:tabs>
        <w:spacing w:line="254" w:lineRule="auto"/>
        <w:ind w:left="1180" w:hanging="500"/>
        <w:jc w:val="both"/>
      </w:pPr>
      <w:r>
        <w:rPr>
          <w:rStyle w:val="Bodytext1"/>
        </w:rPr>
        <w:t>Tato smlouva nabývá platnosti dnem jejího podpisu poslední smluvní stranou a účinnosti nabývá dnem jejího uveřejnění prostřednictvím registru smluv, postupem podle zákona o registru smluv. Smluvní strany se současně dohodly, že práva a povinnosti případně vzniklé z plnění a právních poměrů v rámci předmětu a rozsahu úpravy této smlouvy, k nimž došlo před nabytím účinnosti této smlouvy v době ode dne 1.1.2026, nahrazují závazkem vzniklým z této smlouvy. Plněni a právní poměry v rámci předmětu a rozsahu úpravy této smlouvy před účinností této smlouvy se tudíž považují za plnění a právní poměry podle této smlouvy a práva a povinnosti z nich vzniklé se řídí touto smlouvou.</w:t>
      </w:r>
    </w:p>
    <w:p w14:paraId="1B6D4E28" w14:textId="77777777" w:rsidR="003A2777" w:rsidRDefault="00000000">
      <w:pPr>
        <w:pStyle w:val="Bodytext10"/>
        <w:numPr>
          <w:ilvl w:val="0"/>
          <w:numId w:val="10"/>
        </w:numPr>
        <w:tabs>
          <w:tab w:val="left" w:pos="1191"/>
        </w:tabs>
        <w:spacing w:line="254" w:lineRule="auto"/>
        <w:ind w:left="1180" w:hanging="500"/>
        <w:jc w:val="both"/>
      </w:pPr>
      <w:r>
        <w:rPr>
          <w:rStyle w:val="Bodytext1"/>
        </w:rPr>
        <w:t>Smluvní strany prohlašují, že si smlouvu před jejím podepsáním přečetly a že její obsah odpovídá jejich pravé, vážné a svobodné vůli, což stvrzují svými níže připojenými podpisy.</w:t>
      </w:r>
    </w:p>
    <w:p w14:paraId="4B5C0F0D" w14:textId="77777777" w:rsidR="003A2777" w:rsidRDefault="00000000">
      <w:pPr>
        <w:pStyle w:val="Bodytext10"/>
        <w:numPr>
          <w:ilvl w:val="0"/>
          <w:numId w:val="10"/>
        </w:numPr>
        <w:tabs>
          <w:tab w:val="left" w:pos="1191"/>
        </w:tabs>
        <w:spacing w:line="254" w:lineRule="auto"/>
        <w:ind w:left="1180" w:hanging="500"/>
        <w:jc w:val="both"/>
      </w:pPr>
      <w:r>
        <w:rPr>
          <w:rStyle w:val="Bodytext1"/>
        </w:rPr>
        <w:t xml:space="preserve">Tato smlouva i její výklad se řídí českým právním řádem. Případné spory mezi smluvními stranami týkající se této smlouvy budou řešeny především dohodou, avšak pokud se smluvní strany nedohodnou na řešení určitého sporu, budou </w:t>
      </w:r>
      <w:proofErr w:type="spellStart"/>
      <w:r>
        <w:rPr>
          <w:rStyle w:val="Bodytext1"/>
        </w:rPr>
        <w:t>kjeho</w:t>
      </w:r>
      <w:proofErr w:type="spellEnd"/>
      <w:r>
        <w:rPr>
          <w:rStyle w:val="Bodytext1"/>
        </w:rPr>
        <w:t xml:space="preserve"> řešení příslušné soudy České republiky.</w:t>
      </w:r>
    </w:p>
    <w:p w14:paraId="25BA3A3E" w14:textId="77777777" w:rsidR="003A2777" w:rsidRDefault="00000000">
      <w:pPr>
        <w:pStyle w:val="Bodytext10"/>
        <w:numPr>
          <w:ilvl w:val="0"/>
          <w:numId w:val="10"/>
        </w:numPr>
        <w:tabs>
          <w:tab w:val="left" w:pos="1191"/>
        </w:tabs>
        <w:spacing w:line="254" w:lineRule="auto"/>
        <w:ind w:left="1180" w:hanging="500"/>
        <w:jc w:val="both"/>
      </w:pPr>
      <w:r>
        <w:rPr>
          <w:rStyle w:val="Bodytext1"/>
        </w:rPr>
        <w:t>Žádná smluvní strana není oprávněna práva a závazky z této smlouvy převádět na třetí osoby bez předchozího písemného souhlasu druhé smluvní strany.</w:t>
      </w:r>
    </w:p>
    <w:p w14:paraId="7459322A" w14:textId="77777777" w:rsidR="003A2777" w:rsidRDefault="00000000">
      <w:pPr>
        <w:pStyle w:val="Bodytext10"/>
        <w:numPr>
          <w:ilvl w:val="0"/>
          <w:numId w:val="10"/>
        </w:numPr>
        <w:tabs>
          <w:tab w:val="left" w:pos="1171"/>
        </w:tabs>
        <w:spacing w:after="220" w:line="254" w:lineRule="auto"/>
        <w:ind w:firstLine="660"/>
        <w:jc w:val="both"/>
      </w:pPr>
      <w:r>
        <w:rPr>
          <w:rStyle w:val="Bodytext1"/>
        </w:rPr>
        <w:t>Nedílnou součást této smlouvy tvoří následující přílohy:</w:t>
      </w:r>
    </w:p>
    <w:p w14:paraId="1CE666B4" w14:textId="77777777" w:rsidR="003A2777" w:rsidRDefault="00000000">
      <w:pPr>
        <w:pStyle w:val="Bodytext10"/>
        <w:spacing w:after="360" w:line="254" w:lineRule="auto"/>
        <w:ind w:left="1180"/>
        <w:jc w:val="both"/>
      </w:pPr>
      <w:r>
        <w:rPr>
          <w:rStyle w:val="Bodytext1"/>
        </w:rPr>
        <w:t>a) Příloha č. 1 - Vzor a výpočet obratového bonusu.</w:t>
      </w:r>
    </w:p>
    <w:p w14:paraId="4DFEBB2A" w14:textId="77777777" w:rsidR="003A2777" w:rsidRDefault="00000000">
      <w:pPr>
        <w:pStyle w:val="Bodytext10"/>
        <w:spacing w:after="220" w:line="254" w:lineRule="auto"/>
        <w:ind w:firstLine="660"/>
        <w:jc w:val="both"/>
      </w:pPr>
      <w:r>
        <w:rPr>
          <w:rStyle w:val="Bodytext1"/>
        </w:rPr>
        <w:t xml:space="preserve">V Brně </w:t>
      </w:r>
      <w:proofErr w:type="spellStart"/>
      <w:r>
        <w:rPr>
          <w:rStyle w:val="Bodytext1"/>
        </w:rPr>
        <w:t>dneV</w:t>
      </w:r>
      <w:proofErr w:type="spellEnd"/>
      <w:r>
        <w:rPr>
          <w:rStyle w:val="Bodytext1"/>
        </w:rPr>
        <w:t xml:space="preserve"> Havířově dne </w:t>
      </w:r>
      <w:r>
        <w:rPr>
          <w:rStyle w:val="Bodytext1"/>
          <w:b/>
          <w:bCs/>
          <w:u w:val="single"/>
        </w:rPr>
        <w:t>20. 04. 2</w:t>
      </w:r>
      <w:r>
        <w:rPr>
          <w:rStyle w:val="Bodytext1"/>
          <w:b/>
          <w:bCs/>
        </w:rPr>
        <w:t>026</w:t>
      </w:r>
    </w:p>
    <w:p w14:paraId="405F27CE" w14:textId="77777777" w:rsidR="003A2777" w:rsidRDefault="00000000">
      <w:pPr>
        <w:pStyle w:val="Heading210"/>
        <w:keepNext/>
        <w:keepLines/>
        <w:tabs>
          <w:tab w:val="left" w:pos="4651"/>
        </w:tabs>
        <w:spacing w:after="220" w:line="254" w:lineRule="auto"/>
        <w:jc w:val="both"/>
      </w:pPr>
      <w:bookmarkStart w:id="10" w:name="bookmark20"/>
      <w:r>
        <w:rPr>
          <w:rStyle w:val="Heading21"/>
          <w:b/>
          <w:bCs/>
        </w:rPr>
        <w:t>Angelini Pharma Česká republika s.r.o.</w:t>
      </w:r>
      <w:r>
        <w:rPr>
          <w:rStyle w:val="Heading21"/>
          <w:b/>
          <w:bCs/>
        </w:rPr>
        <w:tab/>
      </w:r>
      <w:proofErr w:type="spellStart"/>
      <w:r>
        <w:rPr>
          <w:rStyle w:val="Heading21"/>
          <w:b/>
          <w:bCs/>
        </w:rPr>
        <w:t>Moravskoslezská^nemocnice</w:t>
      </w:r>
      <w:proofErr w:type="spellEnd"/>
      <w:r>
        <w:rPr>
          <w:rStyle w:val="Heading21"/>
          <w:b/>
          <w:bCs/>
        </w:rPr>
        <w:t xml:space="preserve"> Havířov, </w:t>
      </w:r>
      <w:proofErr w:type="spellStart"/>
      <w:r>
        <w:rPr>
          <w:rStyle w:val="Heading21"/>
          <w:b/>
          <w:bCs/>
        </w:rPr>
        <w:t>p.o</w:t>
      </w:r>
      <w:proofErr w:type="spellEnd"/>
      <w:r>
        <w:rPr>
          <w:rStyle w:val="Heading21"/>
          <w:b/>
          <w:bCs/>
        </w:rPr>
        <w:t>.</w:t>
      </w:r>
      <w:bookmarkEnd w:id="10"/>
    </w:p>
    <w:p w14:paraId="1D86D2BE" w14:textId="4FE828E7" w:rsidR="003A2777" w:rsidRDefault="00000000">
      <w:pPr>
        <w:pStyle w:val="Bodytext10"/>
        <w:pBdr>
          <w:top w:val="single" w:sz="4" w:space="0" w:color="auto"/>
        </w:pBdr>
        <w:tabs>
          <w:tab w:val="left" w:pos="3045"/>
        </w:tabs>
        <w:spacing w:before="220" w:after="220" w:line="259" w:lineRule="auto"/>
        <w:ind w:left="1540" w:right="1560"/>
        <w:jc w:val="both"/>
      </w:pPr>
      <w:r>
        <w:rPr>
          <w:rStyle w:val="Bodytext1"/>
        </w:rPr>
        <w:tab/>
        <w:t>/</w:t>
      </w:r>
      <w:r>
        <w:br w:type="page"/>
      </w:r>
    </w:p>
    <w:p w14:paraId="584F92BF" w14:textId="77777777" w:rsidR="003A2777" w:rsidRDefault="00000000">
      <w:pPr>
        <w:pStyle w:val="Heading110"/>
        <w:keepNext/>
        <w:keepLines/>
        <w:spacing w:after="280"/>
      </w:pPr>
      <w:bookmarkStart w:id="11" w:name="bookmark22"/>
      <w:r>
        <w:rPr>
          <w:rStyle w:val="Heading11"/>
        </w:rPr>
        <w:lastRenderedPageBreak/>
        <w:t>Příloha č. 1 - Vzor a výpočet obratového bonusu</w:t>
      </w:r>
      <w:bookmarkEnd w:id="11"/>
    </w:p>
    <w:tbl>
      <w:tblPr>
        <w:tblOverlap w:val="never"/>
        <w:tblW w:w="0" w:type="auto"/>
        <w:jc w:val="center"/>
        <w:tblLayout w:type="fixed"/>
        <w:tblCellMar>
          <w:left w:w="10" w:type="dxa"/>
          <w:right w:w="10" w:type="dxa"/>
        </w:tblCellMar>
        <w:tblLook w:val="04A0" w:firstRow="1" w:lastRow="0" w:firstColumn="1" w:lastColumn="0" w:noHBand="0" w:noVBand="1"/>
      </w:tblPr>
      <w:tblGrid>
        <w:gridCol w:w="1678"/>
        <w:gridCol w:w="1404"/>
        <w:gridCol w:w="1519"/>
        <w:gridCol w:w="1102"/>
        <w:gridCol w:w="1231"/>
        <w:gridCol w:w="1656"/>
      </w:tblGrid>
      <w:tr w:rsidR="003A2777" w14:paraId="34853562" w14:textId="77777777">
        <w:tblPrEx>
          <w:tblCellMar>
            <w:top w:w="0" w:type="dxa"/>
            <w:bottom w:w="0" w:type="dxa"/>
          </w:tblCellMar>
        </w:tblPrEx>
        <w:trPr>
          <w:trHeight w:hRule="exact" w:val="266"/>
          <w:jc w:val="center"/>
        </w:trPr>
        <w:tc>
          <w:tcPr>
            <w:tcW w:w="1678" w:type="dxa"/>
            <w:vMerge w:val="restart"/>
            <w:tcBorders>
              <w:top w:val="single" w:sz="4" w:space="0" w:color="auto"/>
              <w:left w:val="single" w:sz="4" w:space="0" w:color="auto"/>
            </w:tcBorders>
            <w:vAlign w:val="center"/>
          </w:tcPr>
          <w:p w14:paraId="7FBD8D6A" w14:textId="77777777" w:rsidR="003A2777" w:rsidRDefault="00000000">
            <w:pPr>
              <w:pStyle w:val="Other10"/>
              <w:spacing w:line="240" w:lineRule="auto"/>
              <w:ind w:firstLine="440"/>
            </w:pPr>
            <w:r>
              <w:rPr>
                <w:rStyle w:val="Other1"/>
                <w:b/>
                <w:bCs/>
              </w:rPr>
              <w:t>Pásma od</w:t>
            </w:r>
          </w:p>
        </w:tc>
        <w:tc>
          <w:tcPr>
            <w:tcW w:w="1404" w:type="dxa"/>
            <w:vMerge w:val="restart"/>
            <w:tcBorders>
              <w:top w:val="single" w:sz="4" w:space="0" w:color="auto"/>
              <w:left w:val="single" w:sz="4" w:space="0" w:color="auto"/>
            </w:tcBorders>
            <w:vAlign w:val="center"/>
          </w:tcPr>
          <w:p w14:paraId="25E70828" w14:textId="77777777" w:rsidR="003A2777" w:rsidRDefault="00000000">
            <w:pPr>
              <w:pStyle w:val="Other10"/>
              <w:spacing w:line="240" w:lineRule="auto"/>
              <w:ind w:firstLine="280"/>
            </w:pPr>
            <w:r>
              <w:rPr>
                <w:rStyle w:val="Other1"/>
                <w:b/>
                <w:bCs/>
              </w:rPr>
              <w:t>Pásma do</w:t>
            </w:r>
          </w:p>
        </w:tc>
        <w:tc>
          <w:tcPr>
            <w:tcW w:w="1519" w:type="dxa"/>
            <w:vMerge w:val="restart"/>
            <w:tcBorders>
              <w:top w:val="single" w:sz="4" w:space="0" w:color="auto"/>
              <w:left w:val="single" w:sz="4" w:space="0" w:color="auto"/>
            </w:tcBorders>
            <w:vAlign w:val="bottom"/>
          </w:tcPr>
          <w:p w14:paraId="2B30A8B2" w14:textId="77777777" w:rsidR="003A2777" w:rsidRDefault="00000000">
            <w:pPr>
              <w:pStyle w:val="Other10"/>
              <w:spacing w:line="298" w:lineRule="auto"/>
              <w:jc w:val="center"/>
            </w:pPr>
            <w:r>
              <w:rPr>
                <w:rStyle w:val="Other1"/>
                <w:b/>
                <w:bCs/>
              </w:rPr>
              <w:t>Obchodní zvýhodnění fixní částka</w:t>
            </w:r>
          </w:p>
        </w:tc>
        <w:tc>
          <w:tcPr>
            <w:tcW w:w="1102" w:type="dxa"/>
            <w:tcBorders>
              <w:top w:val="single" w:sz="4" w:space="0" w:color="auto"/>
              <w:left w:val="single" w:sz="4" w:space="0" w:color="auto"/>
            </w:tcBorders>
            <w:vAlign w:val="bottom"/>
          </w:tcPr>
          <w:p w14:paraId="04C4770E" w14:textId="77777777" w:rsidR="003A2777" w:rsidRDefault="00000000">
            <w:pPr>
              <w:pStyle w:val="Other10"/>
              <w:spacing w:line="240" w:lineRule="auto"/>
              <w:jc w:val="center"/>
            </w:pPr>
            <w:r>
              <w:rPr>
                <w:rStyle w:val="Other1"/>
                <w:b/>
                <w:bCs/>
              </w:rPr>
              <w:t>% pásma</w:t>
            </w:r>
          </w:p>
        </w:tc>
        <w:tc>
          <w:tcPr>
            <w:tcW w:w="2887" w:type="dxa"/>
            <w:gridSpan w:val="2"/>
            <w:tcBorders>
              <w:top w:val="single" w:sz="4" w:space="0" w:color="auto"/>
              <w:left w:val="single" w:sz="4" w:space="0" w:color="auto"/>
              <w:right w:val="single" w:sz="4" w:space="0" w:color="auto"/>
            </w:tcBorders>
            <w:vAlign w:val="bottom"/>
          </w:tcPr>
          <w:p w14:paraId="00180505" w14:textId="77777777" w:rsidR="003A2777" w:rsidRDefault="00000000">
            <w:pPr>
              <w:pStyle w:val="Other10"/>
              <w:spacing w:line="240" w:lineRule="auto"/>
              <w:jc w:val="center"/>
            </w:pPr>
            <w:r>
              <w:rPr>
                <w:rStyle w:val="Other1"/>
                <w:b/>
                <w:bCs/>
              </w:rPr>
              <w:t>Obchodní zvýhodnění</w:t>
            </w:r>
          </w:p>
        </w:tc>
      </w:tr>
      <w:tr w:rsidR="003A2777" w14:paraId="5C8261FD" w14:textId="77777777">
        <w:tblPrEx>
          <w:tblCellMar>
            <w:top w:w="0" w:type="dxa"/>
            <w:bottom w:w="0" w:type="dxa"/>
          </w:tblCellMar>
        </w:tblPrEx>
        <w:trPr>
          <w:trHeight w:hRule="exact" w:val="518"/>
          <w:jc w:val="center"/>
        </w:trPr>
        <w:tc>
          <w:tcPr>
            <w:tcW w:w="1678" w:type="dxa"/>
            <w:vMerge/>
            <w:tcBorders>
              <w:left w:val="single" w:sz="4" w:space="0" w:color="auto"/>
            </w:tcBorders>
            <w:vAlign w:val="center"/>
          </w:tcPr>
          <w:p w14:paraId="755DBCA7" w14:textId="77777777" w:rsidR="003A2777" w:rsidRDefault="003A2777"/>
        </w:tc>
        <w:tc>
          <w:tcPr>
            <w:tcW w:w="1404" w:type="dxa"/>
            <w:vMerge/>
            <w:tcBorders>
              <w:left w:val="single" w:sz="4" w:space="0" w:color="auto"/>
            </w:tcBorders>
            <w:vAlign w:val="center"/>
          </w:tcPr>
          <w:p w14:paraId="281B4828" w14:textId="77777777" w:rsidR="003A2777" w:rsidRDefault="003A2777"/>
        </w:tc>
        <w:tc>
          <w:tcPr>
            <w:tcW w:w="1519" w:type="dxa"/>
            <w:vMerge/>
            <w:tcBorders>
              <w:left w:val="single" w:sz="4" w:space="0" w:color="auto"/>
            </w:tcBorders>
            <w:vAlign w:val="bottom"/>
          </w:tcPr>
          <w:p w14:paraId="39ABF92E" w14:textId="77777777" w:rsidR="003A2777" w:rsidRDefault="003A2777"/>
        </w:tc>
        <w:tc>
          <w:tcPr>
            <w:tcW w:w="1102" w:type="dxa"/>
            <w:tcBorders>
              <w:top w:val="single" w:sz="4" w:space="0" w:color="auto"/>
              <w:left w:val="single" w:sz="4" w:space="0" w:color="auto"/>
            </w:tcBorders>
            <w:vAlign w:val="bottom"/>
          </w:tcPr>
          <w:p w14:paraId="15831A9A" w14:textId="77777777" w:rsidR="003A2777" w:rsidRDefault="00000000">
            <w:pPr>
              <w:pStyle w:val="Other10"/>
              <w:spacing w:line="293" w:lineRule="auto"/>
              <w:jc w:val="center"/>
            </w:pPr>
            <w:r>
              <w:rPr>
                <w:rStyle w:val="Other1"/>
                <w:rFonts w:ascii="Times New Roman" w:eastAsia="Times New Roman" w:hAnsi="Times New Roman" w:cs="Times New Roman"/>
              </w:rPr>
              <w:t>z částky nad pásmo</w:t>
            </w:r>
          </w:p>
        </w:tc>
        <w:tc>
          <w:tcPr>
            <w:tcW w:w="2887" w:type="dxa"/>
            <w:gridSpan w:val="2"/>
            <w:tcBorders>
              <w:top w:val="single" w:sz="4" w:space="0" w:color="auto"/>
              <w:left w:val="single" w:sz="4" w:space="0" w:color="auto"/>
              <w:right w:val="single" w:sz="4" w:space="0" w:color="auto"/>
            </w:tcBorders>
            <w:vAlign w:val="center"/>
          </w:tcPr>
          <w:p w14:paraId="61A044F5" w14:textId="77777777" w:rsidR="003A2777" w:rsidRDefault="00000000">
            <w:pPr>
              <w:pStyle w:val="Other10"/>
              <w:spacing w:line="240" w:lineRule="auto"/>
              <w:jc w:val="center"/>
            </w:pPr>
            <w:r>
              <w:rPr>
                <w:rStyle w:val="Other1"/>
                <w:b/>
                <w:bCs/>
              </w:rPr>
              <w:t>variabilní částka</w:t>
            </w:r>
          </w:p>
        </w:tc>
      </w:tr>
      <w:tr w:rsidR="003A2777" w14:paraId="36B03E36" w14:textId="77777777">
        <w:tblPrEx>
          <w:tblCellMar>
            <w:top w:w="0" w:type="dxa"/>
            <w:bottom w:w="0" w:type="dxa"/>
          </w:tblCellMar>
        </w:tblPrEx>
        <w:trPr>
          <w:trHeight w:hRule="exact" w:val="259"/>
          <w:jc w:val="center"/>
        </w:trPr>
        <w:tc>
          <w:tcPr>
            <w:tcW w:w="1678" w:type="dxa"/>
            <w:tcBorders>
              <w:top w:val="single" w:sz="4" w:space="0" w:color="auto"/>
              <w:left w:val="single" w:sz="4" w:space="0" w:color="auto"/>
            </w:tcBorders>
            <w:vAlign w:val="bottom"/>
          </w:tcPr>
          <w:p w14:paraId="10F611D6" w14:textId="6950F9C1" w:rsidR="003A2777" w:rsidRDefault="003A2777">
            <w:pPr>
              <w:pStyle w:val="Other10"/>
              <w:spacing w:line="240" w:lineRule="auto"/>
              <w:jc w:val="right"/>
            </w:pPr>
          </w:p>
        </w:tc>
        <w:tc>
          <w:tcPr>
            <w:tcW w:w="1404" w:type="dxa"/>
            <w:tcBorders>
              <w:top w:val="single" w:sz="4" w:space="0" w:color="auto"/>
              <w:left w:val="single" w:sz="4" w:space="0" w:color="auto"/>
            </w:tcBorders>
            <w:vAlign w:val="bottom"/>
          </w:tcPr>
          <w:p w14:paraId="4B16F9EF" w14:textId="46D4B5D8" w:rsidR="003A2777" w:rsidRDefault="003A2777">
            <w:pPr>
              <w:pStyle w:val="Other10"/>
              <w:spacing w:line="240" w:lineRule="auto"/>
              <w:jc w:val="right"/>
            </w:pPr>
          </w:p>
        </w:tc>
        <w:tc>
          <w:tcPr>
            <w:tcW w:w="1519" w:type="dxa"/>
            <w:tcBorders>
              <w:top w:val="single" w:sz="4" w:space="0" w:color="auto"/>
              <w:left w:val="single" w:sz="4" w:space="0" w:color="auto"/>
            </w:tcBorders>
            <w:vAlign w:val="bottom"/>
          </w:tcPr>
          <w:p w14:paraId="4B7F32B2" w14:textId="7D126C61" w:rsidR="003A2777" w:rsidRDefault="003A2777">
            <w:pPr>
              <w:pStyle w:val="Other10"/>
              <w:spacing w:line="240" w:lineRule="auto"/>
              <w:jc w:val="right"/>
            </w:pPr>
          </w:p>
        </w:tc>
        <w:tc>
          <w:tcPr>
            <w:tcW w:w="1102" w:type="dxa"/>
            <w:tcBorders>
              <w:top w:val="single" w:sz="4" w:space="0" w:color="auto"/>
              <w:left w:val="single" w:sz="4" w:space="0" w:color="auto"/>
            </w:tcBorders>
            <w:vAlign w:val="bottom"/>
          </w:tcPr>
          <w:p w14:paraId="69C8AD94" w14:textId="03555E61" w:rsidR="003A2777" w:rsidRDefault="003A2777">
            <w:pPr>
              <w:pStyle w:val="Other10"/>
              <w:spacing w:line="240" w:lineRule="auto"/>
              <w:ind w:firstLine="580"/>
            </w:pPr>
          </w:p>
        </w:tc>
        <w:tc>
          <w:tcPr>
            <w:tcW w:w="1231" w:type="dxa"/>
            <w:tcBorders>
              <w:top w:val="single" w:sz="4" w:space="0" w:color="auto"/>
              <w:left w:val="single" w:sz="4" w:space="0" w:color="auto"/>
            </w:tcBorders>
            <w:vAlign w:val="bottom"/>
          </w:tcPr>
          <w:p w14:paraId="52B7FB94" w14:textId="00381A4B" w:rsidR="003A2777" w:rsidRDefault="003A2777">
            <w:pPr>
              <w:pStyle w:val="Other10"/>
              <w:spacing w:line="240" w:lineRule="auto"/>
            </w:pPr>
          </w:p>
        </w:tc>
        <w:tc>
          <w:tcPr>
            <w:tcW w:w="1656" w:type="dxa"/>
            <w:tcBorders>
              <w:top w:val="single" w:sz="4" w:space="0" w:color="auto"/>
              <w:left w:val="single" w:sz="4" w:space="0" w:color="auto"/>
              <w:right w:val="single" w:sz="4" w:space="0" w:color="auto"/>
            </w:tcBorders>
            <w:vAlign w:val="bottom"/>
          </w:tcPr>
          <w:p w14:paraId="773B3D6C" w14:textId="1875F4AC" w:rsidR="003A2777" w:rsidRDefault="003A2777">
            <w:pPr>
              <w:pStyle w:val="Other10"/>
              <w:spacing w:line="240" w:lineRule="auto"/>
              <w:jc w:val="right"/>
            </w:pPr>
          </w:p>
        </w:tc>
      </w:tr>
      <w:tr w:rsidR="003A2777" w14:paraId="455B3388" w14:textId="77777777">
        <w:tblPrEx>
          <w:tblCellMar>
            <w:top w:w="0" w:type="dxa"/>
            <w:bottom w:w="0" w:type="dxa"/>
          </w:tblCellMar>
        </w:tblPrEx>
        <w:trPr>
          <w:trHeight w:hRule="exact" w:val="252"/>
          <w:jc w:val="center"/>
        </w:trPr>
        <w:tc>
          <w:tcPr>
            <w:tcW w:w="1678" w:type="dxa"/>
            <w:tcBorders>
              <w:top w:val="single" w:sz="4" w:space="0" w:color="auto"/>
              <w:left w:val="single" w:sz="4" w:space="0" w:color="auto"/>
            </w:tcBorders>
            <w:vAlign w:val="bottom"/>
          </w:tcPr>
          <w:p w14:paraId="224F7FB3" w14:textId="7862C589" w:rsidR="003A2777" w:rsidRDefault="003A2777">
            <w:pPr>
              <w:pStyle w:val="Other10"/>
              <w:spacing w:line="240" w:lineRule="auto"/>
              <w:ind w:firstLine="640"/>
            </w:pPr>
          </w:p>
        </w:tc>
        <w:tc>
          <w:tcPr>
            <w:tcW w:w="1404" w:type="dxa"/>
            <w:tcBorders>
              <w:top w:val="single" w:sz="4" w:space="0" w:color="auto"/>
              <w:left w:val="single" w:sz="4" w:space="0" w:color="auto"/>
            </w:tcBorders>
            <w:vAlign w:val="bottom"/>
          </w:tcPr>
          <w:p w14:paraId="5EE2C6F3" w14:textId="09861866" w:rsidR="003A2777" w:rsidRDefault="003A2777">
            <w:pPr>
              <w:pStyle w:val="Other10"/>
              <w:spacing w:line="240" w:lineRule="auto"/>
              <w:ind w:firstLine="280"/>
            </w:pPr>
          </w:p>
        </w:tc>
        <w:tc>
          <w:tcPr>
            <w:tcW w:w="1519" w:type="dxa"/>
            <w:tcBorders>
              <w:top w:val="single" w:sz="4" w:space="0" w:color="auto"/>
              <w:left w:val="single" w:sz="4" w:space="0" w:color="auto"/>
            </w:tcBorders>
            <w:vAlign w:val="bottom"/>
          </w:tcPr>
          <w:p w14:paraId="3CF738B6" w14:textId="10E3AD90" w:rsidR="003A2777" w:rsidRDefault="003A2777">
            <w:pPr>
              <w:pStyle w:val="Other10"/>
              <w:spacing w:line="240" w:lineRule="auto"/>
              <w:ind w:firstLine="580"/>
              <w:jc w:val="both"/>
            </w:pPr>
          </w:p>
        </w:tc>
        <w:tc>
          <w:tcPr>
            <w:tcW w:w="1102" w:type="dxa"/>
            <w:tcBorders>
              <w:top w:val="single" w:sz="4" w:space="0" w:color="auto"/>
              <w:left w:val="single" w:sz="4" w:space="0" w:color="auto"/>
            </w:tcBorders>
            <w:vAlign w:val="bottom"/>
          </w:tcPr>
          <w:p w14:paraId="73476F30" w14:textId="6B6EB35B" w:rsidR="003A2777" w:rsidRDefault="003A2777">
            <w:pPr>
              <w:pStyle w:val="Other10"/>
              <w:spacing w:line="240" w:lineRule="auto"/>
              <w:ind w:firstLine="580"/>
            </w:pPr>
          </w:p>
        </w:tc>
        <w:tc>
          <w:tcPr>
            <w:tcW w:w="1231" w:type="dxa"/>
            <w:tcBorders>
              <w:top w:val="single" w:sz="4" w:space="0" w:color="auto"/>
              <w:left w:val="single" w:sz="4" w:space="0" w:color="auto"/>
            </w:tcBorders>
            <w:vAlign w:val="bottom"/>
          </w:tcPr>
          <w:p w14:paraId="168172CF" w14:textId="710F1A3E" w:rsidR="003A2777" w:rsidRDefault="003A2777">
            <w:pPr>
              <w:pStyle w:val="Other10"/>
              <w:spacing w:line="240" w:lineRule="auto"/>
            </w:pPr>
          </w:p>
        </w:tc>
        <w:tc>
          <w:tcPr>
            <w:tcW w:w="1656" w:type="dxa"/>
            <w:tcBorders>
              <w:top w:val="single" w:sz="4" w:space="0" w:color="auto"/>
              <w:left w:val="single" w:sz="4" w:space="0" w:color="auto"/>
              <w:right w:val="single" w:sz="4" w:space="0" w:color="auto"/>
            </w:tcBorders>
            <w:vAlign w:val="bottom"/>
          </w:tcPr>
          <w:p w14:paraId="7F1E381A" w14:textId="628A5C98" w:rsidR="003A2777" w:rsidRDefault="003A2777">
            <w:pPr>
              <w:pStyle w:val="Other10"/>
              <w:spacing w:line="240" w:lineRule="auto"/>
              <w:jc w:val="right"/>
            </w:pPr>
          </w:p>
        </w:tc>
      </w:tr>
      <w:tr w:rsidR="003A2777" w14:paraId="062E458F" w14:textId="77777777">
        <w:tblPrEx>
          <w:tblCellMar>
            <w:top w:w="0" w:type="dxa"/>
            <w:bottom w:w="0" w:type="dxa"/>
          </w:tblCellMar>
        </w:tblPrEx>
        <w:trPr>
          <w:trHeight w:hRule="exact" w:val="252"/>
          <w:jc w:val="center"/>
        </w:trPr>
        <w:tc>
          <w:tcPr>
            <w:tcW w:w="1678" w:type="dxa"/>
            <w:tcBorders>
              <w:top w:val="single" w:sz="4" w:space="0" w:color="auto"/>
              <w:left w:val="single" w:sz="4" w:space="0" w:color="auto"/>
            </w:tcBorders>
            <w:vAlign w:val="bottom"/>
          </w:tcPr>
          <w:p w14:paraId="56D4CC6F" w14:textId="29A3CEF7" w:rsidR="003A2777" w:rsidRDefault="003A2777">
            <w:pPr>
              <w:pStyle w:val="Other10"/>
              <w:spacing w:line="240" w:lineRule="auto"/>
              <w:ind w:firstLine="540"/>
            </w:pPr>
          </w:p>
        </w:tc>
        <w:tc>
          <w:tcPr>
            <w:tcW w:w="1404" w:type="dxa"/>
            <w:tcBorders>
              <w:top w:val="single" w:sz="4" w:space="0" w:color="auto"/>
              <w:left w:val="single" w:sz="4" w:space="0" w:color="auto"/>
            </w:tcBorders>
            <w:vAlign w:val="bottom"/>
          </w:tcPr>
          <w:p w14:paraId="3CB3AAF9" w14:textId="41E2820C" w:rsidR="003A2777" w:rsidRDefault="003A2777">
            <w:pPr>
              <w:pStyle w:val="Other10"/>
              <w:spacing w:line="240" w:lineRule="auto"/>
              <w:ind w:firstLine="280"/>
            </w:pPr>
          </w:p>
        </w:tc>
        <w:tc>
          <w:tcPr>
            <w:tcW w:w="1519" w:type="dxa"/>
            <w:tcBorders>
              <w:top w:val="single" w:sz="4" w:space="0" w:color="auto"/>
              <w:left w:val="single" w:sz="4" w:space="0" w:color="auto"/>
            </w:tcBorders>
            <w:vAlign w:val="bottom"/>
          </w:tcPr>
          <w:p w14:paraId="53B2D478" w14:textId="0371DAC6" w:rsidR="003A2777" w:rsidRDefault="003A2777">
            <w:pPr>
              <w:pStyle w:val="Other10"/>
              <w:spacing w:line="240" w:lineRule="auto"/>
              <w:ind w:firstLine="580"/>
              <w:jc w:val="both"/>
            </w:pPr>
          </w:p>
        </w:tc>
        <w:tc>
          <w:tcPr>
            <w:tcW w:w="1102" w:type="dxa"/>
            <w:tcBorders>
              <w:top w:val="single" w:sz="4" w:space="0" w:color="auto"/>
              <w:left w:val="single" w:sz="4" w:space="0" w:color="auto"/>
            </w:tcBorders>
            <w:vAlign w:val="bottom"/>
          </w:tcPr>
          <w:p w14:paraId="0E8DDA69" w14:textId="65EB0028" w:rsidR="003A2777" w:rsidRDefault="003A2777">
            <w:pPr>
              <w:pStyle w:val="Other10"/>
              <w:spacing w:line="240" w:lineRule="auto"/>
              <w:ind w:firstLine="580"/>
            </w:pPr>
          </w:p>
        </w:tc>
        <w:tc>
          <w:tcPr>
            <w:tcW w:w="1231" w:type="dxa"/>
            <w:tcBorders>
              <w:top w:val="single" w:sz="4" w:space="0" w:color="auto"/>
              <w:left w:val="single" w:sz="4" w:space="0" w:color="auto"/>
            </w:tcBorders>
            <w:vAlign w:val="bottom"/>
          </w:tcPr>
          <w:p w14:paraId="7300A750" w14:textId="5C8498E9" w:rsidR="003A2777" w:rsidRDefault="003A2777">
            <w:pPr>
              <w:pStyle w:val="Other10"/>
              <w:spacing w:line="240" w:lineRule="auto"/>
            </w:pPr>
          </w:p>
        </w:tc>
        <w:tc>
          <w:tcPr>
            <w:tcW w:w="1656" w:type="dxa"/>
            <w:tcBorders>
              <w:top w:val="single" w:sz="4" w:space="0" w:color="auto"/>
              <w:left w:val="single" w:sz="4" w:space="0" w:color="auto"/>
              <w:right w:val="single" w:sz="4" w:space="0" w:color="auto"/>
            </w:tcBorders>
            <w:vAlign w:val="bottom"/>
          </w:tcPr>
          <w:p w14:paraId="7B1F989A" w14:textId="004119BA" w:rsidR="003A2777" w:rsidRDefault="003A2777">
            <w:pPr>
              <w:pStyle w:val="Other10"/>
              <w:spacing w:line="240" w:lineRule="auto"/>
              <w:ind w:firstLine="500"/>
              <w:jc w:val="both"/>
            </w:pPr>
          </w:p>
        </w:tc>
      </w:tr>
      <w:tr w:rsidR="003A2777" w14:paraId="7BED7571" w14:textId="77777777">
        <w:tblPrEx>
          <w:tblCellMar>
            <w:top w:w="0" w:type="dxa"/>
            <w:bottom w:w="0" w:type="dxa"/>
          </w:tblCellMar>
        </w:tblPrEx>
        <w:trPr>
          <w:trHeight w:hRule="exact" w:val="252"/>
          <w:jc w:val="center"/>
        </w:trPr>
        <w:tc>
          <w:tcPr>
            <w:tcW w:w="1678" w:type="dxa"/>
            <w:tcBorders>
              <w:top w:val="single" w:sz="4" w:space="0" w:color="auto"/>
              <w:left w:val="single" w:sz="4" w:space="0" w:color="auto"/>
            </w:tcBorders>
            <w:vAlign w:val="bottom"/>
          </w:tcPr>
          <w:p w14:paraId="382F2AEF" w14:textId="6CD7B9B3" w:rsidR="003A2777" w:rsidRDefault="003A2777">
            <w:pPr>
              <w:pStyle w:val="Other10"/>
              <w:spacing w:line="240" w:lineRule="auto"/>
              <w:ind w:firstLine="540"/>
            </w:pPr>
          </w:p>
        </w:tc>
        <w:tc>
          <w:tcPr>
            <w:tcW w:w="1404" w:type="dxa"/>
            <w:tcBorders>
              <w:top w:val="single" w:sz="4" w:space="0" w:color="auto"/>
              <w:left w:val="single" w:sz="4" w:space="0" w:color="auto"/>
            </w:tcBorders>
            <w:vAlign w:val="bottom"/>
          </w:tcPr>
          <w:p w14:paraId="048EDE35" w14:textId="0C81DBBE" w:rsidR="003A2777" w:rsidRDefault="003A2777">
            <w:pPr>
              <w:pStyle w:val="Other10"/>
              <w:spacing w:line="240" w:lineRule="auto"/>
              <w:ind w:firstLine="280"/>
            </w:pPr>
          </w:p>
        </w:tc>
        <w:tc>
          <w:tcPr>
            <w:tcW w:w="1519" w:type="dxa"/>
            <w:tcBorders>
              <w:top w:val="single" w:sz="4" w:space="0" w:color="auto"/>
              <w:left w:val="single" w:sz="4" w:space="0" w:color="auto"/>
            </w:tcBorders>
            <w:vAlign w:val="bottom"/>
          </w:tcPr>
          <w:p w14:paraId="77EF4063" w14:textId="01B15E78" w:rsidR="003A2777" w:rsidRDefault="003A2777">
            <w:pPr>
              <w:pStyle w:val="Other10"/>
              <w:spacing w:line="240" w:lineRule="auto"/>
              <w:ind w:firstLine="580"/>
              <w:jc w:val="both"/>
            </w:pPr>
          </w:p>
        </w:tc>
        <w:tc>
          <w:tcPr>
            <w:tcW w:w="1102" w:type="dxa"/>
            <w:tcBorders>
              <w:top w:val="single" w:sz="4" w:space="0" w:color="auto"/>
              <w:left w:val="single" w:sz="4" w:space="0" w:color="auto"/>
            </w:tcBorders>
            <w:vAlign w:val="bottom"/>
          </w:tcPr>
          <w:p w14:paraId="30860B74" w14:textId="650165F5" w:rsidR="003A2777" w:rsidRDefault="003A2777">
            <w:pPr>
              <w:pStyle w:val="Other10"/>
              <w:spacing w:line="240" w:lineRule="auto"/>
              <w:ind w:firstLine="580"/>
            </w:pPr>
          </w:p>
        </w:tc>
        <w:tc>
          <w:tcPr>
            <w:tcW w:w="1231" w:type="dxa"/>
            <w:tcBorders>
              <w:top w:val="single" w:sz="4" w:space="0" w:color="auto"/>
              <w:left w:val="single" w:sz="4" w:space="0" w:color="auto"/>
            </w:tcBorders>
            <w:vAlign w:val="bottom"/>
          </w:tcPr>
          <w:p w14:paraId="217233CA" w14:textId="35CF1911" w:rsidR="003A2777" w:rsidRDefault="003A2777">
            <w:pPr>
              <w:pStyle w:val="Other10"/>
              <w:spacing w:line="240" w:lineRule="auto"/>
            </w:pPr>
          </w:p>
        </w:tc>
        <w:tc>
          <w:tcPr>
            <w:tcW w:w="1656" w:type="dxa"/>
            <w:tcBorders>
              <w:top w:val="single" w:sz="4" w:space="0" w:color="auto"/>
              <w:left w:val="single" w:sz="4" w:space="0" w:color="auto"/>
              <w:right w:val="single" w:sz="4" w:space="0" w:color="auto"/>
            </w:tcBorders>
            <w:vAlign w:val="bottom"/>
          </w:tcPr>
          <w:p w14:paraId="35398D46" w14:textId="0C47B3F3" w:rsidR="003A2777" w:rsidRDefault="003A2777">
            <w:pPr>
              <w:pStyle w:val="Other10"/>
              <w:spacing w:line="240" w:lineRule="auto"/>
              <w:ind w:firstLine="500"/>
              <w:jc w:val="both"/>
            </w:pPr>
          </w:p>
        </w:tc>
      </w:tr>
      <w:tr w:rsidR="003A2777" w14:paraId="0B867B99" w14:textId="77777777">
        <w:tblPrEx>
          <w:tblCellMar>
            <w:top w:w="0" w:type="dxa"/>
            <w:bottom w:w="0" w:type="dxa"/>
          </w:tblCellMar>
        </w:tblPrEx>
        <w:trPr>
          <w:trHeight w:hRule="exact" w:val="288"/>
          <w:jc w:val="center"/>
        </w:trPr>
        <w:tc>
          <w:tcPr>
            <w:tcW w:w="1678" w:type="dxa"/>
            <w:tcBorders>
              <w:top w:val="single" w:sz="4" w:space="0" w:color="auto"/>
              <w:left w:val="single" w:sz="4" w:space="0" w:color="auto"/>
              <w:bottom w:val="single" w:sz="4" w:space="0" w:color="auto"/>
            </w:tcBorders>
          </w:tcPr>
          <w:p w14:paraId="5FBF6709" w14:textId="02872E6F" w:rsidR="003A2777" w:rsidRDefault="003A2777">
            <w:pPr>
              <w:pStyle w:val="Other10"/>
              <w:spacing w:line="240" w:lineRule="auto"/>
              <w:ind w:firstLine="540"/>
            </w:pPr>
          </w:p>
        </w:tc>
        <w:tc>
          <w:tcPr>
            <w:tcW w:w="1404" w:type="dxa"/>
            <w:tcBorders>
              <w:top w:val="single" w:sz="4" w:space="0" w:color="auto"/>
              <w:left w:val="single" w:sz="4" w:space="0" w:color="auto"/>
              <w:bottom w:val="single" w:sz="4" w:space="0" w:color="auto"/>
            </w:tcBorders>
          </w:tcPr>
          <w:p w14:paraId="4CE0AF31" w14:textId="5A4E2250" w:rsidR="003A2777" w:rsidRDefault="003A2777">
            <w:pPr>
              <w:pStyle w:val="Other10"/>
              <w:spacing w:line="240" w:lineRule="auto"/>
              <w:jc w:val="right"/>
            </w:pPr>
          </w:p>
        </w:tc>
        <w:tc>
          <w:tcPr>
            <w:tcW w:w="1519" w:type="dxa"/>
            <w:tcBorders>
              <w:top w:val="single" w:sz="4" w:space="0" w:color="auto"/>
              <w:left w:val="single" w:sz="4" w:space="0" w:color="auto"/>
              <w:bottom w:val="single" w:sz="4" w:space="0" w:color="auto"/>
            </w:tcBorders>
          </w:tcPr>
          <w:p w14:paraId="62ADCC5B" w14:textId="42D757BF" w:rsidR="003A2777" w:rsidRDefault="003A2777">
            <w:pPr>
              <w:pStyle w:val="Other10"/>
              <w:spacing w:line="240" w:lineRule="auto"/>
              <w:ind w:firstLine="580"/>
              <w:jc w:val="both"/>
            </w:pPr>
          </w:p>
        </w:tc>
        <w:tc>
          <w:tcPr>
            <w:tcW w:w="1102" w:type="dxa"/>
            <w:tcBorders>
              <w:top w:val="single" w:sz="4" w:space="0" w:color="auto"/>
              <w:left w:val="single" w:sz="4" w:space="0" w:color="auto"/>
              <w:bottom w:val="single" w:sz="4" w:space="0" w:color="auto"/>
            </w:tcBorders>
          </w:tcPr>
          <w:p w14:paraId="4085ABEE" w14:textId="6CE25B59" w:rsidR="003A2777" w:rsidRDefault="003A2777">
            <w:pPr>
              <w:pStyle w:val="Other10"/>
              <w:spacing w:line="240" w:lineRule="auto"/>
              <w:jc w:val="right"/>
            </w:pPr>
          </w:p>
        </w:tc>
        <w:tc>
          <w:tcPr>
            <w:tcW w:w="1231" w:type="dxa"/>
            <w:tcBorders>
              <w:top w:val="single" w:sz="4" w:space="0" w:color="auto"/>
              <w:left w:val="single" w:sz="4" w:space="0" w:color="auto"/>
              <w:bottom w:val="single" w:sz="4" w:space="0" w:color="auto"/>
            </w:tcBorders>
          </w:tcPr>
          <w:p w14:paraId="6321A060" w14:textId="21FC735C" w:rsidR="003A2777" w:rsidRDefault="003A2777">
            <w:pPr>
              <w:pStyle w:val="Other10"/>
              <w:spacing w:line="240" w:lineRule="auto"/>
            </w:pPr>
          </w:p>
        </w:tc>
        <w:tc>
          <w:tcPr>
            <w:tcW w:w="1656" w:type="dxa"/>
            <w:tcBorders>
              <w:top w:val="single" w:sz="4" w:space="0" w:color="auto"/>
              <w:left w:val="single" w:sz="4" w:space="0" w:color="auto"/>
              <w:bottom w:val="single" w:sz="4" w:space="0" w:color="auto"/>
              <w:right w:val="single" w:sz="4" w:space="0" w:color="auto"/>
            </w:tcBorders>
          </w:tcPr>
          <w:p w14:paraId="1C1277B1" w14:textId="2AFC0945" w:rsidR="003A2777" w:rsidRDefault="003A2777">
            <w:pPr>
              <w:pStyle w:val="Other10"/>
              <w:spacing w:line="240" w:lineRule="auto"/>
              <w:ind w:firstLine="500"/>
              <w:jc w:val="both"/>
            </w:pPr>
          </w:p>
        </w:tc>
      </w:tr>
    </w:tbl>
    <w:p w14:paraId="5D1DCC2B" w14:textId="77777777" w:rsidR="003A2777" w:rsidRDefault="00000000">
      <w:pPr>
        <w:pStyle w:val="Bodytext10"/>
        <w:spacing w:after="200" w:line="240" w:lineRule="auto"/>
      </w:pPr>
      <w:r>
        <w:rPr>
          <w:rStyle w:val="Bodytext1"/>
        </w:rPr>
        <w:t>Referenčním obdobím je kalendářní čtvrtletí.</w:t>
      </w:r>
    </w:p>
    <w:p w14:paraId="5B2E7DF0" w14:textId="77777777" w:rsidR="003A2777" w:rsidRDefault="00000000">
      <w:pPr>
        <w:pStyle w:val="Heading110"/>
        <w:keepNext/>
        <w:keepLines/>
      </w:pPr>
      <w:bookmarkStart w:id="12" w:name="bookmark26"/>
      <w:r>
        <w:rPr>
          <w:rStyle w:val="Heading11"/>
        </w:rPr>
        <w:t>Seznam produktů:</w:t>
      </w:r>
      <w:bookmarkEnd w:id="12"/>
    </w:p>
    <w:tbl>
      <w:tblPr>
        <w:tblOverlap w:val="never"/>
        <w:tblW w:w="0" w:type="auto"/>
        <w:jc w:val="center"/>
        <w:tblLayout w:type="fixed"/>
        <w:tblCellMar>
          <w:left w:w="10" w:type="dxa"/>
          <w:right w:w="10" w:type="dxa"/>
        </w:tblCellMar>
        <w:tblLook w:val="04A0" w:firstRow="1" w:lastRow="0" w:firstColumn="1" w:lastColumn="0" w:noHBand="0" w:noVBand="1"/>
      </w:tblPr>
      <w:tblGrid>
        <w:gridCol w:w="3715"/>
        <w:gridCol w:w="2045"/>
      </w:tblGrid>
      <w:tr w:rsidR="003A2777" w14:paraId="0A996DBD" w14:textId="77777777">
        <w:tblPrEx>
          <w:tblCellMar>
            <w:top w:w="0" w:type="dxa"/>
            <w:bottom w:w="0" w:type="dxa"/>
          </w:tblCellMar>
        </w:tblPrEx>
        <w:trPr>
          <w:trHeight w:hRule="exact" w:val="281"/>
          <w:jc w:val="center"/>
        </w:trPr>
        <w:tc>
          <w:tcPr>
            <w:tcW w:w="3715" w:type="dxa"/>
            <w:shd w:val="clear" w:color="auto" w:fill="BEF7FF"/>
            <w:vAlign w:val="bottom"/>
          </w:tcPr>
          <w:p w14:paraId="21A244BE" w14:textId="77777777" w:rsidR="003A2777" w:rsidRDefault="00000000">
            <w:pPr>
              <w:pStyle w:val="Other10"/>
              <w:spacing w:line="240" w:lineRule="auto"/>
            </w:pPr>
            <w:r>
              <w:rPr>
                <w:rStyle w:val="Other1"/>
                <w:b/>
                <w:bCs/>
                <w:shd w:val="clear" w:color="auto" w:fill="BDEBF1"/>
              </w:rPr>
              <w:t>Balení</w:t>
            </w:r>
          </w:p>
        </w:tc>
        <w:tc>
          <w:tcPr>
            <w:tcW w:w="2045" w:type="dxa"/>
            <w:shd w:val="clear" w:color="auto" w:fill="BEF7FF"/>
            <w:vAlign w:val="bottom"/>
          </w:tcPr>
          <w:p w14:paraId="6933FDB8" w14:textId="77777777" w:rsidR="003A2777" w:rsidRDefault="00000000">
            <w:pPr>
              <w:pStyle w:val="Other10"/>
              <w:spacing w:line="240" w:lineRule="auto"/>
              <w:ind w:firstLine="400"/>
            </w:pPr>
            <w:r>
              <w:rPr>
                <w:rStyle w:val="Other1"/>
                <w:b/>
                <w:bCs/>
                <w:shd w:val="clear" w:color="auto" w:fill="BDEBF1"/>
              </w:rPr>
              <w:t>PDK</w:t>
            </w:r>
          </w:p>
        </w:tc>
      </w:tr>
      <w:tr w:rsidR="003A2777" w14:paraId="4C0A311B" w14:textId="77777777">
        <w:tblPrEx>
          <w:tblCellMar>
            <w:top w:w="0" w:type="dxa"/>
            <w:bottom w:w="0" w:type="dxa"/>
          </w:tblCellMar>
        </w:tblPrEx>
        <w:trPr>
          <w:trHeight w:hRule="exact" w:val="281"/>
          <w:jc w:val="center"/>
        </w:trPr>
        <w:tc>
          <w:tcPr>
            <w:tcW w:w="3715" w:type="dxa"/>
            <w:tcBorders>
              <w:top w:val="single" w:sz="4" w:space="0" w:color="auto"/>
            </w:tcBorders>
            <w:vAlign w:val="bottom"/>
          </w:tcPr>
          <w:p w14:paraId="3B13A2BC" w14:textId="73BB038F" w:rsidR="003A2777" w:rsidRDefault="003A2777">
            <w:pPr>
              <w:pStyle w:val="Other10"/>
              <w:spacing w:line="240" w:lineRule="auto"/>
            </w:pPr>
          </w:p>
        </w:tc>
        <w:tc>
          <w:tcPr>
            <w:tcW w:w="2045" w:type="dxa"/>
            <w:vAlign w:val="bottom"/>
          </w:tcPr>
          <w:p w14:paraId="7B56CD2D" w14:textId="5C95A3D5" w:rsidR="003A2777" w:rsidRDefault="003A2777">
            <w:pPr>
              <w:pStyle w:val="Other10"/>
              <w:spacing w:line="240" w:lineRule="auto"/>
              <w:ind w:firstLine="400"/>
            </w:pPr>
          </w:p>
        </w:tc>
      </w:tr>
      <w:tr w:rsidR="003A2777" w14:paraId="05A0F1D0" w14:textId="77777777">
        <w:tblPrEx>
          <w:tblCellMar>
            <w:top w:w="0" w:type="dxa"/>
            <w:bottom w:w="0" w:type="dxa"/>
          </w:tblCellMar>
        </w:tblPrEx>
        <w:trPr>
          <w:trHeight w:hRule="exact" w:val="274"/>
          <w:jc w:val="center"/>
        </w:trPr>
        <w:tc>
          <w:tcPr>
            <w:tcW w:w="3715" w:type="dxa"/>
            <w:tcBorders>
              <w:top w:val="single" w:sz="4" w:space="0" w:color="auto"/>
            </w:tcBorders>
          </w:tcPr>
          <w:p w14:paraId="3E0AB918" w14:textId="3C967621" w:rsidR="003A2777" w:rsidRDefault="003A2777">
            <w:pPr>
              <w:pStyle w:val="Other10"/>
              <w:spacing w:line="240" w:lineRule="auto"/>
            </w:pPr>
          </w:p>
        </w:tc>
        <w:tc>
          <w:tcPr>
            <w:tcW w:w="2045" w:type="dxa"/>
            <w:tcBorders>
              <w:top w:val="single" w:sz="4" w:space="0" w:color="auto"/>
            </w:tcBorders>
          </w:tcPr>
          <w:p w14:paraId="3C6B90DB" w14:textId="68847557" w:rsidR="003A2777" w:rsidRDefault="003A2777">
            <w:pPr>
              <w:pStyle w:val="Other10"/>
              <w:spacing w:line="240" w:lineRule="auto"/>
              <w:ind w:firstLine="400"/>
            </w:pPr>
          </w:p>
        </w:tc>
      </w:tr>
      <w:tr w:rsidR="003A2777" w14:paraId="0DA3BAA4" w14:textId="77777777">
        <w:tblPrEx>
          <w:tblCellMar>
            <w:top w:w="0" w:type="dxa"/>
            <w:bottom w:w="0" w:type="dxa"/>
          </w:tblCellMar>
        </w:tblPrEx>
        <w:trPr>
          <w:trHeight w:hRule="exact" w:val="281"/>
          <w:jc w:val="center"/>
        </w:trPr>
        <w:tc>
          <w:tcPr>
            <w:tcW w:w="3715" w:type="dxa"/>
            <w:tcBorders>
              <w:top w:val="single" w:sz="4" w:space="0" w:color="auto"/>
            </w:tcBorders>
          </w:tcPr>
          <w:p w14:paraId="0A695A49" w14:textId="44093294" w:rsidR="003A2777" w:rsidRDefault="003A2777">
            <w:pPr>
              <w:pStyle w:val="Other10"/>
              <w:spacing w:line="240" w:lineRule="auto"/>
            </w:pPr>
          </w:p>
        </w:tc>
        <w:tc>
          <w:tcPr>
            <w:tcW w:w="2045" w:type="dxa"/>
            <w:tcBorders>
              <w:top w:val="single" w:sz="4" w:space="0" w:color="auto"/>
            </w:tcBorders>
          </w:tcPr>
          <w:p w14:paraId="06B94BF5" w14:textId="733E9C90" w:rsidR="003A2777" w:rsidRDefault="003A2777">
            <w:pPr>
              <w:pStyle w:val="Other10"/>
              <w:spacing w:line="240" w:lineRule="auto"/>
              <w:ind w:firstLine="200"/>
            </w:pPr>
          </w:p>
        </w:tc>
      </w:tr>
      <w:tr w:rsidR="003A2777" w14:paraId="5E6C616F" w14:textId="77777777">
        <w:tblPrEx>
          <w:tblCellMar>
            <w:top w:w="0" w:type="dxa"/>
            <w:bottom w:w="0" w:type="dxa"/>
          </w:tblCellMar>
        </w:tblPrEx>
        <w:trPr>
          <w:trHeight w:hRule="exact" w:val="274"/>
          <w:jc w:val="center"/>
        </w:trPr>
        <w:tc>
          <w:tcPr>
            <w:tcW w:w="3715" w:type="dxa"/>
            <w:tcBorders>
              <w:top w:val="single" w:sz="4" w:space="0" w:color="auto"/>
            </w:tcBorders>
          </w:tcPr>
          <w:p w14:paraId="5D3BE7BD" w14:textId="2D0F98B9" w:rsidR="003A2777" w:rsidRDefault="003A2777">
            <w:pPr>
              <w:pStyle w:val="Other10"/>
              <w:spacing w:line="240" w:lineRule="auto"/>
            </w:pPr>
          </w:p>
        </w:tc>
        <w:tc>
          <w:tcPr>
            <w:tcW w:w="2045" w:type="dxa"/>
            <w:tcBorders>
              <w:top w:val="single" w:sz="4" w:space="0" w:color="auto"/>
            </w:tcBorders>
          </w:tcPr>
          <w:p w14:paraId="5E362669" w14:textId="2FE631C1" w:rsidR="003A2777" w:rsidRDefault="003A2777">
            <w:pPr>
              <w:pStyle w:val="Other10"/>
              <w:spacing w:line="240" w:lineRule="auto"/>
              <w:ind w:firstLine="200"/>
            </w:pPr>
          </w:p>
        </w:tc>
      </w:tr>
      <w:tr w:rsidR="003A2777" w14:paraId="24F968B4" w14:textId="77777777">
        <w:tblPrEx>
          <w:tblCellMar>
            <w:top w:w="0" w:type="dxa"/>
            <w:bottom w:w="0" w:type="dxa"/>
          </w:tblCellMar>
        </w:tblPrEx>
        <w:trPr>
          <w:trHeight w:hRule="exact" w:val="274"/>
          <w:jc w:val="center"/>
        </w:trPr>
        <w:tc>
          <w:tcPr>
            <w:tcW w:w="3715" w:type="dxa"/>
            <w:tcBorders>
              <w:top w:val="single" w:sz="4" w:space="0" w:color="auto"/>
            </w:tcBorders>
          </w:tcPr>
          <w:p w14:paraId="7EE2D09D" w14:textId="49C6EC08" w:rsidR="003A2777" w:rsidRDefault="003A2777">
            <w:pPr>
              <w:pStyle w:val="Other10"/>
              <w:spacing w:line="240" w:lineRule="auto"/>
            </w:pPr>
          </w:p>
        </w:tc>
        <w:tc>
          <w:tcPr>
            <w:tcW w:w="2045" w:type="dxa"/>
            <w:tcBorders>
              <w:top w:val="single" w:sz="4" w:space="0" w:color="auto"/>
            </w:tcBorders>
          </w:tcPr>
          <w:p w14:paraId="5E6A0973" w14:textId="4A62C25B" w:rsidR="003A2777" w:rsidRDefault="003A2777">
            <w:pPr>
              <w:pStyle w:val="Other10"/>
              <w:spacing w:line="240" w:lineRule="auto"/>
              <w:ind w:firstLine="200"/>
            </w:pPr>
          </w:p>
        </w:tc>
      </w:tr>
      <w:tr w:rsidR="003A2777" w14:paraId="621C56CE" w14:textId="77777777">
        <w:tblPrEx>
          <w:tblCellMar>
            <w:top w:w="0" w:type="dxa"/>
            <w:bottom w:w="0" w:type="dxa"/>
          </w:tblCellMar>
        </w:tblPrEx>
        <w:trPr>
          <w:trHeight w:hRule="exact" w:val="274"/>
          <w:jc w:val="center"/>
        </w:trPr>
        <w:tc>
          <w:tcPr>
            <w:tcW w:w="3715" w:type="dxa"/>
            <w:tcBorders>
              <w:top w:val="single" w:sz="4" w:space="0" w:color="auto"/>
            </w:tcBorders>
          </w:tcPr>
          <w:p w14:paraId="0F3298C3" w14:textId="650C3B50" w:rsidR="003A2777" w:rsidRDefault="003A2777">
            <w:pPr>
              <w:pStyle w:val="Other10"/>
              <w:spacing w:line="240" w:lineRule="auto"/>
            </w:pPr>
          </w:p>
        </w:tc>
        <w:tc>
          <w:tcPr>
            <w:tcW w:w="2045" w:type="dxa"/>
            <w:tcBorders>
              <w:top w:val="single" w:sz="4" w:space="0" w:color="auto"/>
            </w:tcBorders>
          </w:tcPr>
          <w:p w14:paraId="231B1C60" w14:textId="6F59D9FA" w:rsidR="003A2777" w:rsidRDefault="003A2777">
            <w:pPr>
              <w:pStyle w:val="Other10"/>
              <w:spacing w:line="240" w:lineRule="auto"/>
              <w:ind w:firstLine="400"/>
            </w:pPr>
          </w:p>
        </w:tc>
      </w:tr>
      <w:tr w:rsidR="003A2777" w14:paraId="41205EDD" w14:textId="77777777">
        <w:tblPrEx>
          <w:tblCellMar>
            <w:top w:w="0" w:type="dxa"/>
            <w:bottom w:w="0" w:type="dxa"/>
          </w:tblCellMar>
        </w:tblPrEx>
        <w:trPr>
          <w:trHeight w:hRule="exact" w:val="274"/>
          <w:jc w:val="center"/>
        </w:trPr>
        <w:tc>
          <w:tcPr>
            <w:tcW w:w="3715" w:type="dxa"/>
            <w:tcBorders>
              <w:top w:val="single" w:sz="4" w:space="0" w:color="auto"/>
            </w:tcBorders>
          </w:tcPr>
          <w:p w14:paraId="743B050F" w14:textId="07C06DF8" w:rsidR="003A2777" w:rsidRDefault="003A2777">
            <w:pPr>
              <w:pStyle w:val="Other10"/>
              <w:spacing w:line="240" w:lineRule="auto"/>
            </w:pPr>
          </w:p>
        </w:tc>
        <w:tc>
          <w:tcPr>
            <w:tcW w:w="2045" w:type="dxa"/>
            <w:tcBorders>
              <w:top w:val="single" w:sz="4" w:space="0" w:color="auto"/>
            </w:tcBorders>
          </w:tcPr>
          <w:p w14:paraId="173E03B1" w14:textId="214C50B2" w:rsidR="003A2777" w:rsidRDefault="003A2777">
            <w:pPr>
              <w:pStyle w:val="Other10"/>
              <w:spacing w:line="240" w:lineRule="auto"/>
              <w:ind w:firstLine="400"/>
            </w:pPr>
          </w:p>
        </w:tc>
      </w:tr>
      <w:tr w:rsidR="003A2777" w14:paraId="2EFA2D9C" w14:textId="77777777">
        <w:tblPrEx>
          <w:tblCellMar>
            <w:top w:w="0" w:type="dxa"/>
            <w:bottom w:w="0" w:type="dxa"/>
          </w:tblCellMar>
        </w:tblPrEx>
        <w:trPr>
          <w:trHeight w:hRule="exact" w:val="274"/>
          <w:jc w:val="center"/>
        </w:trPr>
        <w:tc>
          <w:tcPr>
            <w:tcW w:w="3715" w:type="dxa"/>
            <w:tcBorders>
              <w:top w:val="single" w:sz="4" w:space="0" w:color="auto"/>
            </w:tcBorders>
          </w:tcPr>
          <w:p w14:paraId="11E41BA8" w14:textId="5F992E4F" w:rsidR="003A2777" w:rsidRDefault="003A2777">
            <w:pPr>
              <w:pStyle w:val="Other10"/>
              <w:spacing w:line="240" w:lineRule="auto"/>
            </w:pPr>
          </w:p>
        </w:tc>
        <w:tc>
          <w:tcPr>
            <w:tcW w:w="2045" w:type="dxa"/>
            <w:tcBorders>
              <w:top w:val="single" w:sz="4" w:space="0" w:color="auto"/>
            </w:tcBorders>
          </w:tcPr>
          <w:p w14:paraId="7705A790" w14:textId="7C478A7F" w:rsidR="003A2777" w:rsidRDefault="003A2777">
            <w:pPr>
              <w:pStyle w:val="Other10"/>
              <w:spacing w:line="240" w:lineRule="auto"/>
              <w:ind w:firstLine="200"/>
            </w:pPr>
          </w:p>
        </w:tc>
      </w:tr>
      <w:tr w:rsidR="003A2777" w14:paraId="383CB8B8" w14:textId="77777777">
        <w:tblPrEx>
          <w:tblCellMar>
            <w:top w:w="0" w:type="dxa"/>
            <w:bottom w:w="0" w:type="dxa"/>
          </w:tblCellMar>
        </w:tblPrEx>
        <w:trPr>
          <w:trHeight w:hRule="exact" w:val="274"/>
          <w:jc w:val="center"/>
        </w:trPr>
        <w:tc>
          <w:tcPr>
            <w:tcW w:w="3715" w:type="dxa"/>
            <w:tcBorders>
              <w:top w:val="single" w:sz="4" w:space="0" w:color="auto"/>
            </w:tcBorders>
            <w:vAlign w:val="bottom"/>
          </w:tcPr>
          <w:p w14:paraId="4EB47B89" w14:textId="17D5F264" w:rsidR="003A2777" w:rsidRDefault="003A2777">
            <w:pPr>
              <w:pStyle w:val="Other10"/>
              <w:spacing w:line="240" w:lineRule="auto"/>
            </w:pPr>
          </w:p>
        </w:tc>
        <w:tc>
          <w:tcPr>
            <w:tcW w:w="2045" w:type="dxa"/>
            <w:tcBorders>
              <w:top w:val="single" w:sz="4" w:space="0" w:color="auto"/>
            </w:tcBorders>
            <w:vAlign w:val="bottom"/>
          </w:tcPr>
          <w:p w14:paraId="7CF403A4" w14:textId="1292766D" w:rsidR="003A2777" w:rsidRDefault="003A2777">
            <w:pPr>
              <w:pStyle w:val="Other10"/>
              <w:spacing w:line="240" w:lineRule="auto"/>
              <w:ind w:firstLine="400"/>
            </w:pPr>
          </w:p>
        </w:tc>
      </w:tr>
      <w:tr w:rsidR="003A2777" w14:paraId="4B59811C" w14:textId="77777777">
        <w:tblPrEx>
          <w:tblCellMar>
            <w:top w:w="0" w:type="dxa"/>
            <w:bottom w:w="0" w:type="dxa"/>
          </w:tblCellMar>
        </w:tblPrEx>
        <w:trPr>
          <w:trHeight w:hRule="exact" w:val="274"/>
          <w:jc w:val="center"/>
        </w:trPr>
        <w:tc>
          <w:tcPr>
            <w:tcW w:w="3715" w:type="dxa"/>
            <w:tcBorders>
              <w:top w:val="single" w:sz="4" w:space="0" w:color="auto"/>
            </w:tcBorders>
          </w:tcPr>
          <w:p w14:paraId="0C87345A" w14:textId="4A157748" w:rsidR="003A2777" w:rsidRDefault="003A2777">
            <w:pPr>
              <w:pStyle w:val="Other10"/>
              <w:spacing w:line="240" w:lineRule="auto"/>
            </w:pPr>
          </w:p>
        </w:tc>
        <w:tc>
          <w:tcPr>
            <w:tcW w:w="2045" w:type="dxa"/>
            <w:tcBorders>
              <w:top w:val="single" w:sz="4" w:space="0" w:color="auto"/>
            </w:tcBorders>
          </w:tcPr>
          <w:p w14:paraId="39F01B71" w14:textId="05C0A20D" w:rsidR="003A2777" w:rsidRDefault="003A2777">
            <w:pPr>
              <w:pStyle w:val="Other10"/>
              <w:spacing w:line="240" w:lineRule="auto"/>
              <w:ind w:firstLine="400"/>
            </w:pPr>
          </w:p>
        </w:tc>
      </w:tr>
      <w:tr w:rsidR="003A2777" w14:paraId="43E4156A" w14:textId="77777777">
        <w:tblPrEx>
          <w:tblCellMar>
            <w:top w:w="0" w:type="dxa"/>
            <w:bottom w:w="0" w:type="dxa"/>
          </w:tblCellMar>
        </w:tblPrEx>
        <w:trPr>
          <w:trHeight w:hRule="exact" w:val="266"/>
          <w:jc w:val="center"/>
        </w:trPr>
        <w:tc>
          <w:tcPr>
            <w:tcW w:w="3715" w:type="dxa"/>
            <w:tcBorders>
              <w:top w:val="single" w:sz="4" w:space="0" w:color="auto"/>
            </w:tcBorders>
            <w:vAlign w:val="bottom"/>
          </w:tcPr>
          <w:p w14:paraId="43BAFED1" w14:textId="42ADA2EE" w:rsidR="003A2777" w:rsidRDefault="003A2777">
            <w:pPr>
              <w:pStyle w:val="Other10"/>
              <w:spacing w:line="240" w:lineRule="auto"/>
            </w:pPr>
          </w:p>
        </w:tc>
        <w:tc>
          <w:tcPr>
            <w:tcW w:w="2045" w:type="dxa"/>
            <w:tcBorders>
              <w:top w:val="single" w:sz="4" w:space="0" w:color="auto"/>
            </w:tcBorders>
            <w:vAlign w:val="bottom"/>
          </w:tcPr>
          <w:p w14:paraId="77CE6420" w14:textId="348DE597" w:rsidR="003A2777" w:rsidRDefault="003A2777">
            <w:pPr>
              <w:pStyle w:val="Other10"/>
              <w:spacing w:line="240" w:lineRule="auto"/>
              <w:ind w:firstLine="400"/>
            </w:pPr>
          </w:p>
        </w:tc>
      </w:tr>
      <w:tr w:rsidR="003A2777" w14:paraId="43CBEE8E" w14:textId="77777777">
        <w:tblPrEx>
          <w:tblCellMar>
            <w:top w:w="0" w:type="dxa"/>
            <w:bottom w:w="0" w:type="dxa"/>
          </w:tblCellMar>
        </w:tblPrEx>
        <w:trPr>
          <w:trHeight w:hRule="exact" w:val="302"/>
          <w:jc w:val="center"/>
        </w:trPr>
        <w:tc>
          <w:tcPr>
            <w:tcW w:w="3715" w:type="dxa"/>
            <w:tcBorders>
              <w:top w:val="single" w:sz="4" w:space="0" w:color="auto"/>
              <w:bottom w:val="single" w:sz="4" w:space="0" w:color="auto"/>
            </w:tcBorders>
          </w:tcPr>
          <w:p w14:paraId="20164BAB" w14:textId="1592606D" w:rsidR="003A2777" w:rsidRDefault="003A2777">
            <w:pPr>
              <w:pStyle w:val="Other10"/>
              <w:spacing w:line="240" w:lineRule="auto"/>
            </w:pPr>
          </w:p>
        </w:tc>
        <w:tc>
          <w:tcPr>
            <w:tcW w:w="2045" w:type="dxa"/>
            <w:tcBorders>
              <w:top w:val="single" w:sz="4" w:space="0" w:color="auto"/>
              <w:bottom w:val="single" w:sz="4" w:space="0" w:color="auto"/>
            </w:tcBorders>
          </w:tcPr>
          <w:p w14:paraId="12618F87" w14:textId="1A504C78" w:rsidR="003A2777" w:rsidRDefault="003A2777">
            <w:pPr>
              <w:pStyle w:val="Other10"/>
              <w:spacing w:line="240" w:lineRule="auto"/>
              <w:ind w:firstLine="400"/>
            </w:pPr>
          </w:p>
        </w:tc>
      </w:tr>
    </w:tbl>
    <w:p w14:paraId="018BA67D" w14:textId="77777777" w:rsidR="003A2777" w:rsidRDefault="003A2777">
      <w:pPr>
        <w:spacing w:after="419" w:line="1" w:lineRule="exact"/>
      </w:pPr>
    </w:p>
    <w:p w14:paraId="657EC846" w14:textId="77777777" w:rsidR="003A2777" w:rsidRDefault="00000000">
      <w:pPr>
        <w:pStyle w:val="Bodytext40"/>
      </w:pPr>
      <w:r>
        <w:rPr>
          <w:rStyle w:val="Bodytext4"/>
        </w:rPr>
        <w:t>Seznam zákazníků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73"/>
        <w:gridCol w:w="2340"/>
        <w:gridCol w:w="1174"/>
        <w:gridCol w:w="439"/>
      </w:tblGrid>
      <w:tr w:rsidR="003A2777" w14:paraId="61080FD4" w14:textId="77777777">
        <w:tblPrEx>
          <w:tblCellMar>
            <w:top w:w="0" w:type="dxa"/>
            <w:bottom w:w="0" w:type="dxa"/>
          </w:tblCellMar>
        </w:tblPrEx>
        <w:trPr>
          <w:trHeight w:hRule="exact" w:val="216"/>
          <w:jc w:val="center"/>
        </w:trPr>
        <w:tc>
          <w:tcPr>
            <w:tcW w:w="4673" w:type="dxa"/>
            <w:shd w:val="clear" w:color="auto" w:fill="79A6D8"/>
          </w:tcPr>
          <w:p w14:paraId="4BD60E7B" w14:textId="77777777" w:rsidR="003A2777" w:rsidRDefault="00000000">
            <w:pPr>
              <w:pStyle w:val="Other10"/>
              <w:pBdr>
                <w:top w:val="single" w:sz="0" w:space="0" w:color="7DA7D8"/>
                <w:left w:val="single" w:sz="0" w:space="0" w:color="7DA7D8"/>
                <w:bottom w:val="single" w:sz="0" w:space="0" w:color="7DA7D8"/>
                <w:right w:val="single" w:sz="0" w:space="0" w:color="7DA7D8"/>
              </w:pBdr>
              <w:shd w:val="clear" w:color="auto" w:fill="7DA7D8"/>
              <w:spacing w:line="240" w:lineRule="auto"/>
              <w:rPr>
                <w:sz w:val="11"/>
                <w:szCs w:val="11"/>
              </w:rPr>
            </w:pPr>
            <w:r>
              <w:rPr>
                <w:rStyle w:val="Other1"/>
                <w:b/>
                <w:bCs/>
                <w:color w:val="FFFFFF"/>
                <w:sz w:val="11"/>
                <w:szCs w:val="11"/>
              </w:rPr>
              <w:t>I</w:t>
            </w:r>
            <w:r>
              <w:rPr>
                <w:rStyle w:val="Other1"/>
                <w:b/>
                <w:bCs/>
                <w:color w:val="FFFFFF"/>
                <w:sz w:val="11"/>
                <w:szCs w:val="11"/>
                <w:shd w:val="clear" w:color="auto" w:fill="7CA6D6"/>
              </w:rPr>
              <w:t xml:space="preserve"> Název</w:t>
            </w:r>
          </w:p>
        </w:tc>
        <w:tc>
          <w:tcPr>
            <w:tcW w:w="2340" w:type="dxa"/>
            <w:shd w:val="clear" w:color="auto" w:fill="79A6D8"/>
          </w:tcPr>
          <w:p w14:paraId="6DF65CF2" w14:textId="77777777" w:rsidR="003A2777" w:rsidRDefault="00000000">
            <w:pPr>
              <w:pStyle w:val="Other10"/>
              <w:pBdr>
                <w:top w:val="single" w:sz="0" w:space="0" w:color="78A6D6"/>
                <w:left w:val="single" w:sz="0" w:space="0" w:color="78A6D6"/>
                <w:bottom w:val="single" w:sz="0" w:space="0" w:color="78A6D6"/>
                <w:right w:val="single" w:sz="0" w:space="0" w:color="78A6D6"/>
              </w:pBdr>
              <w:shd w:val="clear" w:color="auto" w:fill="78A6D6"/>
              <w:spacing w:line="240" w:lineRule="auto"/>
              <w:ind w:firstLine="860"/>
              <w:rPr>
                <w:sz w:val="11"/>
                <w:szCs w:val="11"/>
              </w:rPr>
            </w:pPr>
            <w:proofErr w:type="spellStart"/>
            <w:r>
              <w:rPr>
                <w:rStyle w:val="Other1"/>
                <w:b/>
                <w:bCs/>
                <w:color w:val="FFFFFF"/>
                <w:sz w:val="11"/>
                <w:szCs w:val="11"/>
              </w:rPr>
              <w:t>Qj</w:t>
            </w:r>
            <w:proofErr w:type="spellEnd"/>
            <w:r>
              <w:rPr>
                <w:rStyle w:val="Other1"/>
                <w:b/>
                <w:bCs/>
                <w:color w:val="FFFFFF"/>
                <w:sz w:val="11"/>
                <w:szCs w:val="11"/>
              </w:rPr>
              <w:t xml:space="preserve"> Distributor</w:t>
            </w:r>
          </w:p>
        </w:tc>
        <w:tc>
          <w:tcPr>
            <w:tcW w:w="1174" w:type="dxa"/>
            <w:shd w:val="clear" w:color="auto" w:fill="79A6D8"/>
          </w:tcPr>
          <w:p w14:paraId="1F58AF12" w14:textId="77777777" w:rsidR="003A2777" w:rsidRDefault="00000000">
            <w:pPr>
              <w:pStyle w:val="Other10"/>
              <w:pBdr>
                <w:top w:val="single" w:sz="0" w:space="0" w:color="78A4D9"/>
                <w:left w:val="single" w:sz="0" w:space="0" w:color="78A4D9"/>
                <w:bottom w:val="single" w:sz="0" w:space="0" w:color="78A4D9"/>
                <w:right w:val="single" w:sz="0" w:space="0" w:color="78A4D9"/>
              </w:pBdr>
              <w:shd w:val="clear" w:color="auto" w:fill="78A4D9"/>
              <w:spacing w:line="240" w:lineRule="auto"/>
              <w:rPr>
                <w:sz w:val="11"/>
                <w:szCs w:val="11"/>
              </w:rPr>
            </w:pPr>
            <w:r>
              <w:rPr>
                <w:rStyle w:val="Other1"/>
                <w:b/>
                <w:bCs/>
                <w:color w:val="FFFFFF"/>
                <w:sz w:val="11"/>
                <w:szCs w:val="11"/>
              </w:rPr>
              <w:t>Q Klient,</w:t>
            </w:r>
            <w:r>
              <w:rPr>
                <w:rStyle w:val="Other1"/>
                <w:b/>
                <w:bCs/>
                <w:color w:val="FFFFFF"/>
                <w:sz w:val="11"/>
                <w:szCs w:val="11"/>
                <w:shd w:val="clear" w:color="auto" w:fill="7CA6D6"/>
              </w:rPr>
              <w:t xml:space="preserve"> číslo</w:t>
            </w:r>
          </w:p>
        </w:tc>
        <w:tc>
          <w:tcPr>
            <w:tcW w:w="439" w:type="dxa"/>
            <w:shd w:val="clear" w:color="auto" w:fill="79A6D8"/>
          </w:tcPr>
          <w:p w14:paraId="28410275" w14:textId="77777777" w:rsidR="003A2777" w:rsidRDefault="003A2777">
            <w:pPr>
              <w:rPr>
                <w:sz w:val="10"/>
                <w:szCs w:val="10"/>
              </w:rPr>
            </w:pPr>
          </w:p>
        </w:tc>
      </w:tr>
      <w:tr w:rsidR="003A2777" w14:paraId="07CC0CF9" w14:textId="77777777">
        <w:tblPrEx>
          <w:tblCellMar>
            <w:top w:w="0" w:type="dxa"/>
            <w:bottom w:w="0" w:type="dxa"/>
          </w:tblCellMar>
        </w:tblPrEx>
        <w:trPr>
          <w:trHeight w:hRule="exact" w:val="173"/>
          <w:jc w:val="center"/>
        </w:trPr>
        <w:tc>
          <w:tcPr>
            <w:tcW w:w="4673" w:type="dxa"/>
          </w:tcPr>
          <w:p w14:paraId="0D54233E" w14:textId="707A0CBD" w:rsidR="003A2777" w:rsidRDefault="003A2777">
            <w:pPr>
              <w:pStyle w:val="Other10"/>
              <w:spacing w:line="240" w:lineRule="auto"/>
              <w:rPr>
                <w:sz w:val="11"/>
                <w:szCs w:val="11"/>
              </w:rPr>
            </w:pPr>
          </w:p>
        </w:tc>
        <w:tc>
          <w:tcPr>
            <w:tcW w:w="2340" w:type="dxa"/>
          </w:tcPr>
          <w:p w14:paraId="6FD8B239" w14:textId="67EFAAD8" w:rsidR="003A2777" w:rsidRDefault="003A2777">
            <w:pPr>
              <w:pStyle w:val="Other10"/>
              <w:spacing w:line="240" w:lineRule="auto"/>
              <w:ind w:left="1040"/>
              <w:jc w:val="both"/>
              <w:rPr>
                <w:sz w:val="11"/>
                <w:szCs w:val="11"/>
              </w:rPr>
            </w:pPr>
          </w:p>
        </w:tc>
        <w:tc>
          <w:tcPr>
            <w:tcW w:w="1174" w:type="dxa"/>
          </w:tcPr>
          <w:p w14:paraId="673A3774" w14:textId="2B89FE5B" w:rsidR="003A2777" w:rsidRDefault="003A2777">
            <w:pPr>
              <w:pStyle w:val="Other10"/>
              <w:spacing w:line="240" w:lineRule="auto"/>
              <w:ind w:firstLine="240"/>
              <w:rPr>
                <w:sz w:val="11"/>
                <w:szCs w:val="11"/>
              </w:rPr>
            </w:pPr>
          </w:p>
        </w:tc>
        <w:tc>
          <w:tcPr>
            <w:tcW w:w="439" w:type="dxa"/>
          </w:tcPr>
          <w:p w14:paraId="3F6E5BFF" w14:textId="77777777" w:rsidR="003A2777" w:rsidRDefault="003A2777">
            <w:pPr>
              <w:rPr>
                <w:sz w:val="10"/>
                <w:szCs w:val="10"/>
              </w:rPr>
            </w:pPr>
          </w:p>
        </w:tc>
      </w:tr>
      <w:tr w:rsidR="003A2777" w14:paraId="00B42310" w14:textId="77777777">
        <w:tblPrEx>
          <w:tblCellMar>
            <w:top w:w="0" w:type="dxa"/>
            <w:bottom w:w="0" w:type="dxa"/>
          </w:tblCellMar>
        </w:tblPrEx>
        <w:trPr>
          <w:trHeight w:hRule="exact" w:val="187"/>
          <w:jc w:val="center"/>
        </w:trPr>
        <w:tc>
          <w:tcPr>
            <w:tcW w:w="4673" w:type="dxa"/>
          </w:tcPr>
          <w:p w14:paraId="3A1A5CF0" w14:textId="028EE907" w:rsidR="003A2777" w:rsidRDefault="003A2777">
            <w:pPr>
              <w:pStyle w:val="Other10"/>
              <w:spacing w:line="240" w:lineRule="auto"/>
              <w:rPr>
                <w:sz w:val="11"/>
                <w:szCs w:val="11"/>
              </w:rPr>
            </w:pPr>
          </w:p>
        </w:tc>
        <w:tc>
          <w:tcPr>
            <w:tcW w:w="2340" w:type="dxa"/>
          </w:tcPr>
          <w:p w14:paraId="206C2AAC" w14:textId="77012900" w:rsidR="003A2777" w:rsidRDefault="003A2777">
            <w:pPr>
              <w:pStyle w:val="Other10"/>
              <w:spacing w:line="240" w:lineRule="auto"/>
              <w:ind w:left="1040"/>
              <w:rPr>
                <w:sz w:val="11"/>
                <w:szCs w:val="11"/>
              </w:rPr>
            </w:pPr>
          </w:p>
        </w:tc>
        <w:tc>
          <w:tcPr>
            <w:tcW w:w="1174" w:type="dxa"/>
          </w:tcPr>
          <w:p w14:paraId="70ADC6E6" w14:textId="15479A8F" w:rsidR="003A2777" w:rsidRDefault="003A2777">
            <w:pPr>
              <w:pStyle w:val="Other10"/>
              <w:spacing w:line="240" w:lineRule="auto"/>
              <w:ind w:firstLine="200"/>
              <w:rPr>
                <w:sz w:val="11"/>
                <w:szCs w:val="11"/>
              </w:rPr>
            </w:pPr>
          </w:p>
        </w:tc>
        <w:tc>
          <w:tcPr>
            <w:tcW w:w="439" w:type="dxa"/>
          </w:tcPr>
          <w:p w14:paraId="55B44B28" w14:textId="77777777" w:rsidR="003A2777" w:rsidRDefault="003A2777">
            <w:pPr>
              <w:rPr>
                <w:sz w:val="10"/>
                <w:szCs w:val="10"/>
              </w:rPr>
            </w:pPr>
          </w:p>
        </w:tc>
      </w:tr>
      <w:tr w:rsidR="003A2777" w14:paraId="04592FA5" w14:textId="77777777">
        <w:tblPrEx>
          <w:tblCellMar>
            <w:top w:w="0" w:type="dxa"/>
            <w:bottom w:w="0" w:type="dxa"/>
          </w:tblCellMar>
        </w:tblPrEx>
        <w:trPr>
          <w:trHeight w:hRule="exact" w:val="187"/>
          <w:jc w:val="center"/>
        </w:trPr>
        <w:tc>
          <w:tcPr>
            <w:tcW w:w="4673" w:type="dxa"/>
          </w:tcPr>
          <w:p w14:paraId="19B1D503" w14:textId="64A53ABD" w:rsidR="003A2777" w:rsidRDefault="003A2777">
            <w:pPr>
              <w:pStyle w:val="Other10"/>
              <w:spacing w:line="240" w:lineRule="auto"/>
              <w:rPr>
                <w:sz w:val="11"/>
                <w:szCs w:val="11"/>
              </w:rPr>
            </w:pPr>
          </w:p>
        </w:tc>
        <w:tc>
          <w:tcPr>
            <w:tcW w:w="2340" w:type="dxa"/>
          </w:tcPr>
          <w:p w14:paraId="56459068" w14:textId="5516BEDE" w:rsidR="003A2777" w:rsidRDefault="003A2777">
            <w:pPr>
              <w:pStyle w:val="Other10"/>
              <w:spacing w:line="240" w:lineRule="auto"/>
              <w:ind w:left="1040"/>
              <w:rPr>
                <w:sz w:val="11"/>
                <w:szCs w:val="11"/>
              </w:rPr>
            </w:pPr>
          </w:p>
        </w:tc>
        <w:tc>
          <w:tcPr>
            <w:tcW w:w="1174" w:type="dxa"/>
          </w:tcPr>
          <w:p w14:paraId="45C1D397" w14:textId="3F8E671E" w:rsidR="003A2777" w:rsidRDefault="003A2777">
            <w:pPr>
              <w:pStyle w:val="Other10"/>
              <w:spacing w:line="240" w:lineRule="auto"/>
              <w:ind w:firstLine="200"/>
              <w:rPr>
                <w:sz w:val="11"/>
                <w:szCs w:val="11"/>
              </w:rPr>
            </w:pPr>
          </w:p>
        </w:tc>
        <w:tc>
          <w:tcPr>
            <w:tcW w:w="439" w:type="dxa"/>
          </w:tcPr>
          <w:p w14:paraId="37DF15EE" w14:textId="77777777" w:rsidR="003A2777" w:rsidRDefault="003A2777">
            <w:pPr>
              <w:rPr>
                <w:sz w:val="10"/>
                <w:szCs w:val="10"/>
              </w:rPr>
            </w:pPr>
          </w:p>
        </w:tc>
      </w:tr>
      <w:tr w:rsidR="003A2777" w14:paraId="38048445" w14:textId="77777777">
        <w:tblPrEx>
          <w:tblCellMar>
            <w:top w:w="0" w:type="dxa"/>
            <w:bottom w:w="0" w:type="dxa"/>
          </w:tblCellMar>
        </w:tblPrEx>
        <w:trPr>
          <w:trHeight w:hRule="exact" w:val="187"/>
          <w:jc w:val="center"/>
        </w:trPr>
        <w:tc>
          <w:tcPr>
            <w:tcW w:w="4673" w:type="dxa"/>
          </w:tcPr>
          <w:p w14:paraId="6C857ACC" w14:textId="1478A644" w:rsidR="003A2777" w:rsidRDefault="003A2777">
            <w:pPr>
              <w:pStyle w:val="Other10"/>
              <w:spacing w:line="240" w:lineRule="auto"/>
              <w:rPr>
                <w:sz w:val="11"/>
                <w:szCs w:val="11"/>
              </w:rPr>
            </w:pPr>
          </w:p>
        </w:tc>
        <w:tc>
          <w:tcPr>
            <w:tcW w:w="2340" w:type="dxa"/>
          </w:tcPr>
          <w:p w14:paraId="57C4C43E" w14:textId="6162558B" w:rsidR="003A2777" w:rsidRDefault="003A2777">
            <w:pPr>
              <w:pStyle w:val="Other10"/>
              <w:spacing w:line="240" w:lineRule="auto"/>
              <w:ind w:left="1040"/>
              <w:rPr>
                <w:sz w:val="11"/>
                <w:szCs w:val="11"/>
              </w:rPr>
            </w:pPr>
          </w:p>
        </w:tc>
        <w:tc>
          <w:tcPr>
            <w:tcW w:w="1174" w:type="dxa"/>
          </w:tcPr>
          <w:p w14:paraId="32A95A29" w14:textId="31CB5AAC" w:rsidR="003A2777" w:rsidRDefault="003A2777">
            <w:pPr>
              <w:pStyle w:val="Other10"/>
              <w:spacing w:line="240" w:lineRule="auto"/>
              <w:ind w:firstLine="200"/>
              <w:rPr>
                <w:sz w:val="11"/>
                <w:szCs w:val="11"/>
              </w:rPr>
            </w:pPr>
          </w:p>
        </w:tc>
        <w:tc>
          <w:tcPr>
            <w:tcW w:w="439" w:type="dxa"/>
          </w:tcPr>
          <w:p w14:paraId="25F4B65B" w14:textId="77777777" w:rsidR="003A2777" w:rsidRDefault="003A2777">
            <w:pPr>
              <w:rPr>
                <w:sz w:val="10"/>
                <w:szCs w:val="10"/>
              </w:rPr>
            </w:pPr>
          </w:p>
        </w:tc>
      </w:tr>
      <w:tr w:rsidR="003A2777" w14:paraId="61115630" w14:textId="77777777">
        <w:tblPrEx>
          <w:tblCellMar>
            <w:top w:w="0" w:type="dxa"/>
            <w:bottom w:w="0" w:type="dxa"/>
          </w:tblCellMar>
        </w:tblPrEx>
        <w:trPr>
          <w:trHeight w:hRule="exact" w:val="180"/>
          <w:jc w:val="center"/>
        </w:trPr>
        <w:tc>
          <w:tcPr>
            <w:tcW w:w="4673" w:type="dxa"/>
          </w:tcPr>
          <w:p w14:paraId="20532249" w14:textId="099D1668" w:rsidR="003A2777" w:rsidRDefault="003A2777">
            <w:pPr>
              <w:pStyle w:val="Other10"/>
              <w:spacing w:line="240" w:lineRule="auto"/>
              <w:rPr>
                <w:sz w:val="11"/>
                <w:szCs w:val="11"/>
              </w:rPr>
            </w:pPr>
          </w:p>
        </w:tc>
        <w:tc>
          <w:tcPr>
            <w:tcW w:w="2340" w:type="dxa"/>
          </w:tcPr>
          <w:p w14:paraId="30570E7B" w14:textId="59A427F0" w:rsidR="003A2777" w:rsidRDefault="003A2777">
            <w:pPr>
              <w:pStyle w:val="Other10"/>
              <w:spacing w:line="240" w:lineRule="auto"/>
              <w:ind w:left="1040"/>
              <w:rPr>
                <w:sz w:val="11"/>
                <w:szCs w:val="11"/>
              </w:rPr>
            </w:pPr>
          </w:p>
        </w:tc>
        <w:tc>
          <w:tcPr>
            <w:tcW w:w="1174" w:type="dxa"/>
          </w:tcPr>
          <w:p w14:paraId="16D354DC" w14:textId="738F4056" w:rsidR="003A2777" w:rsidRDefault="003A2777">
            <w:pPr>
              <w:pStyle w:val="Other10"/>
              <w:spacing w:line="240" w:lineRule="auto"/>
              <w:ind w:firstLine="200"/>
              <w:rPr>
                <w:sz w:val="11"/>
                <w:szCs w:val="11"/>
              </w:rPr>
            </w:pPr>
          </w:p>
        </w:tc>
        <w:tc>
          <w:tcPr>
            <w:tcW w:w="439" w:type="dxa"/>
          </w:tcPr>
          <w:p w14:paraId="446B3D09" w14:textId="77777777" w:rsidR="003A2777" w:rsidRDefault="003A2777">
            <w:pPr>
              <w:rPr>
                <w:sz w:val="10"/>
                <w:szCs w:val="10"/>
              </w:rPr>
            </w:pPr>
          </w:p>
        </w:tc>
      </w:tr>
      <w:tr w:rsidR="003A2777" w14:paraId="3618F91A" w14:textId="77777777">
        <w:tblPrEx>
          <w:tblCellMar>
            <w:top w:w="0" w:type="dxa"/>
            <w:bottom w:w="0" w:type="dxa"/>
          </w:tblCellMar>
        </w:tblPrEx>
        <w:trPr>
          <w:trHeight w:hRule="exact" w:val="187"/>
          <w:jc w:val="center"/>
        </w:trPr>
        <w:tc>
          <w:tcPr>
            <w:tcW w:w="4673" w:type="dxa"/>
          </w:tcPr>
          <w:p w14:paraId="71245A0F" w14:textId="41D6E71C" w:rsidR="003A2777" w:rsidRDefault="003A2777">
            <w:pPr>
              <w:pStyle w:val="Other10"/>
              <w:spacing w:line="240" w:lineRule="auto"/>
              <w:rPr>
                <w:sz w:val="11"/>
                <w:szCs w:val="11"/>
              </w:rPr>
            </w:pPr>
          </w:p>
        </w:tc>
        <w:tc>
          <w:tcPr>
            <w:tcW w:w="2340" w:type="dxa"/>
          </w:tcPr>
          <w:p w14:paraId="1A9FDD80" w14:textId="153232E3" w:rsidR="003A2777" w:rsidRDefault="003A2777">
            <w:pPr>
              <w:pStyle w:val="Other10"/>
              <w:spacing w:line="240" w:lineRule="auto"/>
              <w:ind w:left="1040"/>
              <w:rPr>
                <w:sz w:val="11"/>
                <w:szCs w:val="11"/>
              </w:rPr>
            </w:pPr>
          </w:p>
        </w:tc>
        <w:tc>
          <w:tcPr>
            <w:tcW w:w="1174" w:type="dxa"/>
          </w:tcPr>
          <w:p w14:paraId="02012848" w14:textId="6A713CB1" w:rsidR="003A2777" w:rsidRDefault="003A2777">
            <w:pPr>
              <w:pStyle w:val="Other10"/>
              <w:spacing w:line="240" w:lineRule="auto"/>
              <w:ind w:firstLine="200"/>
              <w:rPr>
                <w:sz w:val="11"/>
                <w:szCs w:val="11"/>
              </w:rPr>
            </w:pPr>
          </w:p>
        </w:tc>
        <w:tc>
          <w:tcPr>
            <w:tcW w:w="439" w:type="dxa"/>
          </w:tcPr>
          <w:p w14:paraId="01730F27" w14:textId="77777777" w:rsidR="003A2777" w:rsidRDefault="003A2777">
            <w:pPr>
              <w:rPr>
                <w:sz w:val="10"/>
                <w:szCs w:val="10"/>
              </w:rPr>
            </w:pPr>
          </w:p>
        </w:tc>
      </w:tr>
      <w:tr w:rsidR="003A2777" w14:paraId="589BED55" w14:textId="77777777">
        <w:tblPrEx>
          <w:tblCellMar>
            <w:top w:w="0" w:type="dxa"/>
            <w:bottom w:w="0" w:type="dxa"/>
          </w:tblCellMar>
        </w:tblPrEx>
        <w:trPr>
          <w:trHeight w:hRule="exact" w:val="187"/>
          <w:jc w:val="center"/>
        </w:trPr>
        <w:tc>
          <w:tcPr>
            <w:tcW w:w="4673" w:type="dxa"/>
          </w:tcPr>
          <w:p w14:paraId="7719322D" w14:textId="69188B72" w:rsidR="003A2777" w:rsidRDefault="003A2777">
            <w:pPr>
              <w:pStyle w:val="Other10"/>
              <w:spacing w:line="240" w:lineRule="auto"/>
              <w:rPr>
                <w:sz w:val="11"/>
                <w:szCs w:val="11"/>
              </w:rPr>
            </w:pPr>
          </w:p>
        </w:tc>
        <w:tc>
          <w:tcPr>
            <w:tcW w:w="2340" w:type="dxa"/>
          </w:tcPr>
          <w:p w14:paraId="1CA6F058" w14:textId="2D246A8E" w:rsidR="003A2777" w:rsidRDefault="003A2777">
            <w:pPr>
              <w:pStyle w:val="Other10"/>
              <w:spacing w:line="240" w:lineRule="auto"/>
              <w:ind w:left="1040"/>
              <w:rPr>
                <w:sz w:val="11"/>
                <w:szCs w:val="11"/>
              </w:rPr>
            </w:pPr>
          </w:p>
        </w:tc>
        <w:tc>
          <w:tcPr>
            <w:tcW w:w="1174" w:type="dxa"/>
          </w:tcPr>
          <w:p w14:paraId="4B5F2D85" w14:textId="6C6D034C" w:rsidR="003A2777" w:rsidRDefault="003A2777">
            <w:pPr>
              <w:pStyle w:val="Other10"/>
              <w:spacing w:line="240" w:lineRule="auto"/>
              <w:ind w:firstLine="200"/>
              <w:rPr>
                <w:sz w:val="11"/>
                <w:szCs w:val="11"/>
              </w:rPr>
            </w:pPr>
          </w:p>
        </w:tc>
        <w:tc>
          <w:tcPr>
            <w:tcW w:w="439" w:type="dxa"/>
          </w:tcPr>
          <w:p w14:paraId="1D622115" w14:textId="77777777" w:rsidR="003A2777" w:rsidRDefault="003A2777">
            <w:pPr>
              <w:rPr>
                <w:sz w:val="10"/>
                <w:szCs w:val="10"/>
              </w:rPr>
            </w:pPr>
          </w:p>
        </w:tc>
      </w:tr>
      <w:tr w:rsidR="003A2777" w14:paraId="52526EE3" w14:textId="77777777">
        <w:tblPrEx>
          <w:tblCellMar>
            <w:top w:w="0" w:type="dxa"/>
            <w:bottom w:w="0" w:type="dxa"/>
          </w:tblCellMar>
        </w:tblPrEx>
        <w:trPr>
          <w:trHeight w:hRule="exact" w:val="180"/>
          <w:jc w:val="center"/>
        </w:trPr>
        <w:tc>
          <w:tcPr>
            <w:tcW w:w="4673" w:type="dxa"/>
          </w:tcPr>
          <w:p w14:paraId="70ECB363" w14:textId="52C853EB" w:rsidR="003A2777" w:rsidRDefault="003A2777">
            <w:pPr>
              <w:pStyle w:val="Other10"/>
              <w:spacing w:line="240" w:lineRule="auto"/>
              <w:rPr>
                <w:sz w:val="11"/>
                <w:szCs w:val="11"/>
              </w:rPr>
            </w:pPr>
          </w:p>
        </w:tc>
        <w:tc>
          <w:tcPr>
            <w:tcW w:w="2340" w:type="dxa"/>
          </w:tcPr>
          <w:p w14:paraId="43AAD12E" w14:textId="4222F972" w:rsidR="003A2777" w:rsidRDefault="003A2777">
            <w:pPr>
              <w:pStyle w:val="Other10"/>
              <w:spacing w:line="240" w:lineRule="auto"/>
              <w:ind w:left="1040"/>
              <w:jc w:val="both"/>
              <w:rPr>
                <w:sz w:val="11"/>
                <w:szCs w:val="11"/>
              </w:rPr>
            </w:pPr>
          </w:p>
        </w:tc>
        <w:tc>
          <w:tcPr>
            <w:tcW w:w="1174" w:type="dxa"/>
          </w:tcPr>
          <w:p w14:paraId="0B27A110" w14:textId="6DAA87A7" w:rsidR="003A2777" w:rsidRDefault="003A2777">
            <w:pPr>
              <w:pStyle w:val="Other10"/>
              <w:spacing w:line="240" w:lineRule="auto"/>
              <w:ind w:firstLine="200"/>
              <w:rPr>
                <w:sz w:val="11"/>
                <w:szCs w:val="11"/>
              </w:rPr>
            </w:pPr>
          </w:p>
        </w:tc>
        <w:tc>
          <w:tcPr>
            <w:tcW w:w="439" w:type="dxa"/>
          </w:tcPr>
          <w:p w14:paraId="0A5AA401" w14:textId="77777777" w:rsidR="003A2777" w:rsidRDefault="003A2777">
            <w:pPr>
              <w:rPr>
                <w:sz w:val="10"/>
                <w:szCs w:val="10"/>
              </w:rPr>
            </w:pPr>
          </w:p>
        </w:tc>
      </w:tr>
      <w:tr w:rsidR="003A2777" w14:paraId="510F48BD" w14:textId="77777777">
        <w:tblPrEx>
          <w:tblCellMar>
            <w:top w:w="0" w:type="dxa"/>
            <w:bottom w:w="0" w:type="dxa"/>
          </w:tblCellMar>
        </w:tblPrEx>
        <w:trPr>
          <w:trHeight w:hRule="exact" w:val="187"/>
          <w:jc w:val="center"/>
        </w:trPr>
        <w:tc>
          <w:tcPr>
            <w:tcW w:w="4673" w:type="dxa"/>
          </w:tcPr>
          <w:p w14:paraId="3F74E0F8" w14:textId="6100ACAA" w:rsidR="003A2777" w:rsidRDefault="003A2777">
            <w:pPr>
              <w:pStyle w:val="Other10"/>
              <w:spacing w:line="240" w:lineRule="auto"/>
              <w:rPr>
                <w:sz w:val="11"/>
                <w:szCs w:val="11"/>
              </w:rPr>
            </w:pPr>
          </w:p>
        </w:tc>
        <w:tc>
          <w:tcPr>
            <w:tcW w:w="2340" w:type="dxa"/>
          </w:tcPr>
          <w:p w14:paraId="01E75028" w14:textId="70B814BE" w:rsidR="003A2777" w:rsidRDefault="003A2777">
            <w:pPr>
              <w:pStyle w:val="Other10"/>
              <w:spacing w:line="240" w:lineRule="auto"/>
              <w:ind w:left="1040"/>
              <w:jc w:val="both"/>
              <w:rPr>
                <w:sz w:val="11"/>
                <w:szCs w:val="11"/>
              </w:rPr>
            </w:pPr>
          </w:p>
        </w:tc>
        <w:tc>
          <w:tcPr>
            <w:tcW w:w="1174" w:type="dxa"/>
          </w:tcPr>
          <w:p w14:paraId="21FABBA4" w14:textId="6A483F7A" w:rsidR="003A2777" w:rsidRDefault="003A2777">
            <w:pPr>
              <w:pStyle w:val="Other10"/>
              <w:spacing w:line="240" w:lineRule="auto"/>
              <w:ind w:firstLine="200"/>
              <w:rPr>
                <w:sz w:val="11"/>
                <w:szCs w:val="11"/>
              </w:rPr>
            </w:pPr>
          </w:p>
        </w:tc>
        <w:tc>
          <w:tcPr>
            <w:tcW w:w="439" w:type="dxa"/>
          </w:tcPr>
          <w:p w14:paraId="2AFD4365" w14:textId="77777777" w:rsidR="003A2777" w:rsidRDefault="003A2777">
            <w:pPr>
              <w:rPr>
                <w:sz w:val="10"/>
                <w:szCs w:val="10"/>
              </w:rPr>
            </w:pPr>
          </w:p>
        </w:tc>
      </w:tr>
      <w:tr w:rsidR="003A2777" w14:paraId="3ECE8762" w14:textId="77777777">
        <w:tblPrEx>
          <w:tblCellMar>
            <w:top w:w="0" w:type="dxa"/>
            <w:bottom w:w="0" w:type="dxa"/>
          </w:tblCellMar>
        </w:tblPrEx>
        <w:trPr>
          <w:trHeight w:hRule="exact" w:val="180"/>
          <w:jc w:val="center"/>
        </w:trPr>
        <w:tc>
          <w:tcPr>
            <w:tcW w:w="4673" w:type="dxa"/>
          </w:tcPr>
          <w:p w14:paraId="52666CB3" w14:textId="017FD4DB" w:rsidR="003A2777" w:rsidRDefault="003A2777">
            <w:pPr>
              <w:pStyle w:val="Other10"/>
              <w:spacing w:line="240" w:lineRule="auto"/>
              <w:rPr>
                <w:sz w:val="11"/>
                <w:szCs w:val="11"/>
              </w:rPr>
            </w:pPr>
          </w:p>
        </w:tc>
        <w:tc>
          <w:tcPr>
            <w:tcW w:w="2340" w:type="dxa"/>
          </w:tcPr>
          <w:p w14:paraId="3E64FA66" w14:textId="289F4752" w:rsidR="003A2777" w:rsidRDefault="003A2777">
            <w:pPr>
              <w:pStyle w:val="Other10"/>
              <w:spacing w:line="240" w:lineRule="auto"/>
              <w:ind w:left="1040"/>
              <w:jc w:val="both"/>
              <w:rPr>
                <w:sz w:val="11"/>
                <w:szCs w:val="11"/>
              </w:rPr>
            </w:pPr>
          </w:p>
        </w:tc>
        <w:tc>
          <w:tcPr>
            <w:tcW w:w="1174" w:type="dxa"/>
          </w:tcPr>
          <w:p w14:paraId="42E7000F" w14:textId="71ECE878" w:rsidR="003A2777" w:rsidRDefault="003A2777">
            <w:pPr>
              <w:pStyle w:val="Other10"/>
              <w:spacing w:line="240" w:lineRule="auto"/>
              <w:ind w:firstLine="200"/>
              <w:rPr>
                <w:sz w:val="11"/>
                <w:szCs w:val="11"/>
              </w:rPr>
            </w:pPr>
          </w:p>
        </w:tc>
        <w:tc>
          <w:tcPr>
            <w:tcW w:w="439" w:type="dxa"/>
          </w:tcPr>
          <w:p w14:paraId="32FA1398" w14:textId="77777777" w:rsidR="003A2777" w:rsidRDefault="003A2777">
            <w:pPr>
              <w:rPr>
                <w:sz w:val="10"/>
                <w:szCs w:val="10"/>
              </w:rPr>
            </w:pPr>
          </w:p>
        </w:tc>
      </w:tr>
      <w:tr w:rsidR="003A2777" w14:paraId="6C1494BB" w14:textId="77777777">
        <w:tblPrEx>
          <w:tblCellMar>
            <w:top w:w="0" w:type="dxa"/>
            <w:bottom w:w="0" w:type="dxa"/>
          </w:tblCellMar>
        </w:tblPrEx>
        <w:trPr>
          <w:trHeight w:hRule="exact" w:val="187"/>
          <w:jc w:val="center"/>
        </w:trPr>
        <w:tc>
          <w:tcPr>
            <w:tcW w:w="4673" w:type="dxa"/>
          </w:tcPr>
          <w:p w14:paraId="142C9A4A" w14:textId="1C41F27F" w:rsidR="003A2777" w:rsidRDefault="003A2777">
            <w:pPr>
              <w:pStyle w:val="Other10"/>
              <w:spacing w:line="240" w:lineRule="auto"/>
              <w:rPr>
                <w:sz w:val="11"/>
                <w:szCs w:val="11"/>
              </w:rPr>
            </w:pPr>
          </w:p>
        </w:tc>
        <w:tc>
          <w:tcPr>
            <w:tcW w:w="2340" w:type="dxa"/>
          </w:tcPr>
          <w:p w14:paraId="0E27BAA3" w14:textId="76F47BE5" w:rsidR="003A2777" w:rsidRDefault="003A2777">
            <w:pPr>
              <w:pStyle w:val="Other10"/>
              <w:spacing w:line="240" w:lineRule="auto"/>
              <w:ind w:left="1040"/>
              <w:jc w:val="both"/>
              <w:rPr>
                <w:sz w:val="11"/>
                <w:szCs w:val="11"/>
              </w:rPr>
            </w:pPr>
          </w:p>
        </w:tc>
        <w:tc>
          <w:tcPr>
            <w:tcW w:w="1174" w:type="dxa"/>
          </w:tcPr>
          <w:p w14:paraId="252FCA12" w14:textId="201594A7" w:rsidR="003A2777" w:rsidRDefault="003A2777">
            <w:pPr>
              <w:pStyle w:val="Other10"/>
              <w:spacing w:line="240" w:lineRule="auto"/>
              <w:ind w:firstLine="200"/>
              <w:rPr>
                <w:sz w:val="11"/>
                <w:szCs w:val="11"/>
              </w:rPr>
            </w:pPr>
          </w:p>
        </w:tc>
        <w:tc>
          <w:tcPr>
            <w:tcW w:w="439" w:type="dxa"/>
          </w:tcPr>
          <w:p w14:paraId="3567D9A0" w14:textId="77777777" w:rsidR="003A2777" w:rsidRDefault="003A2777">
            <w:pPr>
              <w:rPr>
                <w:sz w:val="10"/>
                <w:szCs w:val="10"/>
              </w:rPr>
            </w:pPr>
          </w:p>
        </w:tc>
      </w:tr>
      <w:tr w:rsidR="003A2777" w14:paraId="39DF9EFA" w14:textId="77777777">
        <w:tblPrEx>
          <w:tblCellMar>
            <w:top w:w="0" w:type="dxa"/>
            <w:bottom w:w="0" w:type="dxa"/>
          </w:tblCellMar>
        </w:tblPrEx>
        <w:trPr>
          <w:trHeight w:hRule="exact" w:val="194"/>
          <w:jc w:val="center"/>
        </w:trPr>
        <w:tc>
          <w:tcPr>
            <w:tcW w:w="4673" w:type="dxa"/>
          </w:tcPr>
          <w:p w14:paraId="6C9AC051" w14:textId="165C3CE8" w:rsidR="003A2777" w:rsidRDefault="003A2777">
            <w:pPr>
              <w:pStyle w:val="Other10"/>
              <w:spacing w:line="240" w:lineRule="auto"/>
              <w:rPr>
                <w:sz w:val="11"/>
                <w:szCs w:val="11"/>
              </w:rPr>
            </w:pPr>
          </w:p>
        </w:tc>
        <w:tc>
          <w:tcPr>
            <w:tcW w:w="2340" w:type="dxa"/>
          </w:tcPr>
          <w:p w14:paraId="07D0E355" w14:textId="1C482265" w:rsidR="003A2777" w:rsidRDefault="003A2777">
            <w:pPr>
              <w:pStyle w:val="Other10"/>
              <w:spacing w:line="240" w:lineRule="auto"/>
              <w:ind w:left="1040"/>
              <w:rPr>
                <w:sz w:val="11"/>
                <w:szCs w:val="11"/>
              </w:rPr>
            </w:pPr>
          </w:p>
        </w:tc>
        <w:tc>
          <w:tcPr>
            <w:tcW w:w="1174" w:type="dxa"/>
          </w:tcPr>
          <w:p w14:paraId="73ADE9C0" w14:textId="2900BC64" w:rsidR="003A2777" w:rsidRDefault="003A2777">
            <w:pPr>
              <w:pStyle w:val="Other10"/>
              <w:spacing w:line="240" w:lineRule="auto"/>
              <w:ind w:firstLine="200"/>
              <w:rPr>
                <w:sz w:val="11"/>
                <w:szCs w:val="11"/>
              </w:rPr>
            </w:pPr>
          </w:p>
        </w:tc>
        <w:tc>
          <w:tcPr>
            <w:tcW w:w="439" w:type="dxa"/>
          </w:tcPr>
          <w:p w14:paraId="71ED5B97" w14:textId="77777777" w:rsidR="003A2777" w:rsidRDefault="003A2777">
            <w:pPr>
              <w:rPr>
                <w:sz w:val="10"/>
                <w:szCs w:val="10"/>
              </w:rPr>
            </w:pPr>
          </w:p>
        </w:tc>
      </w:tr>
      <w:tr w:rsidR="003A2777" w14:paraId="3B7C3798" w14:textId="77777777">
        <w:tblPrEx>
          <w:tblCellMar>
            <w:top w:w="0" w:type="dxa"/>
            <w:bottom w:w="0" w:type="dxa"/>
          </w:tblCellMar>
        </w:tblPrEx>
        <w:trPr>
          <w:trHeight w:hRule="exact" w:val="180"/>
          <w:jc w:val="center"/>
        </w:trPr>
        <w:tc>
          <w:tcPr>
            <w:tcW w:w="4673" w:type="dxa"/>
          </w:tcPr>
          <w:p w14:paraId="52E29EAE" w14:textId="33BA06FC" w:rsidR="003A2777" w:rsidRDefault="003A2777">
            <w:pPr>
              <w:pStyle w:val="Other10"/>
              <w:spacing w:line="240" w:lineRule="auto"/>
              <w:rPr>
                <w:sz w:val="11"/>
                <w:szCs w:val="11"/>
              </w:rPr>
            </w:pPr>
          </w:p>
        </w:tc>
        <w:tc>
          <w:tcPr>
            <w:tcW w:w="2340" w:type="dxa"/>
          </w:tcPr>
          <w:p w14:paraId="5AEE6C73" w14:textId="759D6F0C" w:rsidR="003A2777" w:rsidRDefault="003A2777">
            <w:pPr>
              <w:pStyle w:val="Other10"/>
              <w:spacing w:line="240" w:lineRule="auto"/>
              <w:ind w:left="1040"/>
              <w:jc w:val="both"/>
              <w:rPr>
                <w:sz w:val="11"/>
                <w:szCs w:val="11"/>
              </w:rPr>
            </w:pPr>
          </w:p>
        </w:tc>
        <w:tc>
          <w:tcPr>
            <w:tcW w:w="1174" w:type="dxa"/>
          </w:tcPr>
          <w:p w14:paraId="07C35F8F" w14:textId="6B995D4E" w:rsidR="003A2777" w:rsidRDefault="003A2777">
            <w:pPr>
              <w:pStyle w:val="Other10"/>
              <w:spacing w:line="240" w:lineRule="auto"/>
              <w:ind w:firstLine="200"/>
              <w:rPr>
                <w:sz w:val="11"/>
                <w:szCs w:val="11"/>
              </w:rPr>
            </w:pPr>
          </w:p>
        </w:tc>
        <w:tc>
          <w:tcPr>
            <w:tcW w:w="439" w:type="dxa"/>
          </w:tcPr>
          <w:p w14:paraId="6D359403" w14:textId="77777777" w:rsidR="003A2777" w:rsidRDefault="003A2777">
            <w:pPr>
              <w:rPr>
                <w:sz w:val="10"/>
                <w:szCs w:val="10"/>
              </w:rPr>
            </w:pPr>
          </w:p>
        </w:tc>
      </w:tr>
      <w:tr w:rsidR="003A2777" w14:paraId="702A1C6E" w14:textId="77777777">
        <w:tblPrEx>
          <w:tblCellMar>
            <w:top w:w="0" w:type="dxa"/>
            <w:bottom w:w="0" w:type="dxa"/>
          </w:tblCellMar>
        </w:tblPrEx>
        <w:trPr>
          <w:trHeight w:hRule="exact" w:val="187"/>
          <w:jc w:val="center"/>
        </w:trPr>
        <w:tc>
          <w:tcPr>
            <w:tcW w:w="4673" w:type="dxa"/>
          </w:tcPr>
          <w:p w14:paraId="276D897A" w14:textId="39A800CD" w:rsidR="003A2777" w:rsidRDefault="003A2777">
            <w:pPr>
              <w:pStyle w:val="Other10"/>
              <w:spacing w:line="240" w:lineRule="auto"/>
              <w:rPr>
                <w:sz w:val="11"/>
                <w:szCs w:val="11"/>
              </w:rPr>
            </w:pPr>
          </w:p>
        </w:tc>
        <w:tc>
          <w:tcPr>
            <w:tcW w:w="2340" w:type="dxa"/>
          </w:tcPr>
          <w:p w14:paraId="303FDD32" w14:textId="6E7FD8AB" w:rsidR="003A2777" w:rsidRDefault="003A2777">
            <w:pPr>
              <w:pStyle w:val="Other10"/>
              <w:spacing w:line="240" w:lineRule="auto"/>
              <w:ind w:left="1040"/>
              <w:jc w:val="both"/>
              <w:rPr>
                <w:sz w:val="11"/>
                <w:szCs w:val="11"/>
              </w:rPr>
            </w:pPr>
          </w:p>
        </w:tc>
        <w:tc>
          <w:tcPr>
            <w:tcW w:w="1174" w:type="dxa"/>
          </w:tcPr>
          <w:p w14:paraId="1D1592C5" w14:textId="02AAD37B" w:rsidR="003A2777" w:rsidRDefault="003A2777">
            <w:pPr>
              <w:pStyle w:val="Other10"/>
              <w:spacing w:line="240" w:lineRule="auto"/>
              <w:ind w:firstLine="200"/>
              <w:rPr>
                <w:sz w:val="11"/>
                <w:szCs w:val="11"/>
              </w:rPr>
            </w:pPr>
          </w:p>
        </w:tc>
        <w:tc>
          <w:tcPr>
            <w:tcW w:w="439" w:type="dxa"/>
          </w:tcPr>
          <w:p w14:paraId="5FAC4D9B" w14:textId="77777777" w:rsidR="003A2777" w:rsidRDefault="003A2777">
            <w:pPr>
              <w:rPr>
                <w:sz w:val="10"/>
                <w:szCs w:val="10"/>
              </w:rPr>
            </w:pPr>
          </w:p>
        </w:tc>
      </w:tr>
      <w:tr w:rsidR="003A2777" w14:paraId="63DBFA80" w14:textId="77777777">
        <w:tblPrEx>
          <w:tblCellMar>
            <w:top w:w="0" w:type="dxa"/>
            <w:bottom w:w="0" w:type="dxa"/>
          </w:tblCellMar>
        </w:tblPrEx>
        <w:trPr>
          <w:trHeight w:hRule="exact" w:val="187"/>
          <w:jc w:val="center"/>
        </w:trPr>
        <w:tc>
          <w:tcPr>
            <w:tcW w:w="4673" w:type="dxa"/>
          </w:tcPr>
          <w:p w14:paraId="1A91A219" w14:textId="6CB62A22" w:rsidR="003A2777" w:rsidRDefault="003A2777">
            <w:pPr>
              <w:pStyle w:val="Other10"/>
              <w:spacing w:line="240" w:lineRule="auto"/>
              <w:rPr>
                <w:sz w:val="11"/>
                <w:szCs w:val="11"/>
              </w:rPr>
            </w:pPr>
          </w:p>
        </w:tc>
        <w:tc>
          <w:tcPr>
            <w:tcW w:w="2340" w:type="dxa"/>
          </w:tcPr>
          <w:p w14:paraId="60044F8E" w14:textId="3AC683AC" w:rsidR="003A2777" w:rsidRDefault="003A2777">
            <w:pPr>
              <w:pStyle w:val="Other10"/>
              <w:spacing w:line="240" w:lineRule="auto"/>
              <w:ind w:left="1040"/>
              <w:jc w:val="both"/>
              <w:rPr>
                <w:sz w:val="11"/>
                <w:szCs w:val="11"/>
              </w:rPr>
            </w:pPr>
          </w:p>
        </w:tc>
        <w:tc>
          <w:tcPr>
            <w:tcW w:w="1174" w:type="dxa"/>
          </w:tcPr>
          <w:p w14:paraId="206CD673" w14:textId="7D33796F" w:rsidR="003A2777" w:rsidRDefault="003A2777">
            <w:pPr>
              <w:pStyle w:val="Other10"/>
              <w:spacing w:line="240" w:lineRule="auto"/>
              <w:ind w:firstLine="240"/>
              <w:jc w:val="both"/>
              <w:rPr>
                <w:sz w:val="11"/>
                <w:szCs w:val="11"/>
              </w:rPr>
            </w:pPr>
          </w:p>
        </w:tc>
        <w:tc>
          <w:tcPr>
            <w:tcW w:w="439" w:type="dxa"/>
          </w:tcPr>
          <w:p w14:paraId="0A6BC7C8" w14:textId="77777777" w:rsidR="003A2777" w:rsidRDefault="003A2777">
            <w:pPr>
              <w:rPr>
                <w:sz w:val="10"/>
                <w:szCs w:val="10"/>
              </w:rPr>
            </w:pPr>
          </w:p>
        </w:tc>
      </w:tr>
      <w:tr w:rsidR="003A2777" w14:paraId="2E927A46" w14:textId="77777777">
        <w:tblPrEx>
          <w:tblCellMar>
            <w:top w:w="0" w:type="dxa"/>
            <w:bottom w:w="0" w:type="dxa"/>
          </w:tblCellMar>
        </w:tblPrEx>
        <w:trPr>
          <w:trHeight w:hRule="exact" w:val="180"/>
          <w:jc w:val="center"/>
        </w:trPr>
        <w:tc>
          <w:tcPr>
            <w:tcW w:w="4673" w:type="dxa"/>
          </w:tcPr>
          <w:p w14:paraId="0925FF35" w14:textId="09ECC448" w:rsidR="003A2777" w:rsidRDefault="003A2777">
            <w:pPr>
              <w:pStyle w:val="Other10"/>
              <w:spacing w:line="240" w:lineRule="auto"/>
              <w:rPr>
                <w:sz w:val="11"/>
                <w:szCs w:val="11"/>
              </w:rPr>
            </w:pPr>
          </w:p>
        </w:tc>
        <w:tc>
          <w:tcPr>
            <w:tcW w:w="2340" w:type="dxa"/>
          </w:tcPr>
          <w:p w14:paraId="11BC4DA7" w14:textId="4D42776F" w:rsidR="003A2777" w:rsidRDefault="003A2777">
            <w:pPr>
              <w:pStyle w:val="Other10"/>
              <w:spacing w:line="240" w:lineRule="auto"/>
              <w:ind w:left="1040"/>
              <w:jc w:val="both"/>
              <w:rPr>
                <w:sz w:val="11"/>
                <w:szCs w:val="11"/>
              </w:rPr>
            </w:pPr>
          </w:p>
        </w:tc>
        <w:tc>
          <w:tcPr>
            <w:tcW w:w="1174" w:type="dxa"/>
          </w:tcPr>
          <w:p w14:paraId="7FFBB863" w14:textId="237B5396" w:rsidR="003A2777" w:rsidRDefault="003A2777">
            <w:pPr>
              <w:pStyle w:val="Other10"/>
              <w:spacing w:line="240" w:lineRule="auto"/>
              <w:ind w:firstLine="240"/>
              <w:rPr>
                <w:sz w:val="11"/>
                <w:szCs w:val="11"/>
              </w:rPr>
            </w:pPr>
          </w:p>
        </w:tc>
        <w:tc>
          <w:tcPr>
            <w:tcW w:w="439" w:type="dxa"/>
          </w:tcPr>
          <w:p w14:paraId="76DD9B0F" w14:textId="77777777" w:rsidR="003A2777" w:rsidRDefault="003A2777">
            <w:pPr>
              <w:rPr>
                <w:sz w:val="10"/>
                <w:szCs w:val="10"/>
              </w:rPr>
            </w:pPr>
          </w:p>
        </w:tc>
      </w:tr>
      <w:tr w:rsidR="003A2777" w14:paraId="12486A6E" w14:textId="77777777">
        <w:tblPrEx>
          <w:tblCellMar>
            <w:top w:w="0" w:type="dxa"/>
            <w:bottom w:w="0" w:type="dxa"/>
          </w:tblCellMar>
        </w:tblPrEx>
        <w:trPr>
          <w:trHeight w:hRule="exact" w:val="187"/>
          <w:jc w:val="center"/>
        </w:trPr>
        <w:tc>
          <w:tcPr>
            <w:tcW w:w="4673" w:type="dxa"/>
          </w:tcPr>
          <w:p w14:paraId="44699197" w14:textId="27AE72E8" w:rsidR="003A2777" w:rsidRDefault="003A2777">
            <w:pPr>
              <w:pStyle w:val="Other10"/>
              <w:spacing w:line="240" w:lineRule="auto"/>
              <w:rPr>
                <w:sz w:val="11"/>
                <w:szCs w:val="11"/>
              </w:rPr>
            </w:pPr>
          </w:p>
        </w:tc>
        <w:tc>
          <w:tcPr>
            <w:tcW w:w="2340" w:type="dxa"/>
          </w:tcPr>
          <w:p w14:paraId="2103369C" w14:textId="4062C1B7" w:rsidR="003A2777" w:rsidRDefault="003A2777">
            <w:pPr>
              <w:pStyle w:val="Other10"/>
              <w:spacing w:line="240" w:lineRule="auto"/>
              <w:ind w:left="1040"/>
              <w:jc w:val="both"/>
              <w:rPr>
                <w:sz w:val="11"/>
                <w:szCs w:val="11"/>
              </w:rPr>
            </w:pPr>
          </w:p>
        </w:tc>
        <w:tc>
          <w:tcPr>
            <w:tcW w:w="1174" w:type="dxa"/>
          </w:tcPr>
          <w:p w14:paraId="1352AF9A" w14:textId="5B32A14C" w:rsidR="003A2777" w:rsidRDefault="003A2777">
            <w:pPr>
              <w:pStyle w:val="Other10"/>
              <w:spacing w:line="240" w:lineRule="auto"/>
              <w:ind w:firstLine="240"/>
              <w:jc w:val="both"/>
              <w:rPr>
                <w:sz w:val="11"/>
                <w:szCs w:val="11"/>
              </w:rPr>
            </w:pPr>
          </w:p>
        </w:tc>
        <w:tc>
          <w:tcPr>
            <w:tcW w:w="439" w:type="dxa"/>
          </w:tcPr>
          <w:p w14:paraId="662771DF" w14:textId="77777777" w:rsidR="003A2777" w:rsidRDefault="003A2777">
            <w:pPr>
              <w:rPr>
                <w:sz w:val="10"/>
                <w:szCs w:val="10"/>
              </w:rPr>
            </w:pPr>
          </w:p>
        </w:tc>
      </w:tr>
      <w:tr w:rsidR="003A2777" w14:paraId="13E3F708" w14:textId="77777777">
        <w:tblPrEx>
          <w:tblCellMar>
            <w:top w:w="0" w:type="dxa"/>
            <w:bottom w:w="0" w:type="dxa"/>
          </w:tblCellMar>
        </w:tblPrEx>
        <w:trPr>
          <w:trHeight w:hRule="exact" w:val="187"/>
          <w:jc w:val="center"/>
        </w:trPr>
        <w:tc>
          <w:tcPr>
            <w:tcW w:w="4673" w:type="dxa"/>
          </w:tcPr>
          <w:p w14:paraId="7F27BF72" w14:textId="3CC46661" w:rsidR="003A2777" w:rsidRDefault="003A2777">
            <w:pPr>
              <w:pStyle w:val="Other10"/>
              <w:spacing w:line="240" w:lineRule="auto"/>
              <w:rPr>
                <w:sz w:val="11"/>
                <w:szCs w:val="11"/>
              </w:rPr>
            </w:pPr>
          </w:p>
        </w:tc>
        <w:tc>
          <w:tcPr>
            <w:tcW w:w="2340" w:type="dxa"/>
          </w:tcPr>
          <w:p w14:paraId="32E86F2D" w14:textId="0A781B85" w:rsidR="003A2777" w:rsidRDefault="003A2777">
            <w:pPr>
              <w:pStyle w:val="Other10"/>
              <w:spacing w:line="240" w:lineRule="auto"/>
              <w:ind w:left="1040"/>
              <w:jc w:val="both"/>
              <w:rPr>
                <w:sz w:val="11"/>
                <w:szCs w:val="11"/>
              </w:rPr>
            </w:pPr>
          </w:p>
        </w:tc>
        <w:tc>
          <w:tcPr>
            <w:tcW w:w="1174" w:type="dxa"/>
          </w:tcPr>
          <w:p w14:paraId="19FDE771" w14:textId="6A7AF78F" w:rsidR="003A2777" w:rsidRDefault="003A2777">
            <w:pPr>
              <w:pStyle w:val="Other10"/>
              <w:spacing w:line="240" w:lineRule="auto"/>
              <w:ind w:firstLine="240"/>
              <w:jc w:val="both"/>
              <w:rPr>
                <w:sz w:val="11"/>
                <w:szCs w:val="11"/>
              </w:rPr>
            </w:pPr>
          </w:p>
        </w:tc>
        <w:tc>
          <w:tcPr>
            <w:tcW w:w="439" w:type="dxa"/>
          </w:tcPr>
          <w:p w14:paraId="3CA4A893" w14:textId="77777777" w:rsidR="003A2777" w:rsidRDefault="003A2777">
            <w:pPr>
              <w:rPr>
                <w:sz w:val="10"/>
                <w:szCs w:val="10"/>
              </w:rPr>
            </w:pPr>
          </w:p>
        </w:tc>
      </w:tr>
      <w:tr w:rsidR="003A2777" w14:paraId="7648822F" w14:textId="77777777">
        <w:tblPrEx>
          <w:tblCellMar>
            <w:top w:w="0" w:type="dxa"/>
            <w:bottom w:w="0" w:type="dxa"/>
          </w:tblCellMar>
        </w:tblPrEx>
        <w:trPr>
          <w:trHeight w:hRule="exact" w:val="187"/>
          <w:jc w:val="center"/>
        </w:trPr>
        <w:tc>
          <w:tcPr>
            <w:tcW w:w="4673" w:type="dxa"/>
          </w:tcPr>
          <w:p w14:paraId="2B88A967" w14:textId="2F037B62" w:rsidR="003A2777" w:rsidRDefault="003A2777">
            <w:pPr>
              <w:pStyle w:val="Other10"/>
              <w:spacing w:line="240" w:lineRule="auto"/>
              <w:rPr>
                <w:sz w:val="11"/>
                <w:szCs w:val="11"/>
              </w:rPr>
            </w:pPr>
          </w:p>
        </w:tc>
        <w:tc>
          <w:tcPr>
            <w:tcW w:w="2340" w:type="dxa"/>
          </w:tcPr>
          <w:p w14:paraId="34D79070" w14:textId="51907C75" w:rsidR="003A2777" w:rsidRDefault="003A2777">
            <w:pPr>
              <w:pStyle w:val="Other10"/>
              <w:spacing w:line="240" w:lineRule="auto"/>
              <w:ind w:left="1040"/>
              <w:jc w:val="both"/>
              <w:rPr>
                <w:sz w:val="11"/>
                <w:szCs w:val="11"/>
              </w:rPr>
            </w:pPr>
          </w:p>
        </w:tc>
        <w:tc>
          <w:tcPr>
            <w:tcW w:w="1174" w:type="dxa"/>
          </w:tcPr>
          <w:p w14:paraId="4CCCDF1F" w14:textId="55985F65" w:rsidR="003A2777" w:rsidRDefault="003A2777">
            <w:pPr>
              <w:pStyle w:val="Other10"/>
              <w:spacing w:line="240" w:lineRule="auto"/>
              <w:ind w:firstLine="240"/>
              <w:jc w:val="both"/>
              <w:rPr>
                <w:sz w:val="11"/>
                <w:szCs w:val="11"/>
              </w:rPr>
            </w:pPr>
          </w:p>
        </w:tc>
        <w:tc>
          <w:tcPr>
            <w:tcW w:w="439" w:type="dxa"/>
          </w:tcPr>
          <w:p w14:paraId="6A987835" w14:textId="77777777" w:rsidR="003A2777" w:rsidRDefault="003A2777">
            <w:pPr>
              <w:rPr>
                <w:sz w:val="10"/>
                <w:szCs w:val="10"/>
              </w:rPr>
            </w:pPr>
          </w:p>
        </w:tc>
      </w:tr>
      <w:tr w:rsidR="003A2777" w14:paraId="5A881899" w14:textId="77777777">
        <w:tblPrEx>
          <w:tblCellMar>
            <w:top w:w="0" w:type="dxa"/>
            <w:bottom w:w="0" w:type="dxa"/>
          </w:tblCellMar>
        </w:tblPrEx>
        <w:trPr>
          <w:trHeight w:hRule="exact" w:val="180"/>
          <w:jc w:val="center"/>
        </w:trPr>
        <w:tc>
          <w:tcPr>
            <w:tcW w:w="4673" w:type="dxa"/>
          </w:tcPr>
          <w:p w14:paraId="56B74BB8" w14:textId="3FD9A69A" w:rsidR="003A2777" w:rsidRDefault="003A2777">
            <w:pPr>
              <w:pStyle w:val="Other10"/>
              <w:spacing w:line="240" w:lineRule="auto"/>
              <w:rPr>
                <w:sz w:val="11"/>
                <w:szCs w:val="11"/>
              </w:rPr>
            </w:pPr>
          </w:p>
        </w:tc>
        <w:tc>
          <w:tcPr>
            <w:tcW w:w="2340" w:type="dxa"/>
          </w:tcPr>
          <w:p w14:paraId="50E0BB6B" w14:textId="478120F1" w:rsidR="003A2777" w:rsidRDefault="003A2777">
            <w:pPr>
              <w:pStyle w:val="Other10"/>
              <w:spacing w:line="240" w:lineRule="auto"/>
              <w:ind w:left="1040"/>
              <w:jc w:val="both"/>
              <w:rPr>
                <w:sz w:val="11"/>
                <w:szCs w:val="11"/>
              </w:rPr>
            </w:pPr>
          </w:p>
        </w:tc>
        <w:tc>
          <w:tcPr>
            <w:tcW w:w="1174" w:type="dxa"/>
          </w:tcPr>
          <w:p w14:paraId="5882CF16" w14:textId="33A12124" w:rsidR="003A2777" w:rsidRDefault="003A2777">
            <w:pPr>
              <w:pStyle w:val="Other10"/>
              <w:spacing w:line="240" w:lineRule="auto"/>
              <w:ind w:firstLine="240"/>
              <w:jc w:val="both"/>
              <w:rPr>
                <w:sz w:val="11"/>
                <w:szCs w:val="11"/>
              </w:rPr>
            </w:pPr>
          </w:p>
        </w:tc>
        <w:tc>
          <w:tcPr>
            <w:tcW w:w="439" w:type="dxa"/>
          </w:tcPr>
          <w:p w14:paraId="2D4F6951" w14:textId="77777777" w:rsidR="003A2777" w:rsidRDefault="003A2777">
            <w:pPr>
              <w:rPr>
                <w:sz w:val="10"/>
                <w:szCs w:val="10"/>
              </w:rPr>
            </w:pPr>
          </w:p>
        </w:tc>
      </w:tr>
      <w:tr w:rsidR="003A2777" w14:paraId="393DE707" w14:textId="77777777">
        <w:tblPrEx>
          <w:tblCellMar>
            <w:top w:w="0" w:type="dxa"/>
            <w:bottom w:w="0" w:type="dxa"/>
          </w:tblCellMar>
        </w:tblPrEx>
        <w:trPr>
          <w:trHeight w:hRule="exact" w:val="187"/>
          <w:jc w:val="center"/>
        </w:trPr>
        <w:tc>
          <w:tcPr>
            <w:tcW w:w="4673" w:type="dxa"/>
          </w:tcPr>
          <w:p w14:paraId="32248D0F" w14:textId="28A2E9B7" w:rsidR="003A2777" w:rsidRDefault="003A2777">
            <w:pPr>
              <w:pStyle w:val="Other10"/>
              <w:spacing w:line="240" w:lineRule="auto"/>
              <w:rPr>
                <w:sz w:val="11"/>
                <w:szCs w:val="11"/>
              </w:rPr>
            </w:pPr>
          </w:p>
        </w:tc>
        <w:tc>
          <w:tcPr>
            <w:tcW w:w="2340" w:type="dxa"/>
          </w:tcPr>
          <w:p w14:paraId="3F444C5F" w14:textId="75E33631" w:rsidR="003A2777" w:rsidRDefault="003A2777">
            <w:pPr>
              <w:pStyle w:val="Other10"/>
              <w:spacing w:line="240" w:lineRule="auto"/>
              <w:ind w:left="1040"/>
              <w:jc w:val="both"/>
              <w:rPr>
                <w:sz w:val="11"/>
                <w:szCs w:val="11"/>
              </w:rPr>
            </w:pPr>
          </w:p>
        </w:tc>
        <w:tc>
          <w:tcPr>
            <w:tcW w:w="1174" w:type="dxa"/>
          </w:tcPr>
          <w:p w14:paraId="3A329CC6" w14:textId="1BD92EC0" w:rsidR="003A2777" w:rsidRDefault="003A2777">
            <w:pPr>
              <w:pStyle w:val="Other10"/>
              <w:spacing w:line="240" w:lineRule="auto"/>
              <w:ind w:firstLine="240"/>
              <w:jc w:val="both"/>
              <w:rPr>
                <w:sz w:val="11"/>
                <w:szCs w:val="11"/>
              </w:rPr>
            </w:pPr>
          </w:p>
        </w:tc>
        <w:tc>
          <w:tcPr>
            <w:tcW w:w="439" w:type="dxa"/>
          </w:tcPr>
          <w:p w14:paraId="42B51D9D" w14:textId="77777777" w:rsidR="003A2777" w:rsidRDefault="003A2777">
            <w:pPr>
              <w:rPr>
                <w:sz w:val="10"/>
                <w:szCs w:val="10"/>
              </w:rPr>
            </w:pPr>
          </w:p>
        </w:tc>
      </w:tr>
      <w:tr w:rsidR="003A2777" w14:paraId="6A85CAAD" w14:textId="77777777">
        <w:tblPrEx>
          <w:tblCellMar>
            <w:top w:w="0" w:type="dxa"/>
            <w:bottom w:w="0" w:type="dxa"/>
          </w:tblCellMar>
        </w:tblPrEx>
        <w:trPr>
          <w:trHeight w:hRule="exact" w:val="187"/>
          <w:jc w:val="center"/>
        </w:trPr>
        <w:tc>
          <w:tcPr>
            <w:tcW w:w="4673" w:type="dxa"/>
          </w:tcPr>
          <w:p w14:paraId="16D4CCF7" w14:textId="11C2DA43" w:rsidR="003A2777" w:rsidRDefault="003A2777">
            <w:pPr>
              <w:pStyle w:val="Other10"/>
              <w:spacing w:line="240" w:lineRule="auto"/>
              <w:rPr>
                <w:sz w:val="11"/>
                <w:szCs w:val="11"/>
              </w:rPr>
            </w:pPr>
          </w:p>
        </w:tc>
        <w:tc>
          <w:tcPr>
            <w:tcW w:w="2340" w:type="dxa"/>
          </w:tcPr>
          <w:p w14:paraId="7CC7D5E6" w14:textId="780C7A75" w:rsidR="003A2777" w:rsidRDefault="003A2777">
            <w:pPr>
              <w:pStyle w:val="Other10"/>
              <w:spacing w:line="240" w:lineRule="auto"/>
              <w:ind w:left="1040"/>
              <w:jc w:val="both"/>
              <w:rPr>
                <w:sz w:val="11"/>
                <w:szCs w:val="11"/>
              </w:rPr>
            </w:pPr>
          </w:p>
        </w:tc>
        <w:tc>
          <w:tcPr>
            <w:tcW w:w="1174" w:type="dxa"/>
          </w:tcPr>
          <w:p w14:paraId="1965E546" w14:textId="0CECEB53" w:rsidR="003A2777" w:rsidRDefault="003A2777">
            <w:pPr>
              <w:pStyle w:val="Other10"/>
              <w:spacing w:line="240" w:lineRule="auto"/>
              <w:ind w:firstLine="240"/>
              <w:rPr>
                <w:sz w:val="11"/>
                <w:szCs w:val="11"/>
              </w:rPr>
            </w:pPr>
          </w:p>
        </w:tc>
        <w:tc>
          <w:tcPr>
            <w:tcW w:w="439" w:type="dxa"/>
          </w:tcPr>
          <w:p w14:paraId="751966B3" w14:textId="77777777" w:rsidR="003A2777" w:rsidRDefault="003A2777">
            <w:pPr>
              <w:rPr>
                <w:sz w:val="10"/>
                <w:szCs w:val="10"/>
              </w:rPr>
            </w:pPr>
          </w:p>
        </w:tc>
      </w:tr>
    </w:tbl>
    <w:p w14:paraId="43B14A84" w14:textId="77777777" w:rsidR="00451607" w:rsidRDefault="00451607">
      <w:pPr>
        <w:pStyle w:val="Heading110"/>
        <w:keepNext/>
        <w:keepLines/>
        <w:spacing w:after="0"/>
        <w:jc w:val="center"/>
        <w:rPr>
          <w:rStyle w:val="Heading11"/>
        </w:rPr>
      </w:pPr>
      <w:bookmarkStart w:id="13" w:name="bookmark28"/>
    </w:p>
    <w:p w14:paraId="0B0EF376" w14:textId="77777777" w:rsidR="00451607" w:rsidRDefault="00451607">
      <w:pPr>
        <w:pStyle w:val="Heading110"/>
        <w:keepNext/>
        <w:keepLines/>
        <w:spacing w:after="0"/>
        <w:jc w:val="center"/>
        <w:rPr>
          <w:rStyle w:val="Heading11"/>
        </w:rPr>
      </w:pPr>
    </w:p>
    <w:p w14:paraId="7B8035E6" w14:textId="77777777" w:rsidR="00451607" w:rsidRDefault="00451607">
      <w:pPr>
        <w:pStyle w:val="Heading110"/>
        <w:keepNext/>
        <w:keepLines/>
        <w:spacing w:after="0"/>
        <w:jc w:val="center"/>
        <w:rPr>
          <w:rStyle w:val="Heading11"/>
        </w:rPr>
      </w:pPr>
    </w:p>
    <w:p w14:paraId="29BD2D2F" w14:textId="579EA080" w:rsidR="003A2777" w:rsidRDefault="00000000">
      <w:pPr>
        <w:pStyle w:val="Heading110"/>
        <w:keepNext/>
        <w:keepLines/>
        <w:spacing w:after="0"/>
        <w:jc w:val="center"/>
      </w:pPr>
      <w:r>
        <w:rPr>
          <w:rStyle w:val="Heading11"/>
        </w:rPr>
        <w:t>PŘÍLOHA č. 2</w:t>
      </w:r>
      <w:bookmarkEnd w:id="13"/>
    </w:p>
    <w:p w14:paraId="597B31D9" w14:textId="77777777" w:rsidR="003A2777" w:rsidRDefault="00000000">
      <w:pPr>
        <w:pStyle w:val="Heading110"/>
        <w:keepNext/>
        <w:keepLines/>
        <w:spacing w:after="220" w:line="223" w:lineRule="auto"/>
        <w:jc w:val="center"/>
      </w:pPr>
      <w:bookmarkStart w:id="14" w:name="bookmark30"/>
      <w:r>
        <w:rPr>
          <w:rStyle w:val="Heading11"/>
        </w:rPr>
        <w:t>Výňatek z Etického kodexu</w:t>
      </w:r>
      <w:bookmarkEnd w:id="14"/>
    </w:p>
    <w:p w14:paraId="66344080" w14:textId="77777777" w:rsidR="003A2777" w:rsidRDefault="00000000">
      <w:pPr>
        <w:pStyle w:val="Bodytext20"/>
        <w:numPr>
          <w:ilvl w:val="0"/>
          <w:numId w:val="11"/>
        </w:numPr>
        <w:tabs>
          <w:tab w:val="left" w:pos="654"/>
        </w:tabs>
        <w:spacing w:after="220"/>
        <w:ind w:left="0" w:firstLine="320"/>
      </w:pPr>
      <w:r>
        <w:rPr>
          <w:rStyle w:val="Bodytext2"/>
        </w:rPr>
        <w:t>Boj proti korupci a prevence střetu zájmů</w:t>
      </w:r>
    </w:p>
    <w:p w14:paraId="7D9B5333" w14:textId="77777777" w:rsidR="003A2777" w:rsidRDefault="00000000">
      <w:pPr>
        <w:pStyle w:val="Bodytext10"/>
        <w:spacing w:line="254" w:lineRule="auto"/>
      </w:pPr>
      <w:r>
        <w:rPr>
          <w:rStyle w:val="Bodytext1"/>
        </w:rPr>
        <w:t>V souladu s hodnotami, které se týkají čestnosti a transparentnosti, usiluje společnost Angelini o zavádění opatření nezbytných pro prevenci korupce a střetu zájmů.</w:t>
      </w:r>
    </w:p>
    <w:p w14:paraId="4AD3D086" w14:textId="77777777" w:rsidR="003A2777" w:rsidRDefault="00000000">
      <w:pPr>
        <w:pStyle w:val="Bodytext10"/>
        <w:spacing w:line="254" w:lineRule="auto"/>
      </w:pPr>
      <w:r>
        <w:rPr>
          <w:rStyle w:val="Bodytext1"/>
        </w:rPr>
        <w:t>Ke střetu zájmů dochází v situacích, kdy se spolupracovník společnosti snaží nečestně prosadit zájmy zainteresovaných osob nebo získat „osobní“ prospěch z obchodních příležitostí společnosti Angelini a kdy zástupci zákazníků, dodavatelů nebo veřejných institucí nejednají při správě cizího majetku v souladu s povinnostmi, které se týkají jejich funkcí.</w:t>
      </w:r>
    </w:p>
    <w:p w14:paraId="3AF38E67" w14:textId="77777777" w:rsidR="003A2777" w:rsidRDefault="00000000">
      <w:pPr>
        <w:pStyle w:val="Bodytext10"/>
        <w:spacing w:after="160" w:line="254" w:lineRule="auto"/>
      </w:pPr>
      <w:r>
        <w:rPr>
          <w:rStyle w:val="Bodytext1"/>
        </w:rPr>
        <w:t>Kromě toho je zakázáno poskytovat nebo přijímat platby, provádět jiné způsoby korupce a poskytovat další nepřiměřené dary a výhody třetím stranám nebo je od nich přijímat s úmyslem získat pro společnost Angelini přímé či nepřímé výhody.</w:t>
      </w:r>
    </w:p>
    <w:p w14:paraId="2CAAEA93" w14:textId="77777777" w:rsidR="003A2777" w:rsidRDefault="00000000">
      <w:pPr>
        <w:pStyle w:val="Bodytext20"/>
        <w:numPr>
          <w:ilvl w:val="0"/>
          <w:numId w:val="11"/>
        </w:numPr>
        <w:tabs>
          <w:tab w:val="left" w:pos="654"/>
        </w:tabs>
        <w:spacing w:after="220"/>
        <w:ind w:left="0" w:firstLine="320"/>
      </w:pPr>
      <w:r>
        <w:rPr>
          <w:rStyle w:val="Bodytext2"/>
        </w:rPr>
        <w:t>Zásady chování a jednání ve vztazích se zákazníky</w:t>
      </w:r>
    </w:p>
    <w:p w14:paraId="33F5C51F" w14:textId="77777777" w:rsidR="003A2777" w:rsidRDefault="00000000">
      <w:pPr>
        <w:pStyle w:val="Bodytext10"/>
        <w:spacing w:line="240" w:lineRule="auto"/>
      </w:pPr>
      <w:r>
        <w:rPr>
          <w:rStyle w:val="Bodytext1"/>
        </w:rPr>
        <w:t>Zákazníci představují pro společnost Angelini klíčovou hodnotu.</w:t>
      </w:r>
    </w:p>
    <w:p w14:paraId="7698072E" w14:textId="77777777" w:rsidR="003A2777" w:rsidRDefault="00000000">
      <w:pPr>
        <w:pStyle w:val="Bodytext10"/>
        <w:spacing w:line="240" w:lineRule="auto"/>
      </w:pPr>
      <w:r>
        <w:rPr>
          <w:rStyle w:val="Bodytext1"/>
        </w:rPr>
        <w:t>Interakce se zákazníky je založena na zásadách transparentnosti, spolehlivosti, odpovědnosti a kvality.</w:t>
      </w:r>
    </w:p>
    <w:p w14:paraId="41587682" w14:textId="77777777" w:rsidR="003A2777" w:rsidRDefault="00000000">
      <w:pPr>
        <w:pStyle w:val="Bodytext10"/>
        <w:spacing w:line="240" w:lineRule="auto"/>
      </w:pPr>
      <w:r>
        <w:rPr>
          <w:rStyle w:val="Bodytext1"/>
        </w:rPr>
        <w:t>Všichni členové orgánů společnosti, vedoucí pracovnici, zaměstnanci a spolupracovníci proto musí:</w:t>
      </w:r>
    </w:p>
    <w:p w14:paraId="79C72A5F" w14:textId="77777777" w:rsidR="003A2777" w:rsidRDefault="00000000">
      <w:pPr>
        <w:pStyle w:val="Bodytext10"/>
        <w:numPr>
          <w:ilvl w:val="0"/>
          <w:numId w:val="12"/>
        </w:numPr>
        <w:tabs>
          <w:tab w:val="left" w:pos="678"/>
        </w:tabs>
        <w:spacing w:line="240" w:lineRule="auto"/>
        <w:ind w:left="680" w:hanging="340"/>
        <w:jc w:val="both"/>
      </w:pPr>
      <w:r>
        <w:rPr>
          <w:rStyle w:val="Bodytext1"/>
        </w:rPr>
        <w:t>svědomitě dodržovat ustanovení tohoto kodexu, jakož i všechna smluvní ustanovení definovaná v souladu s platnou legislativou;</w:t>
      </w:r>
    </w:p>
    <w:p w14:paraId="68B173D9" w14:textId="77777777" w:rsidR="003A2777" w:rsidRDefault="00000000">
      <w:pPr>
        <w:pStyle w:val="Bodytext10"/>
        <w:numPr>
          <w:ilvl w:val="0"/>
          <w:numId w:val="12"/>
        </w:numPr>
        <w:tabs>
          <w:tab w:val="left" w:pos="654"/>
        </w:tabs>
        <w:spacing w:after="380" w:line="240" w:lineRule="auto"/>
        <w:ind w:firstLine="320"/>
      </w:pPr>
      <w:r>
        <w:rPr>
          <w:rStyle w:val="Bodytext1"/>
        </w:rPr>
        <w:t>posuzovat kvalitu a spolehlivost nabízených výrobků a služeb.</w:t>
      </w:r>
    </w:p>
    <w:p w14:paraId="7AB6370D" w14:textId="77777777" w:rsidR="003A2777" w:rsidRDefault="00000000">
      <w:pPr>
        <w:pStyle w:val="Bodytext20"/>
        <w:numPr>
          <w:ilvl w:val="1"/>
          <w:numId w:val="13"/>
        </w:numPr>
        <w:tabs>
          <w:tab w:val="left" w:pos="1747"/>
        </w:tabs>
        <w:spacing w:after="60"/>
        <w:ind w:firstLine="0"/>
        <w:rPr>
          <w:sz w:val="20"/>
          <w:szCs w:val="20"/>
        </w:rPr>
      </w:pPr>
      <w:r>
        <w:rPr>
          <w:rStyle w:val="Bodytext2"/>
          <w:i/>
          <w:iCs/>
          <w:sz w:val="20"/>
          <w:szCs w:val="20"/>
        </w:rPr>
        <w:t>Smlouvy se zákazníky</w:t>
      </w:r>
    </w:p>
    <w:p w14:paraId="3B6AEB27" w14:textId="77777777" w:rsidR="003A2777" w:rsidRDefault="00000000">
      <w:pPr>
        <w:pStyle w:val="Bodytext10"/>
        <w:spacing w:after="160" w:line="254" w:lineRule="auto"/>
      </w:pPr>
      <w:r>
        <w:rPr>
          <w:rStyle w:val="Bodytext1"/>
        </w:rPr>
        <w:t>Smlouvy se zákazníky a komunikace ze strany společnosti Angelini jsou založeny na zásadách správnosti, poctivosti, profesionálního přístupu, transparentnosti a v každém případě rovněž bezvýhradné součinnosti.</w:t>
      </w:r>
    </w:p>
    <w:p w14:paraId="0FCC13B5" w14:textId="77777777" w:rsidR="003A2777" w:rsidRDefault="00000000">
      <w:pPr>
        <w:pStyle w:val="Bodytext20"/>
        <w:numPr>
          <w:ilvl w:val="1"/>
          <w:numId w:val="13"/>
        </w:numPr>
        <w:tabs>
          <w:tab w:val="left" w:pos="1740"/>
        </w:tabs>
        <w:spacing w:after="60"/>
        <w:ind w:firstLine="0"/>
        <w:rPr>
          <w:sz w:val="20"/>
          <w:szCs w:val="20"/>
        </w:rPr>
      </w:pPr>
      <w:r>
        <w:rPr>
          <w:rStyle w:val="Bodytext2"/>
          <w:i/>
          <w:iCs/>
          <w:sz w:val="20"/>
          <w:szCs w:val="20"/>
        </w:rPr>
        <w:t>Spokojenost zákazníků</w:t>
      </w:r>
    </w:p>
    <w:p w14:paraId="231CC6BF" w14:textId="77777777" w:rsidR="003A2777" w:rsidRDefault="00000000">
      <w:pPr>
        <w:pStyle w:val="Bodytext10"/>
        <w:spacing w:line="259" w:lineRule="auto"/>
      </w:pPr>
      <w:r>
        <w:rPr>
          <w:rStyle w:val="Bodytext1"/>
        </w:rPr>
        <w:t>Vysoká kvalita výrobků a služeb je nezbytným předpokladem spokojenosti zákazníků společnosti Angelini.</w:t>
      </w:r>
    </w:p>
    <w:p w14:paraId="22014583" w14:textId="77777777" w:rsidR="003A2777" w:rsidRDefault="00000000">
      <w:pPr>
        <w:pStyle w:val="Bodytext10"/>
        <w:spacing w:line="259" w:lineRule="auto"/>
      </w:pPr>
      <w:r>
        <w:rPr>
          <w:rStyle w:val="Bodytext1"/>
        </w:rPr>
        <w:t>Společnost Angelini je vlastníkem certifikátu správné výrobní praxe (SVP) a správné distribuční praxe (SDP) v souladu s platnou legislativou.</w:t>
      </w:r>
    </w:p>
    <w:p w14:paraId="25D467F1" w14:textId="77777777" w:rsidR="003A2777" w:rsidRDefault="00000000">
      <w:pPr>
        <w:pStyle w:val="Bodytext10"/>
        <w:spacing w:after="160" w:line="259" w:lineRule="auto"/>
      </w:pPr>
      <w:r>
        <w:rPr>
          <w:rStyle w:val="Bodytext1"/>
        </w:rPr>
        <w:t>Tyto cíle jsou podporovány interními procedurami a vědeckými technologiemi, mimo jiné i neustálým monitoringem zákazníků.</w:t>
      </w:r>
    </w:p>
    <w:p w14:paraId="60A4489D" w14:textId="77777777" w:rsidR="003A2777" w:rsidRDefault="00000000">
      <w:pPr>
        <w:pStyle w:val="Bodytext20"/>
        <w:numPr>
          <w:ilvl w:val="1"/>
          <w:numId w:val="13"/>
        </w:numPr>
        <w:tabs>
          <w:tab w:val="left" w:pos="1747"/>
        </w:tabs>
        <w:spacing w:after="60"/>
        <w:ind w:firstLine="0"/>
        <w:rPr>
          <w:sz w:val="20"/>
          <w:szCs w:val="20"/>
        </w:rPr>
      </w:pPr>
      <w:r>
        <w:rPr>
          <w:rStyle w:val="Bodytext2"/>
          <w:i/>
          <w:iCs/>
          <w:sz w:val="20"/>
          <w:szCs w:val="20"/>
        </w:rPr>
        <w:t>Spolupráce s institucemi</w:t>
      </w:r>
    </w:p>
    <w:p w14:paraId="1982947E" w14:textId="77777777" w:rsidR="003A2777" w:rsidRDefault="00000000">
      <w:pPr>
        <w:pStyle w:val="Bodytext10"/>
        <w:spacing w:line="240" w:lineRule="auto"/>
      </w:pPr>
      <w:r>
        <w:rPr>
          <w:rStyle w:val="Bodytext1"/>
        </w:rPr>
        <w:t>Občané coby daňoví poplatníci svěřují peníze institucím v oblasti péče o veřejné zdraví, aby tyto prostředky používaly na vývoj a nákup léčiv. S tímto krokem jsou spojena zásadní rozhodnutí ze strany těchto institucí. S ohledem na své cíle pak může společnost Angelini vyzvat tyto instituce, aby vynakládaly přiměřené prostředky na lékařskou péči o všechny občany.</w:t>
      </w:r>
    </w:p>
    <w:p w14:paraId="41875700" w14:textId="77777777" w:rsidR="003A2777" w:rsidRDefault="00000000">
      <w:pPr>
        <w:pStyle w:val="Bodytext10"/>
        <w:spacing w:line="240" w:lineRule="auto"/>
      </w:pPr>
      <w:r>
        <w:rPr>
          <w:rStyle w:val="Bodytext1"/>
        </w:rPr>
        <w:t>Obdobně pak společnost Angelini usiluje o to, aby její jednání nevedlo k neúčinnému, nehospodárnému nebo duplicitnímu nakládání s prostředky na péči o veřejné zdraví.</w:t>
      </w:r>
    </w:p>
    <w:p w14:paraId="002181CE" w14:textId="77777777" w:rsidR="003A2777" w:rsidRDefault="00000000">
      <w:pPr>
        <w:pStyle w:val="Bodytext10"/>
        <w:spacing w:after="120" w:line="240" w:lineRule="auto"/>
      </w:pPr>
      <w:r>
        <w:rPr>
          <w:rStyle w:val="Bodytext1"/>
        </w:rPr>
        <w:t>Společnost Angelini kromě toho usiluje o spravedlivý konkurenční boj s cílem navýšit tržní podíl díky léčivům, která uspokojují tržní poptávku v oboru zdravotnictví, přičemž využívá strategie v podobě nákupů a akvizic, které neporušují zásady volné hospodářské soutěže.</w:t>
      </w:r>
    </w:p>
    <w:sectPr w:rsidR="003A2777">
      <w:headerReference w:type="default" r:id="rId9"/>
      <w:pgSz w:w="11900" w:h="16840"/>
      <w:pgMar w:top="2337" w:right="1612" w:bottom="175" w:left="979"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5B46" w14:textId="77777777" w:rsidR="004E6CFD" w:rsidRDefault="004E6CFD">
      <w:r>
        <w:separator/>
      </w:r>
    </w:p>
  </w:endnote>
  <w:endnote w:type="continuationSeparator" w:id="0">
    <w:p w14:paraId="3686528F" w14:textId="77777777" w:rsidR="004E6CFD" w:rsidRDefault="004E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85FC" w14:textId="77777777" w:rsidR="004E6CFD" w:rsidRDefault="004E6CFD"/>
  </w:footnote>
  <w:footnote w:type="continuationSeparator" w:id="0">
    <w:p w14:paraId="557FE6E0" w14:textId="77777777" w:rsidR="004E6CFD" w:rsidRDefault="004E6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D8EB" w14:textId="77777777" w:rsidR="003A2777" w:rsidRDefault="00000000">
    <w:pPr>
      <w:spacing w:line="1" w:lineRule="exact"/>
    </w:pPr>
    <w:r>
      <w:rPr>
        <w:noProof/>
      </w:rPr>
      <mc:AlternateContent>
        <mc:Choice Requires="wps">
          <w:drawing>
            <wp:anchor distT="0" distB="0" distL="0" distR="0" simplePos="0" relativeHeight="62914692" behindDoc="1" locked="0" layoutInCell="1" allowOverlap="1" wp14:anchorId="03DA2512" wp14:editId="62CCE89F">
              <wp:simplePos x="0" y="0"/>
              <wp:positionH relativeFrom="page">
                <wp:posOffset>880110</wp:posOffset>
              </wp:positionH>
              <wp:positionV relativeFrom="page">
                <wp:posOffset>1109345</wp:posOffset>
              </wp:positionV>
              <wp:extent cx="1586230" cy="105410"/>
              <wp:effectExtent l="0" t="0" r="0" b="0"/>
              <wp:wrapNone/>
              <wp:docPr id="25" name="Shape 25"/>
              <wp:cNvGraphicFramePr/>
              <a:graphic xmlns:a="http://schemas.openxmlformats.org/drawingml/2006/main">
                <a:graphicData uri="http://schemas.microsoft.com/office/word/2010/wordprocessingShape">
                  <wps:wsp>
                    <wps:cNvSpPr txBox="1"/>
                    <wps:spPr>
                      <a:xfrm>
                        <a:off x="0" y="0"/>
                        <a:ext cx="1586230" cy="105410"/>
                      </a:xfrm>
                      <a:prstGeom prst="rect">
                        <a:avLst/>
                      </a:prstGeom>
                      <a:noFill/>
                    </wps:spPr>
                    <wps:txbx>
                      <w:txbxContent>
                        <w:p w14:paraId="2BEDEF2E" w14:textId="77777777" w:rsidR="003A2777" w:rsidRDefault="00000000">
                          <w:pPr>
                            <w:pStyle w:val="Headerorfooter20"/>
                            <w:rPr>
                              <w:sz w:val="18"/>
                              <w:szCs w:val="18"/>
                            </w:rPr>
                          </w:pPr>
                          <w:r>
                            <w:rPr>
                              <w:rStyle w:val="Headerorfooter2"/>
                              <w:sz w:val="18"/>
                              <w:szCs w:val="18"/>
                            </w:rPr>
                            <w:t>LN3898, BON628584, APPI 378</w:t>
                          </w:r>
                        </w:p>
                      </w:txbxContent>
                    </wps:txbx>
                    <wps:bodyPr wrap="none" lIns="0" tIns="0" rIns="0" bIns="0">
                      <a:spAutoFit/>
                    </wps:bodyPr>
                  </wps:wsp>
                </a:graphicData>
              </a:graphic>
            </wp:anchor>
          </w:drawing>
        </mc:Choice>
        <mc:Fallback>
          <w:pict>
            <v:shapetype w14:anchorId="03DA2512" id="_x0000_t202" coordsize="21600,21600" o:spt="202" path="m,l,21600r21600,l21600,xe">
              <v:stroke joinstyle="miter"/>
              <v:path gradientshapeok="t" o:connecttype="rect"/>
            </v:shapetype>
            <v:shape id="Shape 25" o:spid="_x0000_s1034" type="#_x0000_t202" style="position:absolute;margin-left:69.3pt;margin-top:87.35pt;width:124.9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" filled="f" stroked="f">
              <v:textbox style="mso-fit-shape-to-text:t" inset="0,0,0,0">
                <w:txbxContent>
                  <w:p w14:paraId="2BEDEF2E" w14:textId="77777777" w:rsidR="003A2777" w:rsidRDefault="00000000">
                    <w:pPr>
                      <w:pStyle w:val="Headerorfooter20"/>
                      <w:rPr>
                        <w:sz w:val="18"/>
                        <w:szCs w:val="18"/>
                      </w:rPr>
                    </w:pPr>
                    <w:r>
                      <w:rPr>
                        <w:rStyle w:val="Headerorfooter2"/>
                        <w:sz w:val="18"/>
                        <w:szCs w:val="18"/>
                      </w:rPr>
                      <w:t>LN3898, BON628584, APPI 378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71FBE"/>
    <w:multiLevelType w:val="multilevel"/>
    <w:tmpl w:val="D85A87E8"/>
    <w:lvl w:ilvl="0">
      <w:start w:val="1"/>
      <w:numFmt w:val="decimal"/>
      <w:lvlText w:val="%1."/>
      <w:lvlJc w:val="left"/>
    </w:lvl>
    <w:lvl w:ilvl="1">
      <w:start w:val="1"/>
      <w:numFmt w:val="decimal"/>
      <w:lvlText w:val="%1.%2."/>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9F123E"/>
    <w:multiLevelType w:val="multilevel"/>
    <w:tmpl w:val="2B26A768"/>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583AEB"/>
    <w:multiLevelType w:val="multilevel"/>
    <w:tmpl w:val="0B76F992"/>
    <w:lvl w:ilvl="0">
      <w:start w:val="2"/>
      <w:numFmt w:val="upperRoman"/>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FC285D"/>
    <w:multiLevelType w:val="multilevel"/>
    <w:tmpl w:val="3EDC10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AB2E6B"/>
    <w:multiLevelType w:val="multilevel"/>
    <w:tmpl w:val="0F60403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1430B9"/>
    <w:multiLevelType w:val="multilevel"/>
    <w:tmpl w:val="E206B2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1A184F"/>
    <w:multiLevelType w:val="multilevel"/>
    <w:tmpl w:val="7FBEFCC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FE2962"/>
    <w:multiLevelType w:val="multilevel"/>
    <w:tmpl w:val="94283F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5E6B92"/>
    <w:multiLevelType w:val="multilevel"/>
    <w:tmpl w:val="F89C3F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7F1BDD"/>
    <w:multiLevelType w:val="multilevel"/>
    <w:tmpl w:val="2A9CFF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150115"/>
    <w:multiLevelType w:val="multilevel"/>
    <w:tmpl w:val="53B6E0F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FA5A59"/>
    <w:multiLevelType w:val="multilevel"/>
    <w:tmpl w:val="C5608B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D36AAB"/>
    <w:multiLevelType w:val="multilevel"/>
    <w:tmpl w:val="D8C0F86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13769030">
    <w:abstractNumId w:val="7"/>
  </w:num>
  <w:num w:numId="2" w16cid:durableId="574825593">
    <w:abstractNumId w:val="2"/>
  </w:num>
  <w:num w:numId="3" w16cid:durableId="441850910">
    <w:abstractNumId w:val="4"/>
  </w:num>
  <w:num w:numId="4" w16cid:durableId="1181511278">
    <w:abstractNumId w:val="10"/>
  </w:num>
  <w:num w:numId="5" w16cid:durableId="1641883211">
    <w:abstractNumId w:val="8"/>
  </w:num>
  <w:num w:numId="6" w16cid:durableId="1699888946">
    <w:abstractNumId w:val="12"/>
  </w:num>
  <w:num w:numId="7" w16cid:durableId="287591840">
    <w:abstractNumId w:val="5"/>
  </w:num>
  <w:num w:numId="8" w16cid:durableId="1342779085">
    <w:abstractNumId w:val="6"/>
  </w:num>
  <w:num w:numId="9" w16cid:durableId="1727219166">
    <w:abstractNumId w:val="11"/>
  </w:num>
  <w:num w:numId="10" w16cid:durableId="1552186907">
    <w:abstractNumId w:val="3"/>
  </w:num>
  <w:num w:numId="11" w16cid:durableId="1784037144">
    <w:abstractNumId w:val="9"/>
  </w:num>
  <w:num w:numId="12" w16cid:durableId="993067171">
    <w:abstractNumId w:val="1"/>
  </w:num>
  <w:num w:numId="13" w16cid:durableId="143937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777"/>
    <w:rsid w:val="000B0504"/>
    <w:rsid w:val="003A2777"/>
    <w:rsid w:val="00451607"/>
    <w:rsid w:val="004E6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1EEA"/>
  <w15:docId w15:val="{CB036A4E-045B-4582-8DBD-59C826DA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8"/>
      <w:szCs w:val="18"/>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18"/>
      <w:szCs w:val="18"/>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12"/>
      <w:szCs w:val="12"/>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28"/>
      <w:szCs w:val="28"/>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8"/>
      <w:szCs w:val="18"/>
      <w:u w:val="none"/>
    </w:rPr>
  </w:style>
  <w:style w:type="character" w:customStyle="1" w:styleId="Bodytext4">
    <w:name w:val="Body text|4_"/>
    <w:basedOn w:val="Standardnpsmoodstavce"/>
    <w:link w:val="Bodytext40"/>
    <w:rPr>
      <w:b w:val="0"/>
      <w:bCs w:val="0"/>
      <w:i w:val="0"/>
      <w:iCs w:val="0"/>
      <w:smallCaps w:val="0"/>
      <w:strike w:val="0"/>
      <w:sz w:val="18"/>
      <w:szCs w:val="18"/>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22"/>
      <w:szCs w:val="22"/>
      <w:u w:val="none"/>
    </w:rPr>
  </w:style>
  <w:style w:type="paragraph" w:customStyle="1" w:styleId="Bodytext10">
    <w:name w:val="Body text|1"/>
    <w:basedOn w:val="Normln"/>
    <w:link w:val="Bodytext1"/>
    <w:pPr>
      <w:spacing w:line="252" w:lineRule="auto"/>
    </w:pPr>
    <w:rPr>
      <w:rFonts w:ascii="Arial" w:eastAsia="Arial" w:hAnsi="Arial" w:cs="Arial"/>
      <w:sz w:val="18"/>
      <w:szCs w:val="18"/>
    </w:rPr>
  </w:style>
  <w:style w:type="paragraph" w:customStyle="1" w:styleId="Heading210">
    <w:name w:val="Heading #2|1"/>
    <w:basedOn w:val="Normln"/>
    <w:link w:val="Heading21"/>
    <w:pPr>
      <w:spacing w:after="200" w:line="252" w:lineRule="auto"/>
      <w:jc w:val="center"/>
      <w:outlineLvl w:val="1"/>
    </w:pPr>
    <w:rPr>
      <w:rFonts w:ascii="Arial" w:eastAsia="Arial" w:hAnsi="Arial" w:cs="Arial"/>
      <w:b/>
      <w:bCs/>
      <w:sz w:val="18"/>
      <w:szCs w:val="18"/>
    </w:rPr>
  </w:style>
  <w:style w:type="paragraph" w:customStyle="1" w:styleId="Bodytext30">
    <w:name w:val="Body text|3"/>
    <w:basedOn w:val="Normln"/>
    <w:link w:val="Bodytext3"/>
    <w:pPr>
      <w:spacing w:line="307" w:lineRule="auto"/>
      <w:jc w:val="center"/>
    </w:pPr>
    <w:rPr>
      <w:rFonts w:ascii="Arial" w:eastAsia="Arial" w:hAnsi="Arial" w:cs="Arial"/>
      <w:b/>
      <w:bCs/>
      <w:sz w:val="12"/>
      <w:szCs w:val="12"/>
    </w:rPr>
  </w:style>
  <w:style w:type="paragraph" w:customStyle="1" w:styleId="Heading110">
    <w:name w:val="Heading #1|1"/>
    <w:basedOn w:val="Normln"/>
    <w:link w:val="Heading11"/>
    <w:pPr>
      <w:spacing w:after="200"/>
      <w:outlineLvl w:val="0"/>
    </w:pPr>
    <w:rPr>
      <w:rFonts w:ascii="Arial" w:eastAsia="Arial" w:hAnsi="Arial" w:cs="Arial"/>
      <w:sz w:val="28"/>
      <w:szCs w:val="28"/>
    </w:rPr>
  </w:style>
  <w:style w:type="paragraph" w:customStyle="1" w:styleId="Headerorfooter20">
    <w:name w:val="Header or footer|2"/>
    <w:basedOn w:val="Normln"/>
    <w:link w:val="Headerorfooter2"/>
    <w:rPr>
      <w:sz w:val="20"/>
      <w:szCs w:val="20"/>
    </w:rPr>
  </w:style>
  <w:style w:type="paragraph" w:customStyle="1" w:styleId="Other10">
    <w:name w:val="Other|1"/>
    <w:basedOn w:val="Normln"/>
    <w:link w:val="Other1"/>
    <w:pPr>
      <w:spacing w:line="252" w:lineRule="auto"/>
    </w:pPr>
    <w:rPr>
      <w:rFonts w:ascii="Arial" w:eastAsia="Arial" w:hAnsi="Arial" w:cs="Arial"/>
      <w:sz w:val="18"/>
      <w:szCs w:val="18"/>
    </w:rPr>
  </w:style>
  <w:style w:type="paragraph" w:customStyle="1" w:styleId="Bodytext40">
    <w:name w:val="Body text|4"/>
    <w:basedOn w:val="Normln"/>
    <w:link w:val="Bodytext4"/>
    <w:pPr>
      <w:spacing w:after="200"/>
    </w:pPr>
    <w:rPr>
      <w:sz w:val="18"/>
      <w:szCs w:val="18"/>
    </w:rPr>
  </w:style>
  <w:style w:type="paragraph" w:customStyle="1" w:styleId="Bodytext20">
    <w:name w:val="Body text|2"/>
    <w:basedOn w:val="Normln"/>
    <w:link w:val="Bodytext2"/>
    <w:pPr>
      <w:spacing w:after="140"/>
      <w:ind w:left="1320" w:firstLine="16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nqelini.cz" TargetMode="External"/><Relationship Id="rId3" Type="http://schemas.openxmlformats.org/officeDocument/2006/relationships/settings" Target="settings.xml"/><Relationship Id="rId7" Type="http://schemas.openxmlformats.org/officeDocument/2006/relationships/hyperlink" Target="mailto:podatelna@nemha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3488</Words>
  <Characters>20586</Characters>
  <Application>Microsoft Office Word</Application>
  <DocSecurity>0</DocSecurity>
  <Lines>171</Lines>
  <Paragraphs>48</Paragraphs>
  <ScaleCrop>false</ScaleCrop>
  <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2026-04-29T10:00:00Z</dcterms:created>
  <dcterms:modified xsi:type="dcterms:W3CDTF">2026-04-29T10:00:00Z</dcterms:modified>
</cp:coreProperties>
</file>