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C844" w14:textId="77777777" w:rsidR="00476AB8" w:rsidRPr="00080E6C" w:rsidRDefault="00476AB8" w:rsidP="00080E6C">
      <w:pPr>
        <w:jc w:val="center"/>
        <w:rPr>
          <w:rStyle w:val="apple-style-span"/>
          <w:rFonts w:ascii="Calibri" w:hAnsi="Calibri" w:cs="Calibri"/>
          <w:b/>
          <w:bCs/>
          <w:color w:val="000000"/>
          <w:sz w:val="32"/>
          <w:szCs w:val="32"/>
        </w:rPr>
      </w:pPr>
      <w:r w:rsidRPr="00080E6C">
        <w:rPr>
          <w:rFonts w:ascii="Calibri" w:hAnsi="Calibri" w:cs="Calibri"/>
          <w:b/>
          <w:bCs/>
          <w:sz w:val="32"/>
          <w:szCs w:val="32"/>
        </w:rPr>
        <w:t>SMLOUVA O SPOLUPRÁCI</w:t>
      </w:r>
    </w:p>
    <w:p w14:paraId="2DD69F83" w14:textId="2C2D734B" w:rsidR="00476AB8" w:rsidRPr="00B1332E" w:rsidRDefault="00476AB8" w:rsidP="00080E6C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B1332E">
        <w:rPr>
          <w:rFonts w:ascii="Calibri" w:hAnsi="Calibri" w:cs="Calibri"/>
          <w:sz w:val="22"/>
          <w:szCs w:val="22"/>
          <w:lang w:eastAsia="en-US"/>
        </w:rPr>
        <w:t xml:space="preserve">uzavřená </w:t>
      </w:r>
      <w:r w:rsidR="00981A93" w:rsidRPr="00B1332E">
        <w:rPr>
          <w:rFonts w:ascii="Calibri" w:hAnsi="Calibri" w:cs="Calibri"/>
          <w:sz w:val="22"/>
          <w:szCs w:val="22"/>
          <w:lang w:eastAsia="en-US"/>
        </w:rPr>
        <w:t xml:space="preserve">níže uvedeného dne, měsíce a roku </w:t>
      </w:r>
      <w:r w:rsidRPr="00B1332E">
        <w:rPr>
          <w:rFonts w:ascii="Calibri" w:hAnsi="Calibri" w:cs="Calibri"/>
          <w:sz w:val="22"/>
          <w:szCs w:val="22"/>
          <w:lang w:eastAsia="en-US"/>
        </w:rPr>
        <w:t>v souladu s</w:t>
      </w:r>
      <w:r w:rsidR="004F2002" w:rsidRPr="00B1332E">
        <w:rPr>
          <w:rFonts w:ascii="Calibri" w:hAnsi="Calibri" w:cs="Calibri"/>
          <w:sz w:val="22"/>
          <w:szCs w:val="22"/>
          <w:lang w:eastAsia="en-US"/>
        </w:rPr>
        <w:t xml:space="preserve"> ustanovením </w:t>
      </w:r>
      <w:r w:rsidRPr="00B1332E">
        <w:rPr>
          <w:rFonts w:ascii="Calibri" w:hAnsi="Calibri" w:cs="Calibri"/>
          <w:sz w:val="22"/>
          <w:szCs w:val="22"/>
          <w:lang w:eastAsia="en-US"/>
        </w:rPr>
        <w:t>§ 1746 odst. 2 zákona č. 89/2012 Sb., Občanského zákoníku</w:t>
      </w:r>
    </w:p>
    <w:p w14:paraId="1DB23105" w14:textId="77777777" w:rsidR="00476AB8" w:rsidRPr="00B1332E" w:rsidRDefault="00476AB8" w:rsidP="00080E6C">
      <w:pPr>
        <w:jc w:val="center"/>
        <w:rPr>
          <w:rFonts w:ascii="Calibri" w:hAnsi="Calibri" w:cs="Calibri"/>
          <w:sz w:val="22"/>
          <w:szCs w:val="22"/>
        </w:rPr>
      </w:pPr>
      <w:r w:rsidRPr="00B1332E">
        <w:rPr>
          <w:rFonts w:ascii="Calibri" w:hAnsi="Calibri" w:cs="Calibri"/>
          <w:sz w:val="22"/>
          <w:szCs w:val="22"/>
        </w:rPr>
        <w:t>(dále jen: „Smlouva“)</w:t>
      </w:r>
    </w:p>
    <w:p w14:paraId="5DB4BCD0" w14:textId="77777777" w:rsidR="00476AB8" w:rsidRPr="00B1332E" w:rsidRDefault="00476AB8" w:rsidP="007E4218">
      <w:pPr>
        <w:rPr>
          <w:rFonts w:asciiTheme="minorHAnsi" w:hAnsiTheme="minorHAnsi" w:cstheme="minorHAnsi"/>
          <w:sz w:val="22"/>
          <w:szCs w:val="22"/>
        </w:rPr>
      </w:pPr>
    </w:p>
    <w:p w14:paraId="79BC4F73" w14:textId="77777777" w:rsidR="00476AB8" w:rsidRPr="00B1332E" w:rsidRDefault="00476AB8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mezi</w:t>
      </w:r>
    </w:p>
    <w:p w14:paraId="76F28AF6" w14:textId="77777777" w:rsidR="00080E6C" w:rsidRPr="00B1332E" w:rsidRDefault="00080E6C" w:rsidP="007E4218">
      <w:pPr>
        <w:rPr>
          <w:rFonts w:asciiTheme="minorHAnsi" w:hAnsiTheme="minorHAnsi" w:cstheme="minorHAnsi"/>
          <w:sz w:val="22"/>
          <w:szCs w:val="22"/>
        </w:rPr>
      </w:pPr>
    </w:p>
    <w:p w14:paraId="4840F174" w14:textId="07AF9BA4" w:rsidR="007A3853" w:rsidRPr="00B1332E" w:rsidRDefault="00CC2702" w:rsidP="007E42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 xml:space="preserve">Technologie </w:t>
      </w:r>
      <w:r w:rsidR="00FA013A" w:rsidRPr="00B1332E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B1332E">
        <w:rPr>
          <w:rFonts w:asciiTheme="minorHAnsi" w:hAnsiTheme="minorHAnsi" w:cstheme="minorHAnsi"/>
          <w:b/>
          <w:bCs/>
          <w:sz w:val="22"/>
          <w:szCs w:val="22"/>
        </w:rPr>
        <w:t xml:space="preserve">lavního </w:t>
      </w:r>
      <w:r w:rsidR="00EE2EE7" w:rsidRPr="00B1332E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B1332E">
        <w:rPr>
          <w:rFonts w:asciiTheme="minorHAnsi" w:hAnsiTheme="minorHAnsi" w:cstheme="minorHAnsi"/>
          <w:b/>
          <w:bCs/>
          <w:sz w:val="22"/>
          <w:szCs w:val="22"/>
        </w:rPr>
        <w:t>ěsta Prahy</w:t>
      </w:r>
      <w:r w:rsidR="007A3853" w:rsidRPr="00B1332E">
        <w:rPr>
          <w:rFonts w:asciiTheme="minorHAnsi" w:hAnsiTheme="minorHAnsi" w:cstheme="minorHAnsi"/>
          <w:b/>
          <w:bCs/>
          <w:sz w:val="22"/>
          <w:szCs w:val="22"/>
        </w:rPr>
        <w:t>, a.s.</w:t>
      </w:r>
      <w:r w:rsidR="007A3853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C8AC311" w14:textId="0BDAB067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se sídlem:</w:t>
      </w:r>
      <w:r w:rsidR="00BE5B6B"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 xml:space="preserve"> Dělnická 213/12, 170 00, Praha 7</w:t>
      </w:r>
    </w:p>
    <w:p w14:paraId="03533D8E" w14:textId="348D8790" w:rsidR="00773BD2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IČO: </w:t>
      </w:r>
      <w:r w:rsidR="00BE5B6B" w:rsidRPr="00B1332E">
        <w:rPr>
          <w:rFonts w:asciiTheme="minorHAnsi" w:hAnsiTheme="minorHAnsi" w:cstheme="minorHAnsi"/>
          <w:sz w:val="22"/>
          <w:szCs w:val="22"/>
        </w:rPr>
        <w:tab/>
      </w:r>
      <w:r w:rsidR="00BE5B6B"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>256 72</w:t>
      </w:r>
      <w:r w:rsidR="00773BD2" w:rsidRPr="00B1332E">
        <w:rPr>
          <w:rFonts w:asciiTheme="minorHAnsi" w:hAnsiTheme="minorHAnsi" w:cstheme="minorHAnsi"/>
          <w:sz w:val="22"/>
          <w:szCs w:val="22"/>
        </w:rPr>
        <w:t> </w:t>
      </w:r>
      <w:r w:rsidRPr="00B1332E">
        <w:rPr>
          <w:rFonts w:asciiTheme="minorHAnsi" w:hAnsiTheme="minorHAnsi" w:cstheme="minorHAnsi"/>
          <w:sz w:val="22"/>
          <w:szCs w:val="22"/>
        </w:rPr>
        <w:t xml:space="preserve">541 </w:t>
      </w:r>
    </w:p>
    <w:p w14:paraId="426A1B86" w14:textId="094E5A64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DIČ: </w:t>
      </w:r>
      <w:r w:rsidR="00BE5B6B" w:rsidRPr="00B1332E">
        <w:rPr>
          <w:rFonts w:asciiTheme="minorHAnsi" w:hAnsiTheme="minorHAnsi" w:cstheme="minorHAnsi"/>
          <w:sz w:val="22"/>
          <w:szCs w:val="22"/>
        </w:rPr>
        <w:tab/>
      </w:r>
      <w:r w:rsidR="00BE5B6B"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>CZ25672541</w:t>
      </w:r>
    </w:p>
    <w:p w14:paraId="775383E3" w14:textId="100F170B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společnost zapsaná v obchodním rejstříku vedeném Městským soudem v</w:t>
      </w:r>
      <w:r w:rsidR="00BE5B6B" w:rsidRPr="00B1332E">
        <w:rPr>
          <w:rFonts w:asciiTheme="minorHAnsi" w:hAnsiTheme="minorHAnsi" w:cstheme="minorHAnsi"/>
          <w:sz w:val="22"/>
          <w:szCs w:val="22"/>
        </w:rPr>
        <w:t> </w:t>
      </w:r>
      <w:r w:rsidRPr="00B1332E">
        <w:rPr>
          <w:rFonts w:asciiTheme="minorHAnsi" w:hAnsiTheme="minorHAnsi" w:cstheme="minorHAnsi"/>
          <w:sz w:val="22"/>
          <w:szCs w:val="22"/>
        </w:rPr>
        <w:t>Praze</w:t>
      </w:r>
      <w:r w:rsidR="00BE5B6B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Pr="00B1332E">
        <w:rPr>
          <w:rFonts w:asciiTheme="minorHAnsi" w:hAnsiTheme="minorHAnsi" w:cstheme="minorHAnsi"/>
          <w:sz w:val="22"/>
          <w:szCs w:val="22"/>
        </w:rPr>
        <w:t>oddíl B, vložka 5402</w:t>
      </w:r>
    </w:p>
    <w:p w14:paraId="59F78231" w14:textId="77777777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ID datové schránky: u5hgkji</w:t>
      </w:r>
    </w:p>
    <w:p w14:paraId="074A6CD8" w14:textId="77777777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bank. spojení: Komerční banka, a.s., č. účtu: 115-5836140217/0100</w:t>
      </w:r>
    </w:p>
    <w:p w14:paraId="687DC2E3" w14:textId="2DF3AC3B" w:rsidR="007426F0" w:rsidRPr="00B1332E" w:rsidRDefault="007426F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zastoupená: Tomášem Jílkem, předsedou představenstva</w:t>
      </w:r>
      <w:r w:rsidR="004F2002" w:rsidRPr="00B1332E">
        <w:rPr>
          <w:rFonts w:asciiTheme="minorHAnsi" w:hAnsiTheme="minorHAnsi" w:cstheme="minorHAnsi"/>
          <w:sz w:val="22"/>
          <w:szCs w:val="22"/>
        </w:rPr>
        <w:t xml:space="preserve"> a </w:t>
      </w:r>
      <w:r w:rsidRPr="00B1332E">
        <w:rPr>
          <w:rFonts w:asciiTheme="minorHAnsi" w:hAnsiTheme="minorHAnsi" w:cstheme="minorHAnsi"/>
          <w:sz w:val="22"/>
          <w:szCs w:val="22"/>
        </w:rPr>
        <w:t>Tomášem Novotným, místopředsedou představenstva</w:t>
      </w:r>
    </w:p>
    <w:p w14:paraId="3F1C4624" w14:textId="77777777" w:rsidR="007A3853" w:rsidRPr="00B1332E" w:rsidRDefault="007A3853" w:rsidP="00080E6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1332E">
        <w:rPr>
          <w:rFonts w:asciiTheme="minorHAnsi" w:hAnsiTheme="minorHAnsi" w:cstheme="minorHAnsi"/>
          <w:iCs/>
          <w:sz w:val="22"/>
          <w:szCs w:val="22"/>
        </w:rPr>
        <w:t>(dále jen ''</w:t>
      </w:r>
      <w:r w:rsidR="00CC2702" w:rsidRPr="00B1332E">
        <w:rPr>
          <w:rFonts w:asciiTheme="minorHAnsi" w:hAnsiTheme="minorHAnsi" w:cstheme="minorHAnsi"/>
          <w:iCs/>
          <w:sz w:val="22"/>
          <w:szCs w:val="22"/>
        </w:rPr>
        <w:t>THMP</w:t>
      </w:r>
      <w:r w:rsidRPr="00B1332E">
        <w:rPr>
          <w:rFonts w:asciiTheme="minorHAnsi" w:hAnsiTheme="minorHAnsi" w:cstheme="minorHAnsi"/>
          <w:iCs/>
          <w:sz w:val="22"/>
          <w:szCs w:val="22"/>
        </w:rPr>
        <w:t>'')</w:t>
      </w:r>
    </w:p>
    <w:p w14:paraId="7B462445" w14:textId="7C3E271B" w:rsidR="00346D70" w:rsidRPr="00B1332E" w:rsidRDefault="00BE5B6B" w:rsidP="00080E6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1332E">
        <w:rPr>
          <w:rFonts w:asciiTheme="minorHAnsi" w:hAnsiTheme="minorHAnsi" w:cstheme="minorHAnsi"/>
          <w:iCs/>
          <w:sz w:val="22"/>
          <w:szCs w:val="22"/>
        </w:rPr>
        <w:t>Č.smlouvy:</w:t>
      </w:r>
      <w:r w:rsidR="00403A2B" w:rsidRPr="00B1332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03A2B" w:rsidRPr="00B1332E">
        <w:rPr>
          <w:rFonts w:asciiTheme="minorHAnsi" w:hAnsiTheme="minorHAnsi" w:cstheme="minorHAnsi"/>
          <w:color w:val="000000"/>
          <w:sz w:val="22"/>
          <w:szCs w:val="22"/>
        </w:rPr>
        <w:t>75/26</w:t>
      </w:r>
    </w:p>
    <w:p w14:paraId="3ABBA8B9" w14:textId="77777777" w:rsidR="00476AB8" w:rsidRPr="00B1332E" w:rsidRDefault="00476AB8" w:rsidP="00080E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48C49" w14:textId="77777777" w:rsidR="00476AB8" w:rsidRPr="00B1332E" w:rsidRDefault="00476AB8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FCBBB1E" w14:textId="77777777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99425" w14:textId="49182EE4" w:rsidR="00BE5B6B" w:rsidRPr="00B1332E" w:rsidRDefault="00BE5B6B" w:rsidP="00080E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332E">
        <w:rPr>
          <w:rFonts w:asciiTheme="minorHAnsi" w:hAnsiTheme="minorHAnsi" w:cstheme="minorHAnsi"/>
          <w:b/>
          <w:sz w:val="22"/>
          <w:szCs w:val="22"/>
        </w:rPr>
        <w:t>Pražské jaro, o.p.s. </w:t>
      </w:r>
    </w:p>
    <w:p w14:paraId="33A5556A" w14:textId="5557F206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Se sídlem:</w:t>
      </w:r>
      <w:r w:rsidRPr="00B1332E">
        <w:rPr>
          <w:rFonts w:asciiTheme="minorHAnsi" w:hAnsiTheme="minorHAnsi" w:cstheme="minorHAnsi"/>
          <w:sz w:val="22"/>
          <w:szCs w:val="22"/>
        </w:rPr>
        <w:tab/>
        <w:t>Hellichova 553/18, 118 00 Praha 1 Malá Strana </w:t>
      </w:r>
    </w:p>
    <w:p w14:paraId="5352D31A" w14:textId="77777777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IČ: </w:t>
      </w:r>
      <w:r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ab/>
        <w:t xml:space="preserve">25773194, </w:t>
      </w:r>
    </w:p>
    <w:p w14:paraId="68CA94A7" w14:textId="6B756EC4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DIČ: </w:t>
      </w:r>
      <w:r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ab/>
        <w:t>CZ25773194 </w:t>
      </w:r>
    </w:p>
    <w:p w14:paraId="3EB5C002" w14:textId="78EF1D42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Společnost zapsána v rejstříku obecně prospěšných společností vedeném u Městského soudu v Praze, oddíl O, vložka 143  </w:t>
      </w:r>
    </w:p>
    <w:p w14:paraId="774970B2" w14:textId="1C992924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ID datové schránky</w:t>
      </w:r>
      <w:r w:rsidR="00555C40" w:rsidRPr="00B1332E">
        <w:rPr>
          <w:rFonts w:asciiTheme="minorHAnsi" w:hAnsiTheme="minorHAnsi" w:cstheme="minorHAnsi"/>
          <w:sz w:val="22"/>
          <w:szCs w:val="22"/>
        </w:rPr>
        <w:t>: edznpb2</w:t>
      </w:r>
    </w:p>
    <w:p w14:paraId="2BD7EA1E" w14:textId="77777777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Bankovní spojení: Česká spořitelna, a.s., č. účtu: 77555522/0800 </w:t>
      </w:r>
    </w:p>
    <w:p w14:paraId="5D93D16F" w14:textId="43F8583D" w:rsidR="00BE5B6B" w:rsidRPr="00B1332E" w:rsidRDefault="00BE5B6B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Zastoupená: Mgr. Robertem Hančem, ředitel společnosti  </w:t>
      </w:r>
    </w:p>
    <w:p w14:paraId="4A242164" w14:textId="77777777" w:rsidR="00276700" w:rsidRPr="00B1332E" w:rsidRDefault="0027670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21E466" w14:textId="61FB58CC" w:rsidR="00276700" w:rsidRPr="00B1332E" w:rsidRDefault="00276700" w:rsidP="00080E6C">
      <w:pPr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(dále jen „</w:t>
      </w:r>
      <w:r w:rsidR="00BE5B6B" w:rsidRPr="00B1332E">
        <w:rPr>
          <w:rFonts w:asciiTheme="minorHAnsi" w:hAnsiTheme="minorHAnsi" w:cstheme="minorHAnsi"/>
          <w:sz w:val="22"/>
          <w:szCs w:val="22"/>
        </w:rPr>
        <w:t>PJ</w:t>
      </w:r>
      <w:r w:rsidRPr="00B1332E">
        <w:rPr>
          <w:rFonts w:asciiTheme="minorHAnsi" w:hAnsiTheme="minorHAnsi" w:cstheme="minorHAnsi"/>
          <w:sz w:val="22"/>
          <w:szCs w:val="22"/>
        </w:rPr>
        <w:t>“ nebo „</w:t>
      </w:r>
      <w:r w:rsidR="00BE5B6B" w:rsidRPr="00B1332E">
        <w:rPr>
          <w:rFonts w:asciiTheme="minorHAnsi" w:hAnsiTheme="minorHAnsi" w:cstheme="minorHAnsi"/>
          <w:sz w:val="22"/>
          <w:szCs w:val="22"/>
        </w:rPr>
        <w:t>Pražské jaro</w:t>
      </w:r>
      <w:r w:rsidRPr="00B1332E">
        <w:rPr>
          <w:rFonts w:asciiTheme="minorHAnsi" w:hAnsiTheme="minorHAnsi" w:cstheme="minorHAnsi"/>
          <w:sz w:val="22"/>
          <w:szCs w:val="22"/>
        </w:rPr>
        <w:t>“)</w:t>
      </w:r>
    </w:p>
    <w:p w14:paraId="44E91750" w14:textId="77777777" w:rsidR="007A3853" w:rsidRPr="00B1332E" w:rsidRDefault="007A3853" w:rsidP="00080E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9CB97" w14:textId="6ED7D462" w:rsidR="00476AB8" w:rsidRPr="00B1332E" w:rsidRDefault="00CC2702" w:rsidP="00E41161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(THMP</w:t>
      </w:r>
      <w:r w:rsidR="007A3853" w:rsidRPr="00B1332E">
        <w:rPr>
          <w:rFonts w:asciiTheme="minorHAnsi" w:hAnsiTheme="minorHAnsi" w:cstheme="minorHAnsi"/>
          <w:sz w:val="22"/>
          <w:szCs w:val="22"/>
        </w:rPr>
        <w:t xml:space="preserve"> a </w:t>
      </w:r>
      <w:r w:rsidR="00BE5B6B" w:rsidRPr="00B1332E">
        <w:rPr>
          <w:rFonts w:asciiTheme="minorHAnsi" w:hAnsiTheme="minorHAnsi" w:cstheme="minorHAnsi"/>
          <w:sz w:val="22"/>
          <w:szCs w:val="22"/>
        </w:rPr>
        <w:t>PJ</w:t>
      </w:r>
      <w:r w:rsidR="007A3853" w:rsidRPr="00B1332E">
        <w:rPr>
          <w:rFonts w:asciiTheme="minorHAnsi" w:hAnsiTheme="minorHAnsi" w:cstheme="minorHAnsi"/>
          <w:sz w:val="22"/>
          <w:szCs w:val="22"/>
        </w:rPr>
        <w:t xml:space="preserve"> společně dále jen „</w:t>
      </w:r>
      <w:r w:rsidR="007A3853" w:rsidRPr="00B1332E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="007A3853" w:rsidRPr="00B1332E">
        <w:rPr>
          <w:rFonts w:asciiTheme="minorHAnsi" w:hAnsiTheme="minorHAnsi" w:cstheme="minorHAnsi"/>
          <w:sz w:val="22"/>
          <w:szCs w:val="22"/>
        </w:rPr>
        <w:t>“ a jednotlivě také jen „</w:t>
      </w:r>
      <w:r w:rsidR="007A3853" w:rsidRPr="00B1332E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="007A3853" w:rsidRPr="00B1332E">
        <w:rPr>
          <w:rFonts w:asciiTheme="minorHAnsi" w:hAnsiTheme="minorHAnsi" w:cstheme="minorHAnsi"/>
          <w:sz w:val="22"/>
          <w:szCs w:val="22"/>
        </w:rPr>
        <w:t>“)</w:t>
      </w:r>
    </w:p>
    <w:p w14:paraId="3BF44AEE" w14:textId="77777777" w:rsidR="00476AB8" w:rsidRPr="00B1332E" w:rsidRDefault="00476AB8" w:rsidP="00080E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D611F" w14:textId="77777777" w:rsidR="0070023C" w:rsidRDefault="0070023C" w:rsidP="00080E6C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5EB55AB" w14:textId="4C1019DF" w:rsidR="00476AB8" w:rsidRPr="00B1332E" w:rsidRDefault="00476AB8" w:rsidP="00080E6C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1332E">
        <w:rPr>
          <w:rFonts w:asciiTheme="minorHAnsi" w:hAnsiTheme="minorHAnsi" w:cstheme="minorHAnsi"/>
          <w:b/>
          <w:iCs/>
          <w:sz w:val="22"/>
          <w:szCs w:val="22"/>
        </w:rPr>
        <w:t>PREAMBULE</w:t>
      </w:r>
    </w:p>
    <w:p w14:paraId="5042465B" w14:textId="77777777" w:rsidR="00476AB8" w:rsidRPr="00B1332E" w:rsidRDefault="00476AB8" w:rsidP="007E4218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0CFBD618" w14:textId="2703866F" w:rsidR="00476AB8" w:rsidRPr="00BF779E" w:rsidRDefault="00163658" w:rsidP="0070023C">
      <w:pPr>
        <w:pStyle w:val="Odstavecseseznamem"/>
        <w:numPr>
          <w:ilvl w:val="0"/>
          <w:numId w:val="2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BF779E">
        <w:rPr>
          <w:rFonts w:asciiTheme="minorHAnsi" w:hAnsiTheme="minorHAnsi" w:cstheme="minorHAnsi"/>
          <w:sz w:val="22"/>
          <w:szCs w:val="22"/>
        </w:rPr>
        <w:t>PJ</w:t>
      </w:r>
      <w:r w:rsidR="00F83919" w:rsidRPr="00BF779E">
        <w:rPr>
          <w:rFonts w:asciiTheme="minorHAnsi" w:hAnsiTheme="minorHAnsi" w:cstheme="minorHAnsi"/>
          <w:sz w:val="22"/>
          <w:szCs w:val="22"/>
        </w:rPr>
        <w:t xml:space="preserve"> je pořadatelem </w:t>
      </w:r>
      <w:r w:rsidR="00BF779E">
        <w:rPr>
          <w:rFonts w:asciiTheme="minorHAnsi" w:hAnsiTheme="minorHAnsi" w:cstheme="minorHAnsi"/>
          <w:sz w:val="22"/>
          <w:szCs w:val="22"/>
        </w:rPr>
        <w:t xml:space="preserve">Mezinárodního </w:t>
      </w:r>
      <w:r w:rsidR="001D1532" w:rsidRPr="00BF779E">
        <w:rPr>
          <w:rFonts w:asciiTheme="minorHAnsi" w:hAnsiTheme="minorHAnsi" w:cstheme="minorHAnsi"/>
          <w:sz w:val="22"/>
          <w:szCs w:val="22"/>
        </w:rPr>
        <w:t>hudebního festivalu</w:t>
      </w:r>
      <w:r w:rsidR="003E0DF7" w:rsidRPr="00BF779E">
        <w:rPr>
          <w:rFonts w:asciiTheme="minorHAnsi" w:hAnsiTheme="minorHAnsi" w:cstheme="minorHAnsi"/>
          <w:sz w:val="22"/>
          <w:szCs w:val="22"/>
        </w:rPr>
        <w:t xml:space="preserve"> Pražské jaro ve dnech 12.5.2026 – 4.6.2026</w:t>
      </w:r>
      <w:r w:rsidR="001D1532" w:rsidRPr="00BF779E">
        <w:rPr>
          <w:rFonts w:asciiTheme="minorHAnsi" w:hAnsiTheme="minorHAnsi" w:cstheme="minorHAnsi"/>
          <w:sz w:val="22"/>
          <w:szCs w:val="22"/>
        </w:rPr>
        <w:t xml:space="preserve"> </w:t>
      </w:r>
      <w:r w:rsidR="00F83919" w:rsidRPr="00BF779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E0DF7" w:rsidRPr="00BF779E">
        <w:rPr>
          <w:rFonts w:asciiTheme="minorHAnsi" w:hAnsiTheme="minorHAnsi" w:cstheme="minorHAnsi"/>
          <w:b/>
          <w:sz w:val="22"/>
          <w:szCs w:val="22"/>
        </w:rPr>
        <w:t>festival</w:t>
      </w:r>
      <w:r w:rsidR="00F83919" w:rsidRPr="00BF779E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DA0D2CF" w14:textId="3BCB58FA" w:rsidR="00E41161" w:rsidRDefault="0020798D" w:rsidP="00E41161">
      <w:pPr>
        <w:pStyle w:val="Odstavecseseznamem"/>
        <w:numPr>
          <w:ilvl w:val="0"/>
          <w:numId w:val="2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THMP je společností, jejím</w:t>
      </w:r>
      <w:r w:rsidR="00E83539" w:rsidRPr="00B1332E">
        <w:rPr>
          <w:rFonts w:asciiTheme="minorHAnsi" w:hAnsiTheme="minorHAnsi" w:cstheme="minorHAnsi"/>
          <w:sz w:val="22"/>
          <w:szCs w:val="22"/>
        </w:rPr>
        <w:t>ž</w:t>
      </w:r>
      <w:r w:rsidRPr="00B1332E">
        <w:rPr>
          <w:rFonts w:asciiTheme="minorHAnsi" w:hAnsiTheme="minorHAnsi" w:cstheme="minorHAnsi"/>
          <w:sz w:val="22"/>
          <w:szCs w:val="22"/>
        </w:rPr>
        <w:t xml:space="preserve"> cílem </w:t>
      </w:r>
      <w:r w:rsidR="00981A93" w:rsidRPr="00B1332E">
        <w:rPr>
          <w:rFonts w:asciiTheme="minorHAnsi" w:hAnsiTheme="minorHAnsi" w:cstheme="minorHAnsi"/>
          <w:sz w:val="22"/>
          <w:szCs w:val="22"/>
        </w:rPr>
        <w:t xml:space="preserve">a úkolem </w:t>
      </w:r>
      <w:r w:rsidRPr="00B1332E">
        <w:rPr>
          <w:rFonts w:asciiTheme="minorHAnsi" w:hAnsiTheme="minorHAnsi" w:cstheme="minorHAnsi"/>
          <w:sz w:val="22"/>
          <w:szCs w:val="22"/>
        </w:rPr>
        <w:t>je zejména zajištění řádného a bezpečného provozu zařízení veřejného osvětlení</w:t>
      </w:r>
      <w:r w:rsidR="007B424F" w:rsidRPr="00B1332E">
        <w:rPr>
          <w:rFonts w:asciiTheme="minorHAnsi" w:hAnsiTheme="minorHAnsi" w:cstheme="minorHAnsi"/>
          <w:sz w:val="22"/>
          <w:szCs w:val="22"/>
        </w:rPr>
        <w:t xml:space="preserve"> (dále také jen „</w:t>
      </w:r>
      <w:r w:rsidR="007B424F" w:rsidRPr="00B1332E">
        <w:rPr>
          <w:rFonts w:asciiTheme="minorHAnsi" w:hAnsiTheme="minorHAnsi" w:cstheme="minorHAnsi"/>
          <w:b/>
          <w:bCs/>
          <w:sz w:val="22"/>
          <w:szCs w:val="22"/>
        </w:rPr>
        <w:t>VO</w:t>
      </w:r>
      <w:r w:rsidR="007B424F" w:rsidRPr="00B1332E">
        <w:rPr>
          <w:rFonts w:asciiTheme="minorHAnsi" w:hAnsiTheme="minorHAnsi" w:cstheme="minorHAnsi"/>
          <w:sz w:val="22"/>
          <w:szCs w:val="22"/>
        </w:rPr>
        <w:t>“)</w:t>
      </w:r>
      <w:r w:rsidRPr="00B1332E">
        <w:rPr>
          <w:rFonts w:asciiTheme="minorHAnsi" w:hAnsiTheme="minorHAnsi" w:cstheme="minorHAnsi"/>
          <w:sz w:val="22"/>
          <w:szCs w:val="22"/>
        </w:rPr>
        <w:t xml:space="preserve"> a souvisejících technologií v hlavním městě Praha, čímž plní povinnosti vyplývající ji z rámcové smlouvy uzavřené s Magistrátem hlavního města Prahy</w:t>
      </w:r>
      <w:r w:rsidR="00A441DB" w:rsidRPr="00B1332E">
        <w:rPr>
          <w:rFonts w:asciiTheme="minorHAnsi" w:hAnsiTheme="minorHAnsi" w:cstheme="minorHAnsi"/>
          <w:sz w:val="22"/>
          <w:szCs w:val="22"/>
        </w:rPr>
        <w:t>, jako jediným akcionářem THMP</w:t>
      </w:r>
      <w:r w:rsidRPr="00B1332E">
        <w:rPr>
          <w:rFonts w:asciiTheme="minorHAnsi" w:hAnsiTheme="minorHAnsi" w:cstheme="minorHAnsi"/>
          <w:sz w:val="22"/>
          <w:szCs w:val="22"/>
        </w:rPr>
        <w:t>.</w:t>
      </w:r>
    </w:p>
    <w:p w14:paraId="79F1F40B" w14:textId="77777777" w:rsidR="00BF779E" w:rsidRPr="00B1332E" w:rsidRDefault="00BF779E" w:rsidP="0070023C">
      <w:pPr>
        <w:pStyle w:val="Odstavecseseznamem"/>
        <w:ind w:left="567"/>
        <w:rPr>
          <w:rFonts w:asciiTheme="minorHAnsi" w:hAnsiTheme="minorHAnsi" w:cstheme="minorHAnsi"/>
          <w:sz w:val="22"/>
          <w:szCs w:val="22"/>
        </w:rPr>
      </w:pPr>
    </w:p>
    <w:p w14:paraId="7EB95FCA" w14:textId="77777777" w:rsidR="00476AB8" w:rsidRPr="00B1332E" w:rsidRDefault="00476AB8" w:rsidP="00E40D6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289CCBBC" w14:textId="77777777" w:rsidR="00476AB8" w:rsidRPr="00B1332E" w:rsidRDefault="00476AB8" w:rsidP="00E40D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2240AECF" w14:textId="77777777" w:rsidR="00476AB8" w:rsidRPr="00B1332E" w:rsidRDefault="00476AB8" w:rsidP="00E40D63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7F07ED" w14:textId="2485C4CE" w:rsidR="00476AB8" w:rsidRPr="00B1332E" w:rsidRDefault="00476AB8" w:rsidP="00AA47B9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Předmětem </w:t>
      </w:r>
      <w:r w:rsidR="00981A93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této 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Smlouvy je vymezení rozsahu spolupráce </w:t>
      </w:r>
      <w:r w:rsidR="00981A93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mezi </w:t>
      </w:r>
      <w:r w:rsidR="007B5DB4" w:rsidRPr="00B1332E">
        <w:rPr>
          <w:rFonts w:asciiTheme="minorHAnsi" w:hAnsiTheme="minorHAnsi" w:cstheme="minorHAnsi"/>
          <w:bCs/>
          <w:iCs/>
          <w:sz w:val="22"/>
          <w:szCs w:val="22"/>
        </w:rPr>
        <w:t>THMP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 w:rsidR="007E4218" w:rsidRPr="00B1332E">
        <w:rPr>
          <w:rFonts w:asciiTheme="minorHAnsi" w:hAnsiTheme="minorHAnsi" w:cstheme="minorHAnsi"/>
          <w:bCs/>
          <w:iCs/>
          <w:sz w:val="22"/>
          <w:szCs w:val="22"/>
        </w:rPr>
        <w:t>PJ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vedoucí k efektivní prop</w:t>
      </w:r>
      <w:r w:rsidR="0032766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agaci značky a produktů </w:t>
      </w:r>
      <w:r w:rsidR="007B5DB4" w:rsidRPr="00B1332E">
        <w:rPr>
          <w:rFonts w:asciiTheme="minorHAnsi" w:hAnsiTheme="minorHAnsi" w:cstheme="minorHAnsi"/>
          <w:bCs/>
          <w:iCs/>
          <w:sz w:val="22"/>
          <w:szCs w:val="22"/>
        </w:rPr>
        <w:t>THMP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v souvislosti s</w:t>
      </w:r>
      <w:r w:rsidR="007E4218" w:rsidRPr="00B1332E">
        <w:rPr>
          <w:rFonts w:asciiTheme="minorHAnsi" w:hAnsiTheme="minorHAnsi" w:cstheme="minorHAnsi"/>
          <w:bCs/>
          <w:iCs/>
          <w:sz w:val="22"/>
          <w:szCs w:val="22"/>
        </w:rPr>
        <w:t> pořádaným festivalem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po dobu trvání 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Smlouvy</w:t>
      </w:r>
      <w:r w:rsidR="00981A93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a zároveň propagace </w:t>
      </w:r>
      <w:r w:rsidR="007E4218" w:rsidRPr="00B1332E">
        <w:rPr>
          <w:rFonts w:asciiTheme="minorHAnsi" w:hAnsiTheme="minorHAnsi" w:cstheme="minorHAnsi"/>
          <w:bCs/>
          <w:iCs/>
          <w:sz w:val="22"/>
          <w:szCs w:val="22"/>
        </w:rPr>
        <w:t>PJ</w:t>
      </w:r>
      <w:r w:rsidR="00981A93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81A93" w:rsidRPr="00B1332E">
        <w:rPr>
          <w:rFonts w:asciiTheme="minorHAnsi" w:hAnsiTheme="minorHAnsi" w:cstheme="minorHAnsi"/>
          <w:sz w:val="22"/>
          <w:szCs w:val="22"/>
        </w:rPr>
        <w:t>na vlastních produktech a propagačních materiálech THMP po dobu trvání této Smlouvy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, a to v rozsahu a za podmínek </w:t>
      </w:r>
      <w:r w:rsidR="004F2002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níže 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vymezených </w:t>
      </w:r>
      <w:r w:rsidR="004F2002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touto </w:t>
      </w:r>
      <w:r w:rsidRPr="00B1332E">
        <w:rPr>
          <w:rFonts w:asciiTheme="minorHAnsi" w:hAnsiTheme="minorHAnsi" w:cstheme="minorHAnsi"/>
          <w:bCs/>
          <w:iCs/>
          <w:sz w:val="22"/>
          <w:szCs w:val="22"/>
        </w:rPr>
        <w:t>Smlouvou.</w:t>
      </w:r>
    </w:p>
    <w:p w14:paraId="647810DC" w14:textId="3F9D9D4D" w:rsidR="00476AB8" w:rsidRPr="00B1332E" w:rsidRDefault="007E4218" w:rsidP="00AA47B9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1332E">
        <w:rPr>
          <w:rFonts w:asciiTheme="minorHAnsi" w:hAnsiTheme="minorHAnsi" w:cstheme="minorHAnsi"/>
          <w:bCs/>
          <w:iCs/>
          <w:sz w:val="22"/>
          <w:szCs w:val="22"/>
        </w:rPr>
        <w:t>PJ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se zavazuje po dobu trvání Smlouvy zajistit reklamu</w:t>
      </w:r>
      <w:r w:rsidR="0015236F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a propagaci </w:t>
      </w:r>
      <w:r w:rsidR="0032766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společnosti </w:t>
      </w:r>
      <w:r w:rsidR="007B5DB4" w:rsidRPr="00B1332E">
        <w:rPr>
          <w:rFonts w:asciiTheme="minorHAnsi" w:hAnsiTheme="minorHAnsi" w:cstheme="minorHAnsi"/>
          <w:bCs/>
          <w:iCs/>
          <w:sz w:val="22"/>
          <w:szCs w:val="22"/>
        </w:rPr>
        <w:t>THMP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v rozsahu a za podmínek dále stanovených Smlouvou.</w:t>
      </w:r>
    </w:p>
    <w:p w14:paraId="3DDE0808" w14:textId="1151BBFB" w:rsidR="00476AB8" w:rsidRPr="00B1332E" w:rsidRDefault="007B5DB4" w:rsidP="00AA47B9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1332E">
        <w:rPr>
          <w:rFonts w:asciiTheme="minorHAnsi" w:hAnsiTheme="minorHAnsi" w:cstheme="minorHAnsi"/>
          <w:bCs/>
          <w:iCs/>
          <w:sz w:val="22"/>
          <w:szCs w:val="22"/>
        </w:rPr>
        <w:t>THMP</w:t>
      </w:r>
      <w:r w:rsidR="0032766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se </w:t>
      </w:r>
      <w:r w:rsidR="0032766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zavazuje na základě plnění </w:t>
      </w:r>
      <w:r w:rsidR="007E4218" w:rsidRPr="00B1332E">
        <w:rPr>
          <w:rFonts w:asciiTheme="minorHAnsi" w:hAnsiTheme="minorHAnsi" w:cstheme="minorHAnsi"/>
          <w:bCs/>
          <w:iCs/>
          <w:sz w:val="22"/>
          <w:szCs w:val="22"/>
        </w:rPr>
        <w:t>PJ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uvedeného v </w:t>
      </w:r>
      <w:r w:rsidR="0032766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čl. II Smlouvy, poskytnout </w:t>
      </w:r>
      <w:r w:rsidR="007E4218" w:rsidRPr="00B1332E">
        <w:rPr>
          <w:rFonts w:asciiTheme="minorHAnsi" w:hAnsiTheme="minorHAnsi" w:cstheme="minorHAnsi"/>
          <w:bCs/>
          <w:iCs/>
          <w:sz w:val="22"/>
          <w:szCs w:val="22"/>
        </w:rPr>
        <w:t>PJ</w:t>
      </w:r>
      <w:r w:rsidR="00476AB8" w:rsidRPr="00B1332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76AB8" w:rsidRPr="00B1332E">
        <w:rPr>
          <w:rFonts w:asciiTheme="minorHAnsi" w:hAnsiTheme="minorHAnsi" w:cstheme="minorHAnsi"/>
          <w:sz w:val="22"/>
          <w:szCs w:val="22"/>
        </w:rPr>
        <w:t>plnění specifikované v č</w:t>
      </w:r>
      <w:r w:rsidR="00F966E3" w:rsidRPr="00B1332E">
        <w:rPr>
          <w:rFonts w:asciiTheme="minorHAnsi" w:hAnsiTheme="minorHAnsi" w:cstheme="minorHAnsi"/>
          <w:sz w:val="22"/>
          <w:szCs w:val="22"/>
        </w:rPr>
        <w:t>l</w:t>
      </w:r>
      <w:r w:rsidR="00476AB8" w:rsidRPr="00B1332E">
        <w:rPr>
          <w:rFonts w:asciiTheme="minorHAnsi" w:hAnsiTheme="minorHAnsi" w:cstheme="minorHAnsi"/>
          <w:sz w:val="22"/>
          <w:szCs w:val="22"/>
        </w:rPr>
        <w:t>. III Smlouvy.</w:t>
      </w:r>
    </w:p>
    <w:p w14:paraId="61D03EA9" w14:textId="77777777" w:rsidR="002759E3" w:rsidRPr="00B1332E" w:rsidRDefault="002759E3" w:rsidP="007E4218">
      <w:pPr>
        <w:rPr>
          <w:rFonts w:asciiTheme="minorHAnsi" w:hAnsiTheme="minorHAnsi" w:cstheme="minorHAnsi"/>
          <w:caps/>
          <w:sz w:val="22"/>
          <w:szCs w:val="22"/>
        </w:rPr>
      </w:pPr>
    </w:p>
    <w:p w14:paraId="761D585B" w14:textId="1DD5FB85" w:rsidR="00E40D63" w:rsidRPr="00B1332E" w:rsidRDefault="00E40D63" w:rsidP="00E40D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42CF64F" w14:textId="7AE60AFB" w:rsidR="007E4218" w:rsidRPr="00B1332E" w:rsidRDefault="00E40D63" w:rsidP="00E40D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ZÁVAZKY SMLUVNÍCH STRAN</w:t>
      </w:r>
    </w:p>
    <w:p w14:paraId="7BF2265D" w14:textId="77777777" w:rsidR="007E4218" w:rsidRPr="00B1332E" w:rsidRDefault="007E4218" w:rsidP="007E4218">
      <w:pPr>
        <w:rPr>
          <w:rFonts w:asciiTheme="minorHAnsi" w:hAnsiTheme="minorHAnsi" w:cstheme="minorHAnsi"/>
          <w:sz w:val="22"/>
          <w:szCs w:val="22"/>
        </w:rPr>
      </w:pPr>
    </w:p>
    <w:p w14:paraId="6ED62DB5" w14:textId="3EB2E667" w:rsidR="000C5041" w:rsidRPr="00B1332E" w:rsidRDefault="007E4218" w:rsidP="0070023C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P</w:t>
      </w:r>
      <w:r w:rsidR="00E40D63" w:rsidRPr="00B1332E">
        <w:rPr>
          <w:rFonts w:asciiTheme="minorHAnsi" w:hAnsiTheme="minorHAnsi" w:cstheme="minorHAnsi"/>
          <w:sz w:val="22"/>
          <w:szCs w:val="22"/>
        </w:rPr>
        <w:t>J</w:t>
      </w:r>
      <w:r w:rsidRPr="00B1332E">
        <w:rPr>
          <w:rFonts w:asciiTheme="minorHAnsi" w:hAnsiTheme="minorHAnsi" w:cstheme="minorHAnsi"/>
          <w:sz w:val="22"/>
          <w:szCs w:val="22"/>
        </w:rPr>
        <w:t xml:space="preserve"> se zavazuje pro </w:t>
      </w:r>
      <w:r w:rsidR="00E40D63" w:rsidRPr="00B1332E">
        <w:rPr>
          <w:rFonts w:asciiTheme="minorHAnsi" w:hAnsiTheme="minorHAnsi" w:cstheme="minorHAnsi"/>
          <w:sz w:val="22"/>
          <w:szCs w:val="22"/>
        </w:rPr>
        <w:t xml:space="preserve">THMP </w:t>
      </w:r>
      <w:r w:rsidRPr="00B1332E">
        <w:rPr>
          <w:rFonts w:asciiTheme="minorHAnsi" w:hAnsiTheme="minorHAnsi" w:cstheme="minorHAnsi"/>
          <w:sz w:val="22"/>
          <w:szCs w:val="22"/>
        </w:rPr>
        <w:t>zajistit</w:t>
      </w:r>
      <w:r w:rsidR="00E40D63" w:rsidRPr="00B1332E">
        <w:rPr>
          <w:rFonts w:asciiTheme="minorHAnsi" w:hAnsiTheme="minorHAnsi" w:cstheme="minorHAnsi"/>
          <w:sz w:val="22"/>
          <w:szCs w:val="22"/>
        </w:rPr>
        <w:t xml:space="preserve"> plnění dle Přílohy č. 1 této Smlouvy</w:t>
      </w:r>
    </w:p>
    <w:p w14:paraId="173BC556" w14:textId="057CBD24" w:rsidR="007E4218" w:rsidRPr="0070023C" w:rsidRDefault="00E40D63" w:rsidP="0070023C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THMP </w:t>
      </w:r>
      <w:r w:rsidR="007E4218" w:rsidRPr="00B1332E">
        <w:rPr>
          <w:rFonts w:asciiTheme="minorHAnsi" w:hAnsiTheme="minorHAnsi" w:cstheme="minorHAnsi"/>
          <w:sz w:val="22"/>
          <w:szCs w:val="22"/>
        </w:rPr>
        <w:t>se zavazuje</w:t>
      </w:r>
      <w:r w:rsidRPr="00B1332E">
        <w:rPr>
          <w:rFonts w:asciiTheme="minorHAnsi" w:hAnsiTheme="minorHAnsi" w:cstheme="minorHAnsi"/>
          <w:sz w:val="22"/>
          <w:szCs w:val="22"/>
        </w:rPr>
        <w:t xml:space="preserve"> zajistit plnění – propagaci PJ ve formě umístění vlajek </w:t>
      </w:r>
      <w:r w:rsidR="00AA47B9" w:rsidRPr="00B1332E">
        <w:rPr>
          <w:rFonts w:asciiTheme="minorHAnsi" w:hAnsiTheme="minorHAnsi" w:cstheme="minorHAnsi"/>
          <w:sz w:val="22"/>
          <w:szCs w:val="22"/>
        </w:rPr>
        <w:t xml:space="preserve">(vzhled vlajek je uveden v Příloze č. 3 této Smlouvy) </w:t>
      </w:r>
      <w:r w:rsidRPr="00B1332E">
        <w:rPr>
          <w:rFonts w:asciiTheme="minorHAnsi" w:hAnsiTheme="minorHAnsi" w:cstheme="minorHAnsi"/>
          <w:sz w:val="22"/>
          <w:szCs w:val="22"/>
        </w:rPr>
        <w:t xml:space="preserve">na stožárech </w:t>
      </w:r>
      <w:r w:rsidR="007B424F" w:rsidRPr="00B1332E">
        <w:rPr>
          <w:rFonts w:asciiTheme="minorHAnsi" w:hAnsiTheme="minorHAnsi" w:cstheme="minorHAnsi"/>
          <w:sz w:val="22"/>
          <w:szCs w:val="22"/>
        </w:rPr>
        <w:t>VO</w:t>
      </w:r>
      <w:r w:rsidRPr="00B1332E">
        <w:rPr>
          <w:rFonts w:asciiTheme="minorHAnsi" w:hAnsiTheme="minorHAnsi" w:cstheme="minorHAnsi"/>
          <w:sz w:val="22"/>
          <w:szCs w:val="22"/>
        </w:rPr>
        <w:t xml:space="preserve"> v počtu 100 Ks v období konání festivalu. Seznam stožárů je uveden v Příloze č. 2 této Smlo</w:t>
      </w:r>
      <w:r w:rsidR="007B424F" w:rsidRPr="00B1332E">
        <w:rPr>
          <w:rFonts w:asciiTheme="minorHAnsi" w:hAnsiTheme="minorHAnsi" w:cstheme="minorHAnsi"/>
          <w:sz w:val="22"/>
          <w:szCs w:val="22"/>
        </w:rPr>
        <w:t>u</w:t>
      </w:r>
      <w:r w:rsidRPr="00B1332E">
        <w:rPr>
          <w:rFonts w:asciiTheme="minorHAnsi" w:hAnsiTheme="minorHAnsi" w:cstheme="minorHAnsi"/>
          <w:sz w:val="22"/>
          <w:szCs w:val="22"/>
        </w:rPr>
        <w:t>vy.</w:t>
      </w:r>
      <w:r w:rsidR="00BF779E">
        <w:rPr>
          <w:rFonts w:asciiTheme="minorHAnsi" w:hAnsiTheme="minorHAnsi" w:cstheme="minorHAnsi"/>
          <w:sz w:val="22"/>
          <w:szCs w:val="22"/>
        </w:rPr>
        <w:t xml:space="preserve"> </w:t>
      </w:r>
      <w:r w:rsidR="00BF779E" w:rsidRPr="00B1332E">
        <w:rPr>
          <w:rFonts w:asciiTheme="minorHAnsi" w:hAnsiTheme="minorHAnsi" w:cstheme="minorHAnsi"/>
          <w:sz w:val="22"/>
          <w:szCs w:val="22"/>
        </w:rPr>
        <w:t>Instalace vlajek bude probíhat 11. 5. 2026 a následná deinstalace 5. 6. 2025. Předání vlajek proběhne v sídle spol. THMP</w:t>
      </w:r>
      <w:r w:rsidR="00BF779E">
        <w:rPr>
          <w:rFonts w:asciiTheme="minorHAnsi" w:hAnsiTheme="minorHAnsi" w:cstheme="minorHAnsi"/>
          <w:sz w:val="22"/>
          <w:szCs w:val="22"/>
        </w:rPr>
        <w:t>. A dále zajistit nasvícení Petřínské rozhledny modrou barvou v den zahájení festivalu, tj. 12. 5. 2026.</w:t>
      </w:r>
    </w:p>
    <w:p w14:paraId="6CAF520E" w14:textId="77777777" w:rsidR="0070023C" w:rsidRDefault="0070023C" w:rsidP="0070023C">
      <w:pPr>
        <w:pStyle w:val="Odstavecseseznamem"/>
        <w:shd w:val="clear" w:color="auto" w:fill="FFFFFF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F37B4" w14:textId="227E91E2" w:rsidR="00786607" w:rsidRPr="00B1332E" w:rsidRDefault="00786607" w:rsidP="0070023C">
      <w:pPr>
        <w:pStyle w:val="Odstavecseseznamem"/>
        <w:shd w:val="clear" w:color="auto" w:fill="FFFFFF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Plnění THMP vč. rozpadu ceny: </w:t>
      </w:r>
    </w:p>
    <w:p w14:paraId="7111ED51" w14:textId="77FF2660" w:rsidR="00786607" w:rsidRPr="00B1332E" w:rsidRDefault="00786607" w:rsidP="00786607">
      <w:pPr>
        <w:pStyle w:val="Odstavecseseznamem"/>
        <w:numPr>
          <w:ilvl w:val="0"/>
          <w:numId w:val="3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instalace </w:t>
      </w:r>
      <w:proofErr w:type="gramStart"/>
      <w:r w:rsidRPr="00B1332E">
        <w:rPr>
          <w:rFonts w:asciiTheme="minorHAnsi" w:hAnsiTheme="minorHAnsi" w:cstheme="minorHAnsi"/>
          <w:color w:val="000000"/>
          <w:sz w:val="22"/>
          <w:szCs w:val="22"/>
        </w:rPr>
        <w:t>vlajky - stožár</w:t>
      </w:r>
      <w:proofErr w:type="gramEnd"/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 VO á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,- Kč =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>,- Kč</w:t>
      </w:r>
    </w:p>
    <w:p w14:paraId="57CA2267" w14:textId="70B17885" w:rsidR="00786607" w:rsidRPr="00B1332E" w:rsidRDefault="00786607" w:rsidP="00786607">
      <w:pPr>
        <w:pStyle w:val="Odstavecseseznamem"/>
        <w:numPr>
          <w:ilvl w:val="0"/>
          <w:numId w:val="3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deinstalace </w:t>
      </w:r>
      <w:proofErr w:type="gramStart"/>
      <w:r w:rsidRPr="00B1332E">
        <w:rPr>
          <w:rFonts w:asciiTheme="minorHAnsi" w:hAnsiTheme="minorHAnsi" w:cstheme="minorHAnsi"/>
          <w:color w:val="000000"/>
          <w:sz w:val="22"/>
          <w:szCs w:val="22"/>
        </w:rPr>
        <w:t>vlajky - stožár</w:t>
      </w:r>
      <w:proofErr w:type="gramEnd"/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 VO á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,- Kč =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>,- Kč</w:t>
      </w:r>
    </w:p>
    <w:p w14:paraId="0096AB81" w14:textId="731713F1" w:rsidR="00786607" w:rsidRPr="00B1332E" w:rsidRDefault="00786607" w:rsidP="00786607">
      <w:pPr>
        <w:pStyle w:val="Odstavecseseznamem"/>
        <w:numPr>
          <w:ilvl w:val="0"/>
          <w:numId w:val="32"/>
        </w:numPr>
        <w:shd w:val="clear" w:color="auto" w:fill="FFFFFF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nájemné (24 dnů) - stožár á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 xml:space="preserve">,- Kč = </w:t>
      </w:r>
      <w:proofErr w:type="spellStart"/>
      <w:r w:rsidR="0054566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B1332E">
        <w:rPr>
          <w:rFonts w:asciiTheme="minorHAnsi" w:hAnsiTheme="minorHAnsi" w:cstheme="minorHAnsi"/>
          <w:color w:val="000000"/>
          <w:sz w:val="22"/>
          <w:szCs w:val="22"/>
        </w:rPr>
        <w:t>,- Kč</w:t>
      </w:r>
    </w:p>
    <w:p w14:paraId="55517DFB" w14:textId="77777777" w:rsidR="00E40D63" w:rsidRPr="00B1332E" w:rsidRDefault="00E40D63" w:rsidP="00E40D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07912" w14:textId="78043AD2" w:rsidR="001242F0" w:rsidRPr="00B1332E" w:rsidRDefault="001242F0" w:rsidP="00E40D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38E16701" w14:textId="77777777" w:rsidR="001242F0" w:rsidRPr="00B1332E" w:rsidRDefault="001242F0" w:rsidP="00E40D6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Cena a platební podmínky</w:t>
      </w:r>
    </w:p>
    <w:p w14:paraId="3228FEED" w14:textId="77777777" w:rsidR="006E70D0" w:rsidRPr="00B1332E" w:rsidRDefault="006E70D0" w:rsidP="00E40D6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3A39656F" w14:textId="3FA0713C" w:rsidR="001242F0" w:rsidRPr="00B1332E" w:rsidRDefault="001242F0" w:rsidP="006E70D0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Obě strany se dohodly na vzájemné výměně služeb</w:t>
      </w:r>
      <w:r w:rsidR="00912EE7" w:rsidRPr="00B1332E">
        <w:rPr>
          <w:rFonts w:asciiTheme="minorHAnsi" w:hAnsiTheme="minorHAnsi" w:cstheme="minorHAnsi"/>
          <w:sz w:val="22"/>
          <w:szCs w:val="22"/>
        </w:rPr>
        <w:t>, resp. započtení</w:t>
      </w:r>
      <w:r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6E70D0" w:rsidRPr="00B1332E">
        <w:rPr>
          <w:rFonts w:asciiTheme="minorHAnsi" w:hAnsiTheme="minorHAnsi" w:cstheme="minorHAnsi"/>
          <w:sz w:val="22"/>
          <w:szCs w:val="22"/>
        </w:rPr>
        <w:t xml:space="preserve">ceny plnění </w:t>
      </w:r>
      <w:r w:rsidRPr="00B1332E">
        <w:rPr>
          <w:rFonts w:asciiTheme="minorHAnsi" w:hAnsiTheme="minorHAnsi" w:cstheme="minorHAnsi"/>
          <w:sz w:val="22"/>
          <w:szCs w:val="22"/>
        </w:rPr>
        <w:t xml:space="preserve">uvedených v Přílohách </w:t>
      </w:r>
      <w:r w:rsidR="007E510D" w:rsidRPr="00B1332E">
        <w:rPr>
          <w:rFonts w:asciiTheme="minorHAnsi" w:hAnsiTheme="minorHAnsi" w:cstheme="minorHAnsi"/>
          <w:sz w:val="22"/>
          <w:szCs w:val="22"/>
        </w:rPr>
        <w:t xml:space="preserve">č. </w:t>
      </w:r>
      <w:r w:rsidR="006E70D0" w:rsidRPr="00B1332E">
        <w:rPr>
          <w:rFonts w:asciiTheme="minorHAnsi" w:hAnsiTheme="minorHAnsi" w:cstheme="minorHAnsi"/>
          <w:sz w:val="22"/>
          <w:szCs w:val="22"/>
        </w:rPr>
        <w:t>1</w:t>
      </w:r>
      <w:r w:rsidRPr="00B1332E">
        <w:rPr>
          <w:rFonts w:asciiTheme="minorHAnsi" w:hAnsiTheme="minorHAnsi" w:cstheme="minorHAnsi"/>
          <w:sz w:val="22"/>
          <w:szCs w:val="22"/>
        </w:rPr>
        <w:t xml:space="preserve"> a </w:t>
      </w:r>
      <w:r w:rsidR="006E70D0" w:rsidRPr="00B1332E">
        <w:rPr>
          <w:rFonts w:asciiTheme="minorHAnsi" w:hAnsiTheme="minorHAnsi" w:cstheme="minorHAnsi"/>
          <w:sz w:val="22"/>
          <w:szCs w:val="22"/>
        </w:rPr>
        <w:t>2</w:t>
      </w:r>
      <w:r w:rsidRPr="00B1332E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0D5BE03C" w14:textId="1D70B472" w:rsidR="00D13F0F" w:rsidRPr="00B1332E" w:rsidRDefault="00864C28" w:rsidP="006E70D0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Ceny vzájemných plnění </w:t>
      </w:r>
      <w:r w:rsidR="006E70D0" w:rsidRPr="00B1332E">
        <w:rPr>
          <w:rFonts w:asciiTheme="minorHAnsi" w:hAnsiTheme="minorHAnsi" w:cstheme="minorHAnsi"/>
          <w:sz w:val="22"/>
          <w:szCs w:val="22"/>
        </w:rPr>
        <w:t>PJ</w:t>
      </w:r>
      <w:r w:rsidRPr="00B1332E">
        <w:rPr>
          <w:rFonts w:asciiTheme="minorHAnsi" w:hAnsiTheme="minorHAnsi" w:cstheme="minorHAnsi"/>
          <w:sz w:val="22"/>
          <w:szCs w:val="22"/>
        </w:rPr>
        <w:t xml:space="preserve"> a </w:t>
      </w:r>
      <w:r w:rsidR="007B5DB4" w:rsidRPr="00B1332E">
        <w:rPr>
          <w:rFonts w:asciiTheme="minorHAnsi" w:hAnsiTheme="minorHAnsi" w:cstheme="minorHAnsi"/>
          <w:sz w:val="22"/>
          <w:szCs w:val="22"/>
        </w:rPr>
        <w:t>THMP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po dobu trvání Smlouvy představují částk</w:t>
      </w:r>
      <w:r w:rsidR="007D406F" w:rsidRPr="00B1332E">
        <w:rPr>
          <w:rFonts w:asciiTheme="minorHAnsi" w:hAnsiTheme="minorHAnsi" w:cstheme="minorHAnsi"/>
          <w:sz w:val="22"/>
          <w:szCs w:val="22"/>
        </w:rPr>
        <w:t>u</w:t>
      </w:r>
      <w:r w:rsidR="003D0DF7" w:rsidRPr="00B1332E">
        <w:rPr>
          <w:rFonts w:asciiTheme="minorHAnsi" w:hAnsiTheme="minorHAnsi" w:cstheme="minorHAnsi"/>
          <w:sz w:val="22"/>
          <w:szCs w:val="22"/>
        </w:rPr>
        <w:t xml:space="preserve"> ve výši</w:t>
      </w:r>
      <w:r w:rsidR="00C73F83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3765F4" w:rsidRPr="00B1332E">
        <w:rPr>
          <w:rFonts w:asciiTheme="minorHAnsi" w:hAnsiTheme="minorHAnsi" w:cstheme="minorHAnsi"/>
          <w:sz w:val="22"/>
          <w:szCs w:val="22"/>
        </w:rPr>
        <w:t xml:space="preserve">112.000,- </w:t>
      </w:r>
      <w:r w:rsidR="0023100E" w:rsidRPr="00B1332E">
        <w:rPr>
          <w:rFonts w:asciiTheme="minorHAnsi" w:hAnsiTheme="minorHAnsi" w:cstheme="minorHAnsi"/>
          <w:sz w:val="22"/>
          <w:szCs w:val="22"/>
        </w:rPr>
        <w:t xml:space="preserve">Kč </w:t>
      </w:r>
      <w:r w:rsidR="007B5DB4" w:rsidRPr="00B1332E">
        <w:rPr>
          <w:rFonts w:asciiTheme="minorHAnsi" w:hAnsiTheme="minorHAnsi" w:cstheme="minorHAnsi"/>
          <w:sz w:val="22"/>
          <w:szCs w:val="22"/>
        </w:rPr>
        <w:t>(</w:t>
      </w:r>
      <w:r w:rsidR="00792903" w:rsidRPr="00B1332E">
        <w:rPr>
          <w:rFonts w:asciiTheme="minorHAnsi" w:hAnsiTheme="minorHAnsi" w:cstheme="minorHAnsi"/>
          <w:sz w:val="22"/>
          <w:szCs w:val="22"/>
        </w:rPr>
        <w:t xml:space="preserve">slovy: </w:t>
      </w:r>
      <w:r w:rsidR="00FB3841" w:rsidRPr="00B1332E">
        <w:rPr>
          <w:rFonts w:asciiTheme="minorHAnsi" w:hAnsiTheme="minorHAnsi" w:cstheme="minorHAnsi"/>
          <w:sz w:val="22"/>
          <w:szCs w:val="22"/>
        </w:rPr>
        <w:t>jedno</w:t>
      </w:r>
      <w:r w:rsidR="00912EE7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20798D" w:rsidRPr="00B1332E">
        <w:rPr>
          <w:rFonts w:asciiTheme="minorHAnsi" w:hAnsiTheme="minorHAnsi" w:cstheme="minorHAnsi"/>
          <w:sz w:val="22"/>
          <w:szCs w:val="22"/>
        </w:rPr>
        <w:t>sto</w:t>
      </w:r>
      <w:r w:rsidR="00912EE7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3765F4" w:rsidRPr="00B1332E">
        <w:rPr>
          <w:rFonts w:asciiTheme="minorHAnsi" w:hAnsiTheme="minorHAnsi" w:cstheme="minorHAnsi"/>
          <w:sz w:val="22"/>
          <w:szCs w:val="22"/>
        </w:rPr>
        <w:t>dvanáct tisíc</w:t>
      </w:r>
      <w:r w:rsidR="0020798D" w:rsidRPr="00B1332E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7D406F" w:rsidRPr="00B1332E">
        <w:rPr>
          <w:rFonts w:asciiTheme="minorHAnsi" w:hAnsiTheme="minorHAnsi" w:cstheme="minorHAnsi"/>
          <w:sz w:val="22"/>
          <w:szCs w:val="22"/>
        </w:rPr>
        <w:t>)</w:t>
      </w:r>
      <w:r w:rsidR="0020798D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BC0AE1" w:rsidRPr="00B1332E">
        <w:rPr>
          <w:rFonts w:asciiTheme="minorHAnsi" w:hAnsiTheme="minorHAnsi" w:cstheme="minorHAnsi"/>
          <w:sz w:val="22"/>
          <w:szCs w:val="22"/>
        </w:rPr>
        <w:t>bez</w:t>
      </w:r>
      <w:r w:rsidR="0023100E" w:rsidRPr="00B1332E">
        <w:rPr>
          <w:rFonts w:asciiTheme="minorHAnsi" w:hAnsiTheme="minorHAnsi" w:cstheme="minorHAnsi"/>
          <w:sz w:val="22"/>
          <w:szCs w:val="22"/>
        </w:rPr>
        <w:t xml:space="preserve"> DPH</w:t>
      </w:r>
      <w:r w:rsidR="003D0DF7" w:rsidRPr="00B1332E">
        <w:rPr>
          <w:rFonts w:asciiTheme="minorHAnsi" w:hAnsiTheme="minorHAnsi" w:cstheme="minorHAnsi"/>
          <w:sz w:val="22"/>
          <w:szCs w:val="22"/>
        </w:rPr>
        <w:t>.</w:t>
      </w:r>
      <w:r w:rsidR="0023100E" w:rsidRPr="00B133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EF46F" w14:textId="4AAB1BD2" w:rsidR="001242F0" w:rsidRPr="00B1332E" w:rsidRDefault="007B5DB4" w:rsidP="006E70D0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THMP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vystaví </w:t>
      </w:r>
      <w:r w:rsidR="003765F4" w:rsidRPr="00B1332E">
        <w:rPr>
          <w:rFonts w:asciiTheme="minorHAnsi" w:hAnsiTheme="minorHAnsi" w:cstheme="minorHAnsi"/>
          <w:sz w:val="22"/>
          <w:szCs w:val="22"/>
        </w:rPr>
        <w:t>PJ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za poskytnutá plnění dle Článku II</w:t>
      </w:r>
      <w:r w:rsidR="003765F4" w:rsidRPr="00B1332E">
        <w:rPr>
          <w:rFonts w:asciiTheme="minorHAnsi" w:hAnsiTheme="minorHAnsi" w:cstheme="minorHAnsi"/>
          <w:sz w:val="22"/>
          <w:szCs w:val="22"/>
        </w:rPr>
        <w:t>.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Smlouvy daňový doklad – fakturu s označením „reciproce – neproplácet“. </w:t>
      </w:r>
      <w:r w:rsidR="003765F4" w:rsidRPr="00B1332E">
        <w:rPr>
          <w:rFonts w:asciiTheme="minorHAnsi" w:hAnsiTheme="minorHAnsi" w:cstheme="minorHAnsi"/>
          <w:sz w:val="22"/>
          <w:szCs w:val="22"/>
        </w:rPr>
        <w:t>PJ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po obdržení faktury ze strany </w:t>
      </w:r>
      <w:r w:rsidRPr="00B1332E">
        <w:rPr>
          <w:rFonts w:asciiTheme="minorHAnsi" w:hAnsiTheme="minorHAnsi" w:cstheme="minorHAnsi"/>
          <w:sz w:val="22"/>
          <w:szCs w:val="22"/>
        </w:rPr>
        <w:t>THMP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vystaví reciproční </w:t>
      </w:r>
      <w:proofErr w:type="gramStart"/>
      <w:r w:rsidR="001242F0" w:rsidRPr="00B1332E">
        <w:rPr>
          <w:rFonts w:asciiTheme="minorHAnsi" w:hAnsiTheme="minorHAnsi" w:cstheme="minorHAnsi"/>
          <w:sz w:val="22"/>
          <w:szCs w:val="22"/>
        </w:rPr>
        <w:t>fakturu</w:t>
      </w:r>
      <w:r w:rsidR="00916B0E">
        <w:rPr>
          <w:rFonts w:asciiTheme="minorHAnsi" w:hAnsiTheme="minorHAnsi" w:cstheme="minorHAnsi"/>
          <w:sz w:val="22"/>
          <w:szCs w:val="22"/>
        </w:rPr>
        <w:t>- daňový</w:t>
      </w:r>
      <w:proofErr w:type="gramEnd"/>
      <w:r w:rsidR="00916B0E">
        <w:rPr>
          <w:rFonts w:asciiTheme="minorHAnsi" w:hAnsiTheme="minorHAnsi" w:cstheme="minorHAnsi"/>
          <w:sz w:val="22"/>
          <w:szCs w:val="22"/>
        </w:rPr>
        <w:t xml:space="preserve"> doklad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85617D" w:rsidRPr="00B1332E">
        <w:rPr>
          <w:rFonts w:asciiTheme="minorHAnsi" w:hAnsiTheme="minorHAnsi" w:cstheme="minorHAnsi"/>
          <w:sz w:val="22"/>
          <w:szCs w:val="22"/>
        </w:rPr>
        <w:t xml:space="preserve">ve stejném finančním objemu </w:t>
      </w:r>
      <w:r w:rsidR="001242F0" w:rsidRPr="00B1332E">
        <w:rPr>
          <w:rFonts w:asciiTheme="minorHAnsi" w:hAnsiTheme="minorHAnsi" w:cstheme="minorHAnsi"/>
          <w:sz w:val="22"/>
          <w:szCs w:val="22"/>
        </w:rPr>
        <w:t>za poskytnuté reklamní služby dle Článku II</w:t>
      </w:r>
      <w:r w:rsidR="00916B0E">
        <w:rPr>
          <w:rFonts w:asciiTheme="minorHAnsi" w:hAnsiTheme="minorHAnsi" w:cstheme="minorHAnsi"/>
          <w:sz w:val="22"/>
          <w:szCs w:val="22"/>
        </w:rPr>
        <w:t>.</w:t>
      </w:r>
      <w:r w:rsidR="001242F0" w:rsidRPr="00B1332E">
        <w:rPr>
          <w:rFonts w:asciiTheme="minorHAnsi" w:hAnsiTheme="minorHAnsi" w:cstheme="minorHAnsi"/>
          <w:sz w:val="22"/>
          <w:szCs w:val="22"/>
        </w:rPr>
        <w:t xml:space="preserve"> Smlouvy. Na faktuře vyznačí „reciproce – neproplácet“. Faktury budou vzájemně započteny.</w:t>
      </w:r>
      <w:r w:rsidR="00735147" w:rsidRPr="00B133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40198" w14:textId="4B385BA7" w:rsidR="001242F0" w:rsidRPr="00B1332E" w:rsidRDefault="00735147" w:rsidP="006E70D0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Faktura – daňový doklad musí mít náležitosti stanovené v zákoně č. 235/2004 Sb., o dani z přidané hodnoty.</w:t>
      </w:r>
    </w:p>
    <w:p w14:paraId="6F76EA5D" w14:textId="480F3C21" w:rsidR="0038167E" w:rsidRPr="0070023C" w:rsidRDefault="001242F0" w:rsidP="0070023C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Daňové doklady – faktury vystavené v souladu s tímto článkem Smlouvy budou vzhledem k povaze Smlouvy jako datum uskutečnění zdanitelného plnění obsahovat</w:t>
      </w:r>
      <w:r w:rsidR="00C52A65"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BF779E" w:rsidRPr="00B1332E">
        <w:rPr>
          <w:rFonts w:asciiTheme="minorHAnsi" w:hAnsiTheme="minorHAnsi" w:cstheme="minorHAnsi"/>
          <w:sz w:val="22"/>
          <w:szCs w:val="22"/>
        </w:rPr>
        <w:t>poslední den</w:t>
      </w:r>
      <w:r w:rsidRPr="00B1332E">
        <w:rPr>
          <w:rFonts w:asciiTheme="minorHAnsi" w:hAnsiTheme="minorHAnsi" w:cstheme="minorHAnsi"/>
          <w:sz w:val="22"/>
          <w:szCs w:val="22"/>
        </w:rPr>
        <w:t xml:space="preserve"> </w:t>
      </w:r>
      <w:r w:rsidR="00C52A65" w:rsidRPr="00B1332E">
        <w:rPr>
          <w:rFonts w:asciiTheme="minorHAnsi" w:hAnsiTheme="minorHAnsi" w:cstheme="minorHAnsi"/>
          <w:sz w:val="22"/>
          <w:szCs w:val="22"/>
        </w:rPr>
        <w:t>konání festivalu</w:t>
      </w:r>
      <w:r w:rsidRPr="00B1332E">
        <w:rPr>
          <w:rFonts w:asciiTheme="minorHAnsi" w:hAnsiTheme="minorHAnsi" w:cstheme="minorHAnsi"/>
          <w:sz w:val="22"/>
          <w:szCs w:val="22"/>
        </w:rPr>
        <w:t>.</w:t>
      </w:r>
    </w:p>
    <w:p w14:paraId="13C535DC" w14:textId="112FB472" w:rsidR="007E510D" w:rsidRPr="00B1332E" w:rsidRDefault="001242F0" w:rsidP="006E70D0">
      <w:pPr>
        <w:pStyle w:val="Odstavecseseznamem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Smluvní strany souhlasí se vzájemným započtením závazků s tím, že případný rozdíl v DPH dlužník uhradí formou bankovního převodu.</w:t>
      </w:r>
      <w:r w:rsidR="00D86FF2" w:rsidRPr="00B1332E">
        <w:rPr>
          <w:rFonts w:asciiTheme="minorHAnsi" w:hAnsiTheme="minorHAnsi" w:cstheme="minorHAnsi"/>
          <w:sz w:val="22"/>
          <w:szCs w:val="22"/>
        </w:rPr>
        <w:t xml:space="preserve"> V případě, že provedeným zápočtem pohledávek nedojde k úhradě celého závazku kterékoliv smluvní strany, je takováto smluvní strana povinna uhradit zbývající část závazku druhé smluvní straně v termínu splatnosti stanoveném ve faktuře. </w:t>
      </w:r>
    </w:p>
    <w:p w14:paraId="0091ED9B" w14:textId="77777777" w:rsidR="00FF2CAD" w:rsidRPr="00B1332E" w:rsidRDefault="00FF2CAD" w:rsidP="007E4218">
      <w:pPr>
        <w:rPr>
          <w:rFonts w:asciiTheme="minorHAnsi" w:hAnsiTheme="minorHAnsi" w:cstheme="minorHAnsi"/>
          <w:caps/>
          <w:sz w:val="22"/>
          <w:szCs w:val="22"/>
        </w:rPr>
      </w:pPr>
    </w:p>
    <w:p w14:paraId="698C3870" w14:textId="312C0393" w:rsidR="001242F0" w:rsidRPr="00B1332E" w:rsidRDefault="001242F0" w:rsidP="00FF2CA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V.</w:t>
      </w:r>
    </w:p>
    <w:p w14:paraId="435DFD86" w14:textId="77777777" w:rsidR="001242F0" w:rsidRPr="00B1332E" w:rsidRDefault="001242F0" w:rsidP="00FF2CA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PORUŠENÍ, ZMĚNA ROZSAHU PLNĚNÍ</w:t>
      </w:r>
    </w:p>
    <w:p w14:paraId="1DA700E0" w14:textId="77777777" w:rsidR="00FF2CAD" w:rsidRPr="00B1332E" w:rsidRDefault="00FF2CAD" w:rsidP="00FF2CAD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7D3D98C" w14:textId="7D18D4B0" w:rsidR="001242F0" w:rsidRPr="00B1332E" w:rsidRDefault="001242F0" w:rsidP="00FF2CAD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Poruší nebo nesplní-li </w:t>
      </w:r>
      <w:r w:rsidR="00FF2CAD"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="00E33F7B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některý ze svých závazků uvedených ve Smlouvě nebo v přílohách nebo v dodatcích k</w:t>
      </w:r>
      <w:r w:rsidR="00421100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této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Smlouvě a takové porušení bude mít za následek snížení rozsahu či kvality sjednan</w:t>
      </w:r>
      <w:r w:rsidR="007C4706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ých plnění ze strany </w:t>
      </w:r>
      <w:r w:rsidR="00FF2CAD"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="007C4706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E33F7B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pak </w:t>
      </w:r>
      <w:r w:rsidR="007C4706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má </w:t>
      </w:r>
      <w:r w:rsidR="00E33F7B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THMP právo požadovat finanční vyrovnání na základě řádné fakturace.   </w:t>
      </w:r>
    </w:p>
    <w:p w14:paraId="654D777F" w14:textId="23E0A1A2" w:rsidR="001242F0" w:rsidRPr="00B1332E" w:rsidRDefault="001242F0" w:rsidP="00FF2CAD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Poruší </w:t>
      </w:r>
      <w:r w:rsidR="007C4706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nebo nesplní-li </w:t>
      </w:r>
      <w:r w:rsidR="007B5DB4" w:rsidRPr="00B1332E">
        <w:rPr>
          <w:rFonts w:asciiTheme="minorHAnsi" w:hAnsiTheme="minorHAnsi" w:cstheme="minorHAnsi"/>
          <w:sz w:val="22"/>
          <w:szCs w:val="22"/>
          <w:lang w:eastAsia="en-US"/>
        </w:rPr>
        <w:t>THMP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své závazky vyplývající z této </w:t>
      </w:r>
      <w:r w:rsidR="00F66C54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mlouvy, má </w:t>
      </w:r>
      <w:r w:rsidR="00FF2CAD"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právo požadovat finanční kompenzaci odpovídající prokazatelným nákladům a škodám vzniklým </w:t>
      </w:r>
      <w:r w:rsidR="00FF2CAD"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za tato 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jednotlivá porušení nebo nesplnění, včetně výdajů vynaložených ze strany </w:t>
      </w:r>
      <w:r w:rsidR="00FF2CAD"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na nahrazení</w:t>
      </w:r>
      <w:r w:rsidR="007C4706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plnění porušeného ze strany </w:t>
      </w:r>
      <w:r w:rsidR="007B5DB4" w:rsidRPr="00B1332E">
        <w:rPr>
          <w:rFonts w:asciiTheme="minorHAnsi" w:hAnsiTheme="minorHAnsi" w:cstheme="minorHAnsi"/>
          <w:sz w:val="22"/>
          <w:szCs w:val="22"/>
          <w:lang w:eastAsia="en-US"/>
        </w:rPr>
        <w:t>THMP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B5D7851" w14:textId="0B8290CA" w:rsidR="00D91FF3" w:rsidRPr="0070023C" w:rsidRDefault="001242F0" w:rsidP="0070023C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Odpovědnost za škodu se řídí příslušným u</w:t>
      </w:r>
      <w:r w:rsidR="00E92DFB" w:rsidRPr="00B1332E">
        <w:rPr>
          <w:rFonts w:asciiTheme="minorHAnsi" w:hAnsiTheme="minorHAnsi" w:cstheme="minorHAnsi"/>
          <w:sz w:val="22"/>
          <w:szCs w:val="22"/>
          <w:lang w:eastAsia="en-US"/>
        </w:rPr>
        <w:t>stanovením občanského zákoníku.</w:t>
      </w:r>
    </w:p>
    <w:p w14:paraId="0BCB37B8" w14:textId="77777777" w:rsidR="00916B0E" w:rsidRDefault="00916B0E" w:rsidP="00DE445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7FA233D" w14:textId="37993677" w:rsidR="001242F0" w:rsidRPr="00B1332E" w:rsidRDefault="001242F0" w:rsidP="00DE445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VI.</w:t>
      </w:r>
    </w:p>
    <w:p w14:paraId="3226C3B0" w14:textId="0B6441BF" w:rsidR="001242F0" w:rsidRPr="00B1332E" w:rsidRDefault="001242F0" w:rsidP="00DE445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Doba platnosti smlouvy</w:t>
      </w:r>
    </w:p>
    <w:p w14:paraId="4DE97F14" w14:textId="77777777" w:rsidR="00FF2CAD" w:rsidRPr="00B1332E" w:rsidRDefault="00FF2CAD" w:rsidP="00DE445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142DF954" w14:textId="7AE54039" w:rsidR="001242F0" w:rsidRPr="00B1332E" w:rsidRDefault="001242F0" w:rsidP="00DE445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Smlouva se uzavírá na dobu určitou ode dn</w:t>
      </w:r>
      <w:r w:rsidR="00E97F75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e jejího podpisu </w:t>
      </w:r>
      <w:r w:rsidR="00E97F75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do </w:t>
      </w:r>
      <w:r w:rsidR="005C5C31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4</w:t>
      </w:r>
      <w:r w:rsidR="00DE4457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C638C0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DE4457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6</w:t>
      </w:r>
      <w:r w:rsidR="00E97F75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. </w:t>
      </w:r>
      <w:r w:rsidR="00704736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202</w:t>
      </w:r>
      <w:r w:rsidR="0038167E"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6</w:t>
      </w:r>
      <w:r w:rsidRPr="00B133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42C2BC72" w14:textId="46F2AC09" w:rsidR="001242F0" w:rsidRPr="00B1332E" w:rsidRDefault="001242F0" w:rsidP="00DE445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Každá smluvní strana má právo okamžitě předčasně ukončit platnost Smlouvy </w:t>
      </w:r>
      <w:r w:rsidR="00421100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písemným 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odstoupením adresovaným druhé straně, jestliže tato druhá strana nebo jakákoli část jejího podniku vstoupí do likvidace, nebo se stane předmětem insolvenčního řízení, nebo přestane vykonávat obchodní činnost.</w:t>
      </w:r>
    </w:p>
    <w:p w14:paraId="26C1A061" w14:textId="52DF2DA0" w:rsidR="007E510D" w:rsidRPr="00B1332E" w:rsidRDefault="00421100" w:rsidP="007E421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Tato </w:t>
      </w:r>
      <w:r w:rsidR="00DE4457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mlouva může být ukončena rovněž písemnou dohodou smluvních stran.</w:t>
      </w:r>
    </w:p>
    <w:p w14:paraId="02845D7C" w14:textId="77777777" w:rsidR="00AA47B9" w:rsidRPr="00B1332E" w:rsidRDefault="00AA47B9" w:rsidP="0047358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3C42C58" w14:textId="7A78ACA6" w:rsidR="001242F0" w:rsidRPr="00B1332E" w:rsidRDefault="001242F0" w:rsidP="0047358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VII.</w:t>
      </w:r>
    </w:p>
    <w:p w14:paraId="57E5F805" w14:textId="77777777" w:rsidR="001242F0" w:rsidRPr="00B1332E" w:rsidRDefault="001242F0" w:rsidP="0047358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caps/>
          <w:sz w:val="22"/>
          <w:szCs w:val="22"/>
        </w:rPr>
        <w:t>Závěrečná ustanovení</w:t>
      </w:r>
    </w:p>
    <w:p w14:paraId="49BEFACC" w14:textId="77777777" w:rsidR="0047358C" w:rsidRPr="00B1332E" w:rsidRDefault="0047358C" w:rsidP="0047358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3F0F382F" w14:textId="575CCA4E" w:rsidR="00175B01" w:rsidRPr="00B1332E" w:rsidRDefault="00175B01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Tato 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mlouva nabývá platnosti dnem jejího podpisu oběma smluvními stranami, účinnosti pak zveřejněním v registru smluv.</w:t>
      </w:r>
    </w:p>
    <w:p w14:paraId="6E42C409" w14:textId="7EA29A87" w:rsidR="00A90098" w:rsidRPr="00B1332E" w:rsidRDefault="001242F0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Nestanoví-li Smlouva jinak, řídí se právní vztah mezi smluvními stranami příslušnými ustanoveními občanského zákoníku. </w:t>
      </w:r>
    </w:p>
    <w:p w14:paraId="33A1FC0A" w14:textId="678FFF58" w:rsidR="00175B01" w:rsidRPr="00B1332E" w:rsidRDefault="00175B01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Obě smluvní strany se zavazují, že vynaloží veškeré úsilí, aby názorové rozdíly a rozpory plynoucí z výkladu této </w:t>
      </w:r>
      <w:r w:rsidR="00122B94" w:rsidRPr="00B1332E">
        <w:rPr>
          <w:rFonts w:asciiTheme="minorHAnsi" w:hAnsiTheme="minorHAnsi" w:cstheme="minorHAnsi"/>
          <w:sz w:val="22"/>
          <w:szCs w:val="22"/>
        </w:rPr>
        <w:t>S</w:t>
      </w:r>
      <w:r w:rsidRPr="00B1332E">
        <w:rPr>
          <w:rFonts w:asciiTheme="minorHAnsi" w:hAnsiTheme="minorHAnsi" w:cstheme="minorHAnsi"/>
          <w:sz w:val="22"/>
          <w:szCs w:val="22"/>
        </w:rPr>
        <w:t>mlouvy nebo v souvislosti s plněním smluvních ustanovení, byly řešeny především smírným (mimosoudním) jednáním. V případě, že ke shodě nedojde, spor bude rozhodovat věcně a místně příslušných soud THMP.</w:t>
      </w:r>
    </w:p>
    <w:p w14:paraId="25B58B44" w14:textId="0DE6AC9A" w:rsidR="00A90098" w:rsidRPr="00B1332E" w:rsidRDefault="00122B94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PJ</w:t>
      </w:r>
      <w:r w:rsidR="0054571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prohlašuje, že si je vědom, že </w:t>
      </w:r>
      <w:r w:rsidR="0054571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THMP </w:t>
      </w:r>
      <w:r w:rsidR="00CA400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je 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povinen na dotaz třetí osoby poskytovat informace podle ustanovení zákona č. 106/1999 Sb., o svobodném přístupu k informacím, ve znění pozdějších předpisů, a souhlasí s tím, aby veškeré informace v této </w:t>
      </w:r>
      <w:r w:rsidR="00CA4008" w:rsidRPr="00B1332E">
        <w:rPr>
          <w:rFonts w:asciiTheme="minorHAnsi" w:hAnsiTheme="minorHAnsi" w:cstheme="minorHAnsi"/>
          <w:sz w:val="22"/>
          <w:szCs w:val="22"/>
          <w:lang w:eastAsia="en-US"/>
        </w:rPr>
        <w:t>Smlouvě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obsažené, s výjimkou osobních údajů, byly poskytnuty třetím osobám, pokud si je vyžádají. </w:t>
      </w:r>
      <w:r w:rsidR="00D0430F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>též prohlašuj</w:t>
      </w:r>
      <w:r w:rsidR="00D0430F" w:rsidRPr="00B1332E">
        <w:rPr>
          <w:rFonts w:asciiTheme="minorHAnsi" w:hAnsiTheme="minorHAnsi" w:cstheme="minorHAnsi"/>
          <w:sz w:val="22"/>
          <w:szCs w:val="22"/>
          <w:lang w:eastAsia="en-US"/>
        </w:rPr>
        <w:t>í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>, že nic z obsahu této Smlouvy nepovažuj</w:t>
      </w:r>
      <w:r w:rsidR="00D0430F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í </w:t>
      </w:r>
      <w:r w:rsidR="00A90098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za obchodní tajemství. </w:t>
      </w:r>
    </w:p>
    <w:p w14:paraId="5D4E2982" w14:textId="5FC31485" w:rsidR="00A90098" w:rsidRPr="00B1332E" w:rsidRDefault="00D0430F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Smluvní strany berou na vědomí, že tato Smlouva podléhá povinnosti jejího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tato Smlouva (jakož i její dodatky) nabývá účinnosti nejdříve dnem jejího uveřejnění v registru smluv. THMP zašle tuto Smlouvu správci registru k uveřejnění bez zbytečného odkladu, nejpozději však do třiceti (30) dnů od jejího uzavření.</w:t>
      </w:r>
    </w:p>
    <w:p w14:paraId="498DD385" w14:textId="6B833CE9" w:rsidR="001242F0" w:rsidRPr="00B1332E" w:rsidRDefault="001242F0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Stane-li se jakékoliv ustanovení této 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mlou</w:t>
      </w:r>
      <w:r w:rsidR="0047358C" w:rsidRPr="00B1332E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y z jakéhokoliv důvodu neplatné nebo neúčinné, není tím dotčena platnost 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mlouvy jako celku. Smluvní strany vyvinou úsilí, aby dohodly ustanovení, které bude v maximální možné míře odpovídat účelu ustanovení, která se stala neplatnými. </w:t>
      </w:r>
    </w:p>
    <w:p w14:paraId="353A89CD" w14:textId="530AC0E9" w:rsidR="001242F0" w:rsidRPr="00B1332E" w:rsidRDefault="001242F0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Smlouva je sepsána ve 2 originálech v českém jazyce, přičemž obě 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smluvní 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>strany obdrží po jednom vyhotovení.</w:t>
      </w:r>
      <w:r w:rsidR="00BD1494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V případě, že je tato Smlouva uzavírána elektronicky za využití uznávaných elektronických podpisů, postačí jedno vyhotovení Smlouvy, na kterém jsou zaznamenány uznávané elektronické podpisy zástupců smluvních stran oprávněných tuto 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BD1494"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mlouvu uzavřít. </w:t>
      </w:r>
    </w:p>
    <w:p w14:paraId="21C542DC" w14:textId="77777777" w:rsidR="001242F0" w:rsidRPr="00B1332E" w:rsidRDefault="001242F0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Smlouvu lze měnit nebo doplňovat pouze písemnými číslovanými dodatky, podepsanými oprávněnými zástupci obou smluvních stran.</w:t>
      </w:r>
    </w:p>
    <w:p w14:paraId="5DCCE8CE" w14:textId="7AAEE689" w:rsidR="002759E3" w:rsidRPr="00B1332E" w:rsidRDefault="001242F0" w:rsidP="0047358C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Veškerá ujednání slovní i písemná, která byla mezi smluvními stranami ve věci podle této Smlouvy, ke dni podpisu Smlouvy zanikají.</w:t>
      </w:r>
    </w:p>
    <w:p w14:paraId="190C1B47" w14:textId="2500D155" w:rsidR="001242F0" w:rsidRPr="00B1332E" w:rsidRDefault="001242F0" w:rsidP="007B424F">
      <w:pPr>
        <w:pStyle w:val="Odstavecseseznamem"/>
        <w:numPr>
          <w:ilvl w:val="0"/>
          <w:numId w:val="28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Nedílnou součástí Smlouvy jsou následující přílohy:</w:t>
      </w:r>
    </w:p>
    <w:p w14:paraId="007F309D" w14:textId="41D20B7F" w:rsidR="001242F0" w:rsidRPr="00B1332E" w:rsidRDefault="001242F0" w:rsidP="00122B94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Příloha č. 1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7B424F" w:rsidRPr="00B1332E">
        <w:rPr>
          <w:rFonts w:asciiTheme="minorHAnsi" w:hAnsiTheme="minorHAnsi" w:cstheme="minorHAnsi"/>
          <w:sz w:val="22"/>
          <w:szCs w:val="22"/>
        </w:rPr>
        <w:t>lnění PJ</w:t>
      </w:r>
      <w:r w:rsidR="00122B94" w:rsidRPr="00B1332E">
        <w:rPr>
          <w:rFonts w:asciiTheme="minorHAnsi" w:hAnsiTheme="minorHAnsi" w:cstheme="minorHAnsi"/>
          <w:sz w:val="22"/>
          <w:szCs w:val="22"/>
        </w:rPr>
        <w:t xml:space="preserve"> vč. hodnoty plnění</w:t>
      </w:r>
    </w:p>
    <w:p w14:paraId="2A78A4E5" w14:textId="309E8987" w:rsidR="001242F0" w:rsidRPr="00B1332E" w:rsidRDefault="001242F0" w:rsidP="00122B94">
      <w:pPr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t>Příloha č. 2</w:t>
      </w:r>
      <w:r w:rsidR="00122B94" w:rsidRPr="00B1332E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A47B9" w:rsidRPr="00B1332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7B424F" w:rsidRPr="00B1332E">
        <w:rPr>
          <w:rFonts w:asciiTheme="minorHAnsi" w:hAnsiTheme="minorHAnsi" w:cstheme="minorHAnsi"/>
          <w:sz w:val="22"/>
          <w:szCs w:val="22"/>
          <w:lang w:eastAsia="en-US"/>
        </w:rPr>
        <w:t>eznam stožárů VO</w:t>
      </w:r>
    </w:p>
    <w:p w14:paraId="5A9E23AC" w14:textId="4453FA54" w:rsidR="00AA47B9" w:rsidRPr="00B1332E" w:rsidRDefault="00AA47B9" w:rsidP="00122B94">
      <w:pPr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Příloha č.3: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ab/>
        <w:t>Vzhled vlajek pro umístění na VO</w:t>
      </w:r>
    </w:p>
    <w:p w14:paraId="778B7D28" w14:textId="77777777" w:rsidR="00122B94" w:rsidRPr="00B1332E" w:rsidRDefault="00122B94" w:rsidP="00122B94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332E">
        <w:rPr>
          <w:rFonts w:asciiTheme="minorHAnsi" w:hAnsiTheme="minorHAnsi" w:cstheme="minorHAnsi"/>
          <w:sz w:val="22"/>
          <w:szCs w:val="22"/>
        </w:rPr>
        <w:t>Smluvní strany prohlašují, že si Smlouvu řádně přečetly,</w:t>
      </w:r>
      <w:r w:rsidRPr="00B1332E">
        <w:rPr>
          <w:rFonts w:asciiTheme="minorHAnsi" w:hAnsiTheme="minorHAnsi" w:cstheme="minorHAnsi"/>
          <w:sz w:val="22"/>
          <w:szCs w:val="22"/>
          <w:lang w:eastAsia="en-US"/>
        </w:rPr>
        <w:t xml:space="preserve"> že souhlasí s jejím obsahem a že byla sepsána na základě jejich svobodně a vážně projevené vůle, nikoliv v tísni a za nápadně nevýhodných podmínek a na důkaz toho připojují své podpisy.</w:t>
      </w:r>
    </w:p>
    <w:p w14:paraId="662AFD6E" w14:textId="1A495B6D" w:rsidR="007957DF" w:rsidRPr="00B1332E" w:rsidRDefault="007957DF" w:rsidP="007E4218">
      <w:pPr>
        <w:rPr>
          <w:rFonts w:asciiTheme="minorHAnsi" w:hAnsiTheme="minorHAnsi" w:cstheme="minorHAnsi"/>
          <w:sz w:val="22"/>
          <w:szCs w:val="22"/>
        </w:rPr>
      </w:pPr>
    </w:p>
    <w:p w14:paraId="5D824B0F" w14:textId="6C66C0B6" w:rsidR="007957DF" w:rsidRPr="00B1332E" w:rsidRDefault="007957DF" w:rsidP="007E4218">
      <w:pPr>
        <w:rPr>
          <w:rFonts w:asciiTheme="minorHAnsi" w:hAnsiTheme="minorHAnsi" w:cstheme="minorHAnsi"/>
          <w:sz w:val="22"/>
          <w:szCs w:val="22"/>
        </w:rPr>
      </w:pPr>
    </w:p>
    <w:p w14:paraId="3D6698D5" w14:textId="75B93710" w:rsidR="001242F0" w:rsidRPr="00B1332E" w:rsidRDefault="001242F0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411987" w:rsidRPr="00B1332E">
        <w:rPr>
          <w:rFonts w:asciiTheme="minorHAnsi" w:hAnsiTheme="minorHAnsi" w:cstheme="minorHAnsi"/>
          <w:sz w:val="22"/>
          <w:szCs w:val="22"/>
        </w:rPr>
        <w:t xml:space="preserve">............. </w:t>
      </w:r>
      <w:r w:rsidR="00704736" w:rsidRPr="00B1332E">
        <w:rPr>
          <w:rFonts w:asciiTheme="minorHAnsi" w:hAnsiTheme="minorHAnsi" w:cstheme="minorHAnsi"/>
          <w:sz w:val="22"/>
          <w:szCs w:val="22"/>
        </w:rPr>
        <w:t>202</w:t>
      </w:r>
      <w:r w:rsidR="007957DF" w:rsidRPr="00B1332E">
        <w:rPr>
          <w:rFonts w:asciiTheme="minorHAnsi" w:hAnsiTheme="minorHAnsi" w:cstheme="minorHAnsi"/>
          <w:sz w:val="22"/>
          <w:szCs w:val="22"/>
        </w:rPr>
        <w:t>6</w:t>
      </w:r>
    </w:p>
    <w:p w14:paraId="19F4118F" w14:textId="77777777" w:rsidR="007957DF" w:rsidRPr="00B1332E" w:rsidRDefault="007957DF" w:rsidP="007E4218">
      <w:pPr>
        <w:rPr>
          <w:rFonts w:asciiTheme="minorHAnsi" w:hAnsiTheme="minorHAnsi" w:cstheme="minorHAnsi"/>
          <w:sz w:val="22"/>
          <w:szCs w:val="22"/>
        </w:rPr>
      </w:pPr>
    </w:p>
    <w:p w14:paraId="684EC7B6" w14:textId="77777777" w:rsidR="007957DF" w:rsidRPr="00B1332E" w:rsidRDefault="007957DF" w:rsidP="007E4218">
      <w:pPr>
        <w:rPr>
          <w:rFonts w:asciiTheme="minorHAnsi" w:hAnsiTheme="minorHAnsi" w:cstheme="minorHAnsi"/>
          <w:sz w:val="22"/>
          <w:szCs w:val="22"/>
        </w:rPr>
      </w:pPr>
    </w:p>
    <w:p w14:paraId="5567A5E2" w14:textId="127FB99E" w:rsidR="001242F0" w:rsidRPr="00B1332E" w:rsidRDefault="001242F0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......................</w:t>
      </w:r>
      <w:r w:rsidR="00AC6B58" w:rsidRPr="00B1332E">
        <w:rPr>
          <w:rFonts w:asciiTheme="minorHAnsi" w:hAnsiTheme="minorHAnsi" w:cstheme="minorHAnsi"/>
          <w:sz w:val="22"/>
          <w:szCs w:val="22"/>
        </w:rPr>
        <w:t xml:space="preserve">...............................                            </w:t>
      </w:r>
      <w:r w:rsidR="0042389B" w:rsidRPr="00B1332E">
        <w:rPr>
          <w:rFonts w:asciiTheme="minorHAnsi" w:hAnsiTheme="minorHAnsi" w:cstheme="minorHAnsi"/>
          <w:sz w:val="22"/>
          <w:szCs w:val="22"/>
        </w:rPr>
        <w:tab/>
      </w:r>
      <w:r w:rsidRPr="00B1332E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14:paraId="624892FC" w14:textId="5D2CD4A2" w:rsidR="00864A3A" w:rsidRPr="00B1332E" w:rsidRDefault="00B14416" w:rsidP="007E42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Tomáš Jílek</w:t>
      </w:r>
      <w:r w:rsidR="00EE2BD6" w:rsidRPr="00B133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2BD6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25DF2" w:rsidRPr="00B1332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42389B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2389B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2389B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2389B" w:rsidRPr="00B1332E">
        <w:rPr>
          <w:rFonts w:asciiTheme="minorHAnsi" w:hAnsiTheme="minorHAnsi" w:cstheme="minorHAnsi"/>
          <w:b/>
          <w:bCs/>
          <w:sz w:val="22"/>
          <w:szCs w:val="22"/>
        </w:rPr>
        <w:tab/>
        <w:t>Mgr. Robert Hanč</w:t>
      </w:r>
    </w:p>
    <w:p w14:paraId="13D741A7" w14:textId="741D08AC" w:rsidR="007207FE" w:rsidRPr="00B1332E" w:rsidRDefault="007207FE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předseda představenstva</w:t>
      </w:r>
      <w:r w:rsidR="008E76D0" w:rsidRPr="00B1332E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864A3A" w:rsidRPr="00B1332E">
        <w:rPr>
          <w:rFonts w:asciiTheme="minorHAnsi" w:hAnsiTheme="minorHAnsi" w:cstheme="minorHAnsi"/>
          <w:sz w:val="22"/>
          <w:szCs w:val="22"/>
        </w:rPr>
        <w:tab/>
      </w:r>
      <w:r w:rsidR="00125DF2" w:rsidRPr="00B1332E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BF779E">
        <w:rPr>
          <w:rFonts w:asciiTheme="minorHAnsi" w:hAnsiTheme="minorHAnsi" w:cstheme="minorHAnsi"/>
          <w:sz w:val="22"/>
          <w:szCs w:val="22"/>
        </w:rPr>
        <w:tab/>
      </w:r>
      <w:r w:rsidR="00BF779E">
        <w:rPr>
          <w:rFonts w:asciiTheme="minorHAnsi" w:hAnsiTheme="minorHAnsi" w:cstheme="minorHAnsi"/>
          <w:sz w:val="22"/>
          <w:szCs w:val="22"/>
        </w:rPr>
        <w:tab/>
      </w:r>
      <w:r w:rsidR="0042389B" w:rsidRPr="00B1332E">
        <w:rPr>
          <w:rFonts w:asciiTheme="minorHAnsi" w:hAnsiTheme="minorHAnsi" w:cstheme="minorHAnsi"/>
          <w:sz w:val="22"/>
          <w:szCs w:val="22"/>
        </w:rPr>
        <w:t>ředitel s</w:t>
      </w:r>
      <w:r w:rsidR="00EE2BD6" w:rsidRPr="00B1332E">
        <w:rPr>
          <w:rFonts w:asciiTheme="minorHAnsi" w:hAnsiTheme="minorHAnsi" w:cstheme="minorHAnsi"/>
          <w:sz w:val="22"/>
          <w:szCs w:val="22"/>
        </w:rPr>
        <w:t>polečnosti</w:t>
      </w:r>
      <w:r w:rsidR="001242F0" w:rsidRPr="00B1332E">
        <w:rPr>
          <w:rFonts w:asciiTheme="minorHAnsi" w:hAnsiTheme="minorHAnsi" w:cstheme="minorHAnsi"/>
          <w:sz w:val="22"/>
          <w:szCs w:val="22"/>
        </w:rPr>
        <w:tab/>
      </w:r>
    </w:p>
    <w:p w14:paraId="10730BD5" w14:textId="5A3F3295" w:rsidR="007207FE" w:rsidRPr="00B1332E" w:rsidRDefault="0042389B" w:rsidP="007E4218">
      <w:pPr>
        <w:rPr>
          <w:rFonts w:asciiTheme="minorHAnsi" w:hAnsiTheme="minorHAnsi" w:cstheme="minorHAnsi"/>
          <w:sz w:val="22"/>
          <w:szCs w:val="22"/>
        </w:rPr>
      </w:pPr>
      <w:bookmarkStart w:id="0" w:name="_Hlk92268231"/>
      <w:r w:rsidRPr="00B1332E">
        <w:rPr>
          <w:rFonts w:asciiTheme="minorHAnsi" w:hAnsiTheme="minorHAnsi" w:cstheme="minorHAnsi"/>
          <w:sz w:val="22"/>
          <w:szCs w:val="22"/>
        </w:rPr>
        <w:t>Technologie hlavního města Prahy, a.s.</w:t>
      </w:r>
      <w:bookmarkEnd w:id="0"/>
      <w:r w:rsidRPr="00B1332E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1332E">
        <w:rPr>
          <w:rFonts w:asciiTheme="minorHAnsi" w:hAnsiTheme="minorHAnsi" w:cstheme="minorHAnsi"/>
          <w:sz w:val="22"/>
          <w:szCs w:val="22"/>
        </w:rPr>
        <w:tab/>
        <w:t>Pražské jaro, o.p.s.</w:t>
      </w:r>
    </w:p>
    <w:p w14:paraId="270A9A96" w14:textId="77777777" w:rsidR="007207FE" w:rsidRPr="00B1332E" w:rsidRDefault="007207FE" w:rsidP="007E4218">
      <w:pPr>
        <w:rPr>
          <w:rFonts w:asciiTheme="minorHAnsi" w:hAnsiTheme="minorHAnsi" w:cstheme="minorHAnsi"/>
          <w:sz w:val="22"/>
          <w:szCs w:val="22"/>
        </w:rPr>
      </w:pPr>
    </w:p>
    <w:p w14:paraId="15EAA260" w14:textId="77777777" w:rsidR="007207FE" w:rsidRPr="00B1332E" w:rsidRDefault="007207FE" w:rsidP="007E4218">
      <w:pPr>
        <w:rPr>
          <w:rFonts w:asciiTheme="minorHAnsi" w:hAnsiTheme="minorHAnsi" w:cstheme="minorHAnsi"/>
          <w:sz w:val="22"/>
          <w:szCs w:val="22"/>
        </w:rPr>
      </w:pPr>
    </w:p>
    <w:p w14:paraId="435D9E2F" w14:textId="77777777" w:rsidR="00AA5D27" w:rsidRPr="00B1332E" w:rsidRDefault="00AA5D27" w:rsidP="007E4218">
      <w:pPr>
        <w:rPr>
          <w:rFonts w:asciiTheme="minorHAnsi" w:hAnsiTheme="minorHAnsi" w:cstheme="minorHAnsi"/>
          <w:sz w:val="22"/>
          <w:szCs w:val="22"/>
        </w:rPr>
      </w:pPr>
    </w:p>
    <w:p w14:paraId="343A101D" w14:textId="04FA103E" w:rsidR="007207FE" w:rsidRPr="00B1332E" w:rsidRDefault="007207FE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</w:t>
      </w:r>
    </w:p>
    <w:p w14:paraId="0F272077" w14:textId="64619C16" w:rsidR="00864A3A" w:rsidRPr="00B1332E" w:rsidRDefault="00864A3A" w:rsidP="007E42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332E">
        <w:rPr>
          <w:rFonts w:asciiTheme="minorHAnsi" w:hAnsiTheme="minorHAnsi" w:cstheme="minorHAnsi"/>
          <w:b/>
          <w:bCs/>
          <w:sz w:val="22"/>
          <w:szCs w:val="22"/>
        </w:rPr>
        <w:t>Tomáš Novotný</w:t>
      </w:r>
      <w:r w:rsidR="00EE058A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545665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</w:p>
    <w:p w14:paraId="54A1E473" w14:textId="4B8B6760" w:rsidR="00E33F7B" w:rsidRPr="00B1332E" w:rsidRDefault="00864A3A" w:rsidP="007E4218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>místopředseda představenstva</w:t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BF779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>zodpovědná za správnost smlouvy</w:t>
      </w:r>
      <w:r w:rsidR="001242F0" w:rsidRPr="00B1332E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4483F205" w14:textId="7F4B1BA6" w:rsidR="0042389B" w:rsidRPr="00B1332E" w:rsidRDefault="0042389B" w:rsidP="0042389B">
      <w:pPr>
        <w:rPr>
          <w:rFonts w:asciiTheme="minorHAnsi" w:hAnsiTheme="minorHAnsi" w:cstheme="minorHAnsi"/>
          <w:sz w:val="22"/>
          <w:szCs w:val="22"/>
        </w:rPr>
      </w:pPr>
      <w:r w:rsidRPr="00B1332E">
        <w:rPr>
          <w:rFonts w:asciiTheme="minorHAnsi" w:hAnsiTheme="minorHAnsi" w:cstheme="minorHAnsi"/>
          <w:sz w:val="22"/>
          <w:szCs w:val="22"/>
        </w:rPr>
        <w:t xml:space="preserve">Technologie hlavního města Prahy, a.s. </w:t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ab/>
      </w:r>
      <w:r w:rsidR="00BF779E">
        <w:rPr>
          <w:rFonts w:asciiTheme="minorHAnsi" w:hAnsiTheme="minorHAnsi" w:cstheme="minorHAnsi"/>
          <w:sz w:val="22"/>
          <w:szCs w:val="22"/>
        </w:rPr>
        <w:tab/>
      </w:r>
      <w:r w:rsidR="00EE058A" w:rsidRPr="00B1332E">
        <w:rPr>
          <w:rFonts w:asciiTheme="minorHAnsi" w:hAnsiTheme="minorHAnsi" w:cstheme="minorHAnsi"/>
          <w:sz w:val="22"/>
          <w:szCs w:val="22"/>
        </w:rPr>
        <w:t>Pražské jaro, o.p.s.</w:t>
      </w:r>
    </w:p>
    <w:p w14:paraId="3F5EB81D" w14:textId="77777777" w:rsidR="00354F69" w:rsidRDefault="00354F69" w:rsidP="0042389B">
      <w:pPr>
        <w:rPr>
          <w:rFonts w:ascii="Calibri" w:hAnsi="Calibri" w:cs="Calibri"/>
        </w:rPr>
      </w:pPr>
    </w:p>
    <w:p w14:paraId="3D387E1B" w14:textId="77777777" w:rsidR="00354F69" w:rsidRDefault="00354F69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4CED89D" w14:textId="12ECF276" w:rsidR="00354F69" w:rsidRPr="00224C1D" w:rsidRDefault="00354F69" w:rsidP="0042389B">
      <w:pPr>
        <w:rPr>
          <w:rFonts w:ascii="Calibri" w:hAnsi="Calibri" w:cs="Calibri"/>
          <w:b/>
          <w:bCs/>
        </w:rPr>
      </w:pPr>
      <w:r w:rsidRPr="00224C1D">
        <w:rPr>
          <w:rFonts w:ascii="Calibri" w:hAnsi="Calibri" w:cs="Calibri"/>
          <w:b/>
          <w:bCs/>
        </w:rPr>
        <w:lastRenderedPageBreak/>
        <w:t>Příloha č. 1: Přehled plnění</w:t>
      </w:r>
    </w:p>
    <w:p w14:paraId="23DB4E44" w14:textId="77777777" w:rsidR="000F7746" w:rsidRDefault="000F7746">
      <w:pPr>
        <w:spacing w:after="200" w:line="276" w:lineRule="auto"/>
        <w:rPr>
          <w:rFonts w:ascii="Calibri" w:hAnsi="Calibri" w:cs="Calibri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3055"/>
        <w:gridCol w:w="1699"/>
      </w:tblGrid>
      <w:tr w:rsidR="000F7746" w:rsidRPr="00B1332E" w14:paraId="28BA33DD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2F5659BA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FFFFFF"/>
                <w:sz w:val="22"/>
                <w:szCs w:val="22"/>
              </w:rPr>
              <w:t>Hodnota plnění</w:t>
            </w: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1EBCF1F0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112 000 Kč</w:t>
            </w: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519A54F6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</w:tr>
      <w:tr w:rsidR="000F7746" w:rsidRPr="00B1332E" w14:paraId="3DBE85CE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0A647E9A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FFFFFF"/>
                <w:sz w:val="22"/>
                <w:szCs w:val="22"/>
              </w:rPr>
              <w:t>Médium</w:t>
            </w: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4C59A134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FFFFFF"/>
                <w:sz w:val="22"/>
                <w:szCs w:val="22"/>
              </w:rPr>
              <w:t>Obsah</w:t>
            </w: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/>
            <w:vAlign w:val="center"/>
            <w:hideMark/>
          </w:tcPr>
          <w:p w14:paraId="258A17C4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5F5F5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FFFFFF"/>
                <w:sz w:val="22"/>
                <w:szCs w:val="22"/>
              </w:rPr>
              <w:t>Vydání</w:t>
            </w:r>
            <w:r w:rsidRPr="00B1332E">
              <w:rPr>
                <w:rStyle w:val="eop"/>
                <w:rFonts w:asciiTheme="minorHAnsi" w:hAnsiTheme="minorHAnsi" w:cstheme="minorHAnsi"/>
                <w:color w:val="FFFFFF"/>
                <w:sz w:val="22"/>
                <w:szCs w:val="22"/>
              </w:rPr>
              <w:t> </w:t>
            </w:r>
          </w:p>
        </w:tc>
      </w:tr>
      <w:tr w:rsidR="000F7746" w:rsidRPr="00B1332E" w14:paraId="59FBC091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5120143D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Online a internetová média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56B55149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04FC314B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47AF99C1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76EF7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web festival.cz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08CFF9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 v sekci “Partneři”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1F5FEB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04/2026–09/2026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678C4A16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AA63B8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Facebook – příspěvek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0652E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Otagování</w:t>
            </w:r>
            <w:proofErr w:type="spellEnd"/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THMP, 1 příspěvek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67FAA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4424F76D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032A14" w14:textId="2AF93DD9" w:rsidR="000F7746" w:rsidRPr="00B1332E" w:rsidRDefault="00BF779E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Instagram – příspěvek</w:t>
            </w:r>
            <w:r w:rsidR="000F7746"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1ECF2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BFC25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4C163EBC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4DE39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LinkedIn – příspěvek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E1170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Otagování</w:t>
            </w:r>
            <w:proofErr w:type="spellEnd"/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THMP, 1 příspěvek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FE2A2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5CA4DE20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0C71A2FE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Tiskoviny festivalu a tiskové zprávy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7E86A4F0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0E729403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03AC7ED4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A63D1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Program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koncertu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041BE0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Inzerce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THMP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ve dvou programech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E16C5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2A24EF61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A36DA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Závěrečná zpráva festivalu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706A3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 na zadní straně zprávy, uvedení loga u partnerského koncertu, slovní poděkování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672F5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08/2026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7A514995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0035ED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Výroční zpráva festivalu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1AF33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 na zadní straně zprávy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AF2CB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06/2027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5ECBD917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0D24A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Tisková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zpráva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festivalu 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02FC8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Zmínka o partnerství v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tis. zprávách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5EFC2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05-09/2026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3119DADC" w14:textId="77777777" w:rsidTr="0004421D">
        <w:trPr>
          <w:trHeight w:val="27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4D542B9C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Propagace v místech konání festivalových koncertů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4E21BC4A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E05EF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Logo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board</w:t>
            </w:r>
            <w:proofErr w:type="spellEnd"/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 Rudolfinum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67DC4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376D0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05–06/2026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50E9200B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13B98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Logo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board</w:t>
            </w:r>
            <w:proofErr w:type="spellEnd"/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 Obecním domě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838D3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89AD7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05–06/2026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4C0260A4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F1C17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Logo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board</w:t>
            </w:r>
            <w:proofErr w:type="spellEnd"/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 dalších místech konání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656CE2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Uvedení loga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EDB5D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05–06/2026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15E884CD" w14:textId="77777777" w:rsidTr="0004421D">
        <w:trPr>
          <w:trHeight w:val="27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vAlign w:val="center"/>
            <w:hideMark/>
          </w:tcPr>
          <w:p w14:paraId="124255F6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Vstupenky na koncerty Pražského jara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7CDC0065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B7C6D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Pozvání ředitele THMP 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210DCE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Zahajovací koncert Pražského jara, 2 vstupenky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B781F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F7746" w:rsidRPr="00B1332E" w14:paraId="13762203" w14:textId="77777777" w:rsidTr="0004421D">
        <w:trPr>
          <w:trHeight w:val="270"/>
        </w:trPr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8194E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Vstupenky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na koncerty 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F8D7F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10 ks vstupenek na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koncerty dle</w:t>
            </w:r>
            <w:r w:rsidRPr="00B1332E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výběru Pražského jara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3F18B" w14:textId="77777777" w:rsidR="000F7746" w:rsidRPr="00B1332E" w:rsidRDefault="000F7746" w:rsidP="00044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33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05/2026</w:t>
            </w:r>
            <w:r w:rsidRPr="00B133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EE54ED7" w14:textId="4BD7761F" w:rsidR="00354F69" w:rsidRDefault="00354F69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2797AC" w14:textId="6F20B23F" w:rsidR="00354F69" w:rsidRPr="00224C1D" w:rsidRDefault="00354F69" w:rsidP="0042389B">
      <w:pPr>
        <w:rPr>
          <w:rFonts w:ascii="Calibri" w:hAnsi="Calibri" w:cs="Calibri"/>
          <w:b/>
          <w:bCs/>
        </w:rPr>
      </w:pPr>
      <w:r w:rsidRPr="00224C1D">
        <w:rPr>
          <w:rFonts w:ascii="Calibri" w:hAnsi="Calibri" w:cs="Calibri"/>
          <w:b/>
          <w:bCs/>
        </w:rPr>
        <w:lastRenderedPageBreak/>
        <w:t xml:space="preserve">Příloha č. 2: </w:t>
      </w:r>
      <w:r w:rsidR="00C638C0" w:rsidRPr="00224C1D">
        <w:rPr>
          <w:rFonts w:ascii="Calibri" w:hAnsi="Calibri" w:cs="Calibri"/>
          <w:b/>
          <w:bCs/>
        </w:rPr>
        <w:t>seznam stožárů VO</w:t>
      </w:r>
    </w:p>
    <w:p w14:paraId="5FE047FC" w14:textId="77777777" w:rsidR="00B654D7" w:rsidRDefault="00B654D7" w:rsidP="0042389B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7"/>
        <w:gridCol w:w="664"/>
        <w:gridCol w:w="1030"/>
        <w:gridCol w:w="1388"/>
        <w:gridCol w:w="1196"/>
        <w:gridCol w:w="724"/>
        <w:gridCol w:w="2019"/>
        <w:gridCol w:w="1004"/>
      </w:tblGrid>
      <w:tr w:rsidR="00B14D00" w:rsidRPr="00793E2C" w14:paraId="3B23A32E" w14:textId="77777777" w:rsidTr="00B654D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B911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Evidenční číslo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9DDC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Motiv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F535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Typ objektu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EEDD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Ulice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4A75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50DB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Umístění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C00B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Umístění z pohledu komunikace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41B5" w14:textId="77777777" w:rsidR="00793E2C" w:rsidRPr="00793E2C" w:rsidRDefault="00793E2C" w:rsidP="00793E2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Celková výška</w:t>
            </w:r>
          </w:p>
        </w:tc>
      </w:tr>
      <w:tr w:rsidR="00793E2C" w:rsidRPr="00793E2C" w14:paraId="7AAF4CC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12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101748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7FD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8EA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BEC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Křižovnická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E80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570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EAF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880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473297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C03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101749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BCB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D3C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4E5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Křižovnická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194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739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5E4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03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2DDEA5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BCA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101751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421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49B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FDD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Křižovnická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696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E90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D19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67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CEA64F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128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101752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D08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B9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FF6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Křižovnická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17A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ECD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A9C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533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0573F3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EE2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101835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741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FCE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4CF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Jana Palacha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CC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D95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F47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5D9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FD76FD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5D1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101836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3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D1E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B6E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Jana Palacha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AA6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3B5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1B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8B7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106863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F99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101837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42E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BB9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51C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Jana Palacha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867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9C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E69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0C5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B4B8820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09C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101838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05A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139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509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Jana Palacha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58D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5C9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C5D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DE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437154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0F6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101957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1C8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BB7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9C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ED6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Malá Strana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E5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46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B8B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697A71A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573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101958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3CE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7F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EDD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AA8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9B5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5AA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ABA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1CA9473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84B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20E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B94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A85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3A7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B78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91A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E5E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6DE0211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549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996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994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18E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17A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86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79C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DF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2667C4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870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704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733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1F9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3A0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F0C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203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C07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390C2C4D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C07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8C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9AA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4B5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0BB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D85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389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523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0B9552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466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0C1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1E4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65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05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E64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0B7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57D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34B9BC50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CF4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9D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038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992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22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24D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96C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13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3DCC22C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228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6A3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6DC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D1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897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9A5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600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F2B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393377D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690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6D4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773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75F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5D6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00E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5DA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A61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77F938D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96F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B1C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4CD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54A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AE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209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47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8B4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0E8864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BC8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101969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122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9DC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21A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EFC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D04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FAE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22C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C1CC60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4BB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101970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ADF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A3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132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937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FCF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8D8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99A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653479D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CD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ED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C62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91D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F6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7B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95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277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0B104AD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229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DC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E82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844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B9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803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7F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8FA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2671A2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DFCB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365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979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F7F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873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2ED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8F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1C4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28BE79B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D52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3A8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076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34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B3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712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0A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55C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B8B8F2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A485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54E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68C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50E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E4B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088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4C1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B92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D5CAB7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6730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9A1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55A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8D5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C3E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920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860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0F0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08B24E1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227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102017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089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63E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16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12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3C5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F5E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3A4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A4B98B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02C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102019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632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FD3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4BF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423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97A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500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355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0F60724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3260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4AB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3C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9A7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095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27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B16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065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DB6BBD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ED00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102021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D41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68C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728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F6F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206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B0A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F63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D85FE0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4C06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102065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540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6B5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3B7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6A0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6D4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DAA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C43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57FF7C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CF3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102067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C43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944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521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5F4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A9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350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FB9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9516C7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42A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102068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9A1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943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C15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269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2B5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FF2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49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9C87990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94D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102069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1A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BEC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B69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E62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F09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8D9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38B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24AA111D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528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7D8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5DC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165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2E9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5EF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4A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CD9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B95466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4C7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82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12C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256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E21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CC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2E3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75C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ED20DB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6758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40B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34C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9C6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7EB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433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78A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F5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695A86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F0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778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E4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1A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6DF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2E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EDC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733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73C681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541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37A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672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C4B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7FB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8A3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4DC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C2A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6378B1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477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752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44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C6B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654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C4C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4B5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B0F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AB0983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E6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D98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B7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127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FB5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C9D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34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C6B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BBE4670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B31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8B8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EF7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728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FF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522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30A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6C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EA0B87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0BA8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052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4E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A90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6E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691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8B6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497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0FA8CD8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A3B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102079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9DD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E63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9C6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15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0E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940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D88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9EE58D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161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102080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979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662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9CC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DB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5FD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4C5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76E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B7323E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9FD8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102081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11B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50B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DE36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88C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CE86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C62A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3125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1D77468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DEA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102085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C46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501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CCA2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33A0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39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D41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CA85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06DBA54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813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102086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F2D7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0B3C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AA48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497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A95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4CB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145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1A13C16D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12B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102087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334D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E09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10D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390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615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4855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8C5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5E05EC0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2CD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102090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2C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B2F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1B38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38CB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8A8D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360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F56C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784339D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A070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102091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9EA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A4A9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D23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6F1D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762A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16CD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A5B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05BA28C6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184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102097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910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3BB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E5A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0F2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A422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6DEB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8160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10.0</w:t>
            </w:r>
          </w:p>
        </w:tc>
      </w:tr>
      <w:tr w:rsidR="00793E2C" w:rsidRPr="00793E2C" w14:paraId="5522EEB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B2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102098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0BF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B41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AAC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230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19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A92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7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C130CF1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023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102100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4EC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DF3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466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F6F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C9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62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E17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2F8C47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4A8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102101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C44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B4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04B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39B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0B6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94E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534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154195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F78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102102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D1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A41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C4E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Národní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5EE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ED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A2C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3B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3B065B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54E8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102514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1F7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357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C0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Václavské náměstí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06F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9AF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7A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2AB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15.May</w:t>
            </w:r>
          </w:p>
        </w:tc>
      </w:tr>
      <w:tr w:rsidR="00793E2C" w:rsidRPr="00793E2C" w14:paraId="1E09D23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A54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103136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6A2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BC6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A27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79A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49F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A4E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F40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85662A6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473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103139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3AF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F1F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819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AD0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000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6E9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BE1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B04676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574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103140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9BA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4E5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F0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396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015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65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E9A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DFB4F9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37F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103141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765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DA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5F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BB5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EB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EC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6B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3F0360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476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103145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CA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B8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85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347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EFE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6A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CE9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42C56D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627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75F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DBC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FA8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626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22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5FA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678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9C1AB6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99A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233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9BE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9DF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188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D0A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3F2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D83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B64737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0D5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103154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BA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55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CEF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96F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4E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7C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EB5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E24B96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E38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DF2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78D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D5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63A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46B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E1C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972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BEE297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30E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103162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013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696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5B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0B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700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A03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8E5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A187F2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C61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B8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42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F5D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F87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C72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AF1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8DE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269310A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E9C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103166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BB9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D92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BCC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0C8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04F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603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60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7A5BF08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C65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103167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DD5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F86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EE0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331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EE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21A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74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27AF58A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670D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28E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FA56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6A5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69A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CDF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63F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537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7A15032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8BE5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A51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0F1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A85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příkopě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206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D0E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FE9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98D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6A3D6D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34CD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634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8D9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717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Obecní dům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77B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462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44B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3F0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44EB9F2D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EEF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92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1F0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942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Obecní dům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67E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6E9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869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AEA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B9FF6C4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5F0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B8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ADFB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7DE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Obecní dům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F8C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D49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1A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856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3806018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81D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D7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347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1D6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Obecní dům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F64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E7A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4C9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CD1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57AE20F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9281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103179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4A9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2427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21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Obecní dům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D79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16E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FA2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A0A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69C92600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AEAD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103209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0D1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4149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791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47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A83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607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174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19E31E6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C4D6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104626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22BA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235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B94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6A0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5FD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980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B44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1EA57656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0CA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104627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C467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4836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FA3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C51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6E5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7E5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595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</w:t>
            </w:r>
          </w:p>
        </w:tc>
      </w:tr>
      <w:tr w:rsidR="00793E2C" w:rsidRPr="00793E2C" w14:paraId="042CBEE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9443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104628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B21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2D51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288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CF4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2AF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F5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C90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</w:t>
            </w:r>
          </w:p>
        </w:tc>
      </w:tr>
      <w:tr w:rsidR="00793E2C" w:rsidRPr="00793E2C" w14:paraId="44118935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26D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104629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094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176C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5A0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CFE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B9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CC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BC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</w:t>
            </w:r>
          </w:p>
        </w:tc>
      </w:tr>
      <w:tr w:rsidR="00793E2C" w:rsidRPr="00793E2C" w14:paraId="1FC9B41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946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104630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262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C3BE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297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759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82F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3E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324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</w:t>
            </w:r>
          </w:p>
        </w:tc>
      </w:tr>
      <w:tr w:rsidR="00793E2C" w:rsidRPr="00793E2C" w14:paraId="2F19F5B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EE0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104631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6EE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136C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FF3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807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A0B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0C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E3B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</w:t>
            </w:r>
          </w:p>
        </w:tc>
      </w:tr>
      <w:tr w:rsidR="00793E2C" w:rsidRPr="00793E2C" w14:paraId="3962AFE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894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105687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2E6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1B89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2DF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Smetanovo nábřeží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06D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694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F76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BA0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3D9A28C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1972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106006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ECC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4BC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692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096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9C4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D37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23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2240F2E9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5295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106746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FF9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E993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87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C82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57C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4E0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4F3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2F72A278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86C6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106747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214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DE2F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78A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A43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734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50B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97B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41FF252B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936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F75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8AEB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34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8D5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3C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A05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484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2D0964D6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B74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106749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757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1924" w14:textId="77777777" w:rsidR="00793E2C" w:rsidRPr="00793E2C" w:rsidRDefault="00793E2C" w:rsidP="00793E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5BC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27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5DF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3C6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FE0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2A1DBE5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1F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9BE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170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216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DBA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E1C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3AA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DF3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4BC47A8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9B8C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106752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38A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377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8CC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7EE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Staré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82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A38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1F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302932E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9764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106755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B03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31F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061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36C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500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280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836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05E649C3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CD1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106756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FC7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416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8E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5B3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48D7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1D4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pěší, vnitrobloky, ostatní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DC1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60FD8EF7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6FAA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106757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C4F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38E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D5B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E6B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990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714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pěší, vnitrobloky, ostatní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D7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  <w:tr w:rsidR="00793E2C" w:rsidRPr="00793E2C" w14:paraId="0CCEC5FF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7AD6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106764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4D2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33F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D0F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6B9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D56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77B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pěší, vnitrobloky, ostatní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E8B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36EF7F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715E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106766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2A0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D9D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90C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1E6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10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09F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pěší, vnitrobloky, ostatní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69C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C62CA6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D409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106768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1D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2A4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29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EB0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E49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B96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IV.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D5F3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4B73B1DC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C13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106770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34D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barevná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540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743B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B86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Nové Město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01E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6EED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77E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  <w:tr w:rsidR="00793E2C" w:rsidRPr="00793E2C" w14:paraId="5C0B6066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0FC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500002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0A60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F0D8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84E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Most legií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7EF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Malá Strana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C82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A9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9F2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6B0F42D2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22F7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702461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258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ECE2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48EF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C075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Holešovice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4D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2E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07A6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  <w:tr w:rsidR="00793E2C" w:rsidRPr="00793E2C" w14:paraId="0A69F9EE" w14:textId="77777777" w:rsidTr="00B654D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521F" w14:textId="77777777" w:rsidR="00793E2C" w:rsidRPr="00793E2C" w:rsidRDefault="00793E2C" w:rsidP="00793E2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702462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5564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215C98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215C98"/>
                <w:sz w:val="18"/>
                <w:szCs w:val="18"/>
              </w:rPr>
              <w:t>modrá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A6E9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Světelné místo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FA5A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Čechův most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5A5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Holešovice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6B71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Stožár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96BC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místní komunikace I. třídy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651E" w14:textId="77777777" w:rsidR="00793E2C" w:rsidRPr="00793E2C" w:rsidRDefault="00793E2C" w:rsidP="00793E2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3E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</w:tbl>
    <w:p w14:paraId="0440E7A0" w14:textId="77777777" w:rsidR="002C241E" w:rsidRDefault="002C241E" w:rsidP="0042389B">
      <w:pPr>
        <w:rPr>
          <w:rFonts w:ascii="Calibri" w:hAnsi="Calibri" w:cs="Calibri"/>
        </w:rPr>
      </w:pPr>
    </w:p>
    <w:p w14:paraId="519438C3" w14:textId="77777777" w:rsidR="008972B7" w:rsidRDefault="008972B7">
      <w:pPr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D77E4EA" w14:textId="478CE975" w:rsidR="00224C1D" w:rsidRDefault="00224C1D" w:rsidP="0042389B">
      <w:pPr>
        <w:rPr>
          <w:rFonts w:ascii="Calibri" w:hAnsi="Calibri" w:cs="Calibri"/>
          <w:b/>
          <w:bCs/>
        </w:rPr>
      </w:pPr>
      <w:r w:rsidRPr="00224C1D">
        <w:rPr>
          <w:rFonts w:ascii="Calibri" w:hAnsi="Calibri" w:cs="Calibri"/>
          <w:b/>
          <w:bCs/>
        </w:rPr>
        <w:lastRenderedPageBreak/>
        <w:t>Příloha č. 3: Vzhled vlajek umístěných na VO</w:t>
      </w:r>
    </w:p>
    <w:p w14:paraId="769D1DC0" w14:textId="4D3D5350" w:rsidR="002924CE" w:rsidRDefault="002924CE" w:rsidP="0042389B">
      <w:pPr>
        <w:rPr>
          <w:rFonts w:ascii="Calibri" w:hAnsi="Calibri" w:cs="Calibri"/>
          <w:b/>
          <w:bCs/>
        </w:rPr>
      </w:pPr>
    </w:p>
    <w:p w14:paraId="6CD9F569" w14:textId="44B21055" w:rsidR="002924CE" w:rsidRPr="00224C1D" w:rsidRDefault="002924CE" w:rsidP="0042389B">
      <w:pPr>
        <w:rPr>
          <w:rFonts w:ascii="Calibri" w:hAnsi="Calibri" w:cs="Calibri"/>
          <w:b/>
          <w:bCs/>
        </w:rPr>
      </w:pPr>
    </w:p>
    <w:sectPr w:rsidR="002924CE" w:rsidRPr="00224C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77A8" w14:textId="77777777" w:rsidR="00B67DE2" w:rsidRDefault="00B67DE2" w:rsidP="006E75EF">
      <w:r>
        <w:separator/>
      </w:r>
    </w:p>
  </w:endnote>
  <w:endnote w:type="continuationSeparator" w:id="0">
    <w:p w14:paraId="2D92F072" w14:textId="77777777" w:rsidR="00B67DE2" w:rsidRDefault="00B67DE2" w:rsidP="006E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254590"/>
      <w:docPartObj>
        <w:docPartGallery w:val="Page Numbers (Bottom of Page)"/>
        <w:docPartUnique/>
      </w:docPartObj>
    </w:sdtPr>
    <w:sdtEndPr/>
    <w:sdtContent>
      <w:p w14:paraId="313B242A" w14:textId="54792A34" w:rsidR="007E4218" w:rsidRDefault="007E421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3E16B" w14:textId="08FB716D" w:rsidR="000D4876" w:rsidRPr="006E75EF" w:rsidRDefault="000D4876" w:rsidP="006E75EF">
    <w:pPr>
      <w:pStyle w:val="Zpat"/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EAD3" w14:textId="77777777" w:rsidR="00B67DE2" w:rsidRDefault="00B67DE2" w:rsidP="006E75EF">
      <w:r>
        <w:separator/>
      </w:r>
    </w:p>
  </w:footnote>
  <w:footnote w:type="continuationSeparator" w:id="0">
    <w:p w14:paraId="0429BDD6" w14:textId="77777777" w:rsidR="00B67DE2" w:rsidRDefault="00B67DE2" w:rsidP="006E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A5B"/>
    <w:multiLevelType w:val="hybridMultilevel"/>
    <w:tmpl w:val="79C87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5FB"/>
    <w:multiLevelType w:val="hybridMultilevel"/>
    <w:tmpl w:val="DEA85C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16A18"/>
    <w:multiLevelType w:val="hybridMultilevel"/>
    <w:tmpl w:val="D6AC1BB6"/>
    <w:lvl w:ilvl="0" w:tplc="BABC332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684C"/>
    <w:multiLevelType w:val="hybridMultilevel"/>
    <w:tmpl w:val="0E7AB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3A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C0E1B76"/>
    <w:multiLevelType w:val="hybridMultilevel"/>
    <w:tmpl w:val="7FE0165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0F973A65"/>
    <w:multiLevelType w:val="hybridMultilevel"/>
    <w:tmpl w:val="57F4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5E13"/>
    <w:multiLevelType w:val="hybridMultilevel"/>
    <w:tmpl w:val="7D8CEC68"/>
    <w:lvl w:ilvl="0" w:tplc="0405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9" w:hanging="360"/>
      </w:pPr>
      <w:rPr>
        <w:rFonts w:ascii="Wingdings" w:hAnsi="Wingdings" w:hint="default"/>
      </w:rPr>
    </w:lvl>
  </w:abstractNum>
  <w:abstractNum w:abstractNumId="8" w15:restartNumberingAfterBreak="0">
    <w:nsid w:val="14BE705A"/>
    <w:multiLevelType w:val="hybridMultilevel"/>
    <w:tmpl w:val="123289F4"/>
    <w:lvl w:ilvl="0" w:tplc="58C87F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01E"/>
    <w:multiLevelType w:val="hybridMultilevel"/>
    <w:tmpl w:val="242E47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475A"/>
    <w:multiLevelType w:val="hybridMultilevel"/>
    <w:tmpl w:val="97784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1A69"/>
    <w:multiLevelType w:val="hybridMultilevel"/>
    <w:tmpl w:val="EB9EA35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1D129A"/>
    <w:multiLevelType w:val="hybridMultilevel"/>
    <w:tmpl w:val="C8B204A4"/>
    <w:lvl w:ilvl="0" w:tplc="ABEC089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B6741AB"/>
    <w:multiLevelType w:val="hybridMultilevel"/>
    <w:tmpl w:val="FEB2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133C"/>
    <w:multiLevelType w:val="hybridMultilevel"/>
    <w:tmpl w:val="E5C8CC4E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88A4302"/>
    <w:multiLevelType w:val="multilevel"/>
    <w:tmpl w:val="071A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31741"/>
    <w:multiLevelType w:val="hybridMultilevel"/>
    <w:tmpl w:val="9A9CC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416D2"/>
    <w:multiLevelType w:val="hybridMultilevel"/>
    <w:tmpl w:val="3C863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44F6"/>
    <w:multiLevelType w:val="hybridMultilevel"/>
    <w:tmpl w:val="1BB43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627A"/>
    <w:multiLevelType w:val="hybridMultilevel"/>
    <w:tmpl w:val="473AF334"/>
    <w:lvl w:ilvl="0" w:tplc="ABEC08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129F8"/>
    <w:multiLevelType w:val="hybridMultilevel"/>
    <w:tmpl w:val="91B67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3A69"/>
    <w:multiLevelType w:val="hybridMultilevel"/>
    <w:tmpl w:val="E0141214"/>
    <w:lvl w:ilvl="0" w:tplc="D94E45A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F2D15"/>
    <w:multiLevelType w:val="hybridMultilevel"/>
    <w:tmpl w:val="6EFC3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2447C"/>
    <w:multiLevelType w:val="hybridMultilevel"/>
    <w:tmpl w:val="0B6449E2"/>
    <w:lvl w:ilvl="0" w:tplc="AD48550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4405FE"/>
    <w:multiLevelType w:val="hybridMultilevel"/>
    <w:tmpl w:val="0F360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F466D"/>
    <w:multiLevelType w:val="hybridMultilevel"/>
    <w:tmpl w:val="ED904E68"/>
    <w:lvl w:ilvl="0" w:tplc="ABEC08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C0A08"/>
    <w:multiLevelType w:val="hybridMultilevel"/>
    <w:tmpl w:val="309C2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F15B7"/>
    <w:multiLevelType w:val="hybridMultilevel"/>
    <w:tmpl w:val="6E08A50C"/>
    <w:lvl w:ilvl="0" w:tplc="39EA3D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3363"/>
    <w:multiLevelType w:val="hybridMultilevel"/>
    <w:tmpl w:val="E11CAE7C"/>
    <w:lvl w:ilvl="0" w:tplc="066A938E">
      <w:start w:val="1"/>
      <w:numFmt w:val="decimal"/>
      <w:lvlText w:val="%1."/>
      <w:lvlJc w:val="left"/>
      <w:pPr>
        <w:ind w:left="710" w:hanging="710"/>
      </w:pPr>
      <w:rPr>
        <w:rFonts w:hint="default"/>
        <w:b w:val="0"/>
        <w:bCs w:val="0"/>
        <w:sz w:val="22"/>
        <w:szCs w:val="22"/>
      </w:rPr>
    </w:lvl>
    <w:lvl w:ilvl="1" w:tplc="5EB82B0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36A81498">
      <w:numFmt w:val="bullet"/>
      <w:lvlText w:val="-"/>
      <w:lvlJc w:val="left"/>
      <w:pPr>
        <w:ind w:left="2055" w:hanging="435"/>
      </w:pPr>
      <w:rPr>
        <w:rFonts w:ascii="Aptos" w:eastAsia="Times New Roman" w:hAnsi="Aptos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5A6327"/>
    <w:multiLevelType w:val="hybridMultilevel"/>
    <w:tmpl w:val="7EDC202C"/>
    <w:lvl w:ilvl="0" w:tplc="ABEC0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69ED0458"/>
    <w:multiLevelType w:val="hybridMultilevel"/>
    <w:tmpl w:val="BAC46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A5BDE"/>
    <w:multiLevelType w:val="hybridMultilevel"/>
    <w:tmpl w:val="548AA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2990"/>
    <w:multiLevelType w:val="hybridMultilevel"/>
    <w:tmpl w:val="83E088CE"/>
    <w:lvl w:ilvl="0" w:tplc="71AE8B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4457">
    <w:abstractNumId w:val="4"/>
  </w:num>
  <w:num w:numId="2" w16cid:durableId="2092240087">
    <w:abstractNumId w:val="19"/>
  </w:num>
  <w:num w:numId="3" w16cid:durableId="1623614691">
    <w:abstractNumId w:val="25"/>
  </w:num>
  <w:num w:numId="4" w16cid:durableId="1802533852">
    <w:abstractNumId w:val="1"/>
  </w:num>
  <w:num w:numId="5" w16cid:durableId="1325206984">
    <w:abstractNumId w:val="32"/>
  </w:num>
  <w:num w:numId="6" w16cid:durableId="1510945516">
    <w:abstractNumId w:val="29"/>
  </w:num>
  <w:num w:numId="7" w16cid:durableId="444621538">
    <w:abstractNumId w:val="8"/>
  </w:num>
  <w:num w:numId="8" w16cid:durableId="682782257">
    <w:abstractNumId w:val="12"/>
  </w:num>
  <w:num w:numId="9" w16cid:durableId="1766878488">
    <w:abstractNumId w:val="15"/>
  </w:num>
  <w:num w:numId="10" w16cid:durableId="2044482028">
    <w:abstractNumId w:val="5"/>
  </w:num>
  <w:num w:numId="11" w16cid:durableId="1821187498">
    <w:abstractNumId w:val="7"/>
  </w:num>
  <w:num w:numId="12" w16cid:durableId="217328213">
    <w:abstractNumId w:val="6"/>
  </w:num>
  <w:num w:numId="13" w16cid:durableId="1600065283">
    <w:abstractNumId w:val="13"/>
  </w:num>
  <w:num w:numId="14" w16cid:durableId="2139568018">
    <w:abstractNumId w:val="18"/>
  </w:num>
  <w:num w:numId="15" w16cid:durableId="1778477275">
    <w:abstractNumId w:val="11"/>
  </w:num>
  <w:num w:numId="16" w16cid:durableId="702554222">
    <w:abstractNumId w:val="27"/>
  </w:num>
  <w:num w:numId="17" w16cid:durableId="1107042966">
    <w:abstractNumId w:val="16"/>
  </w:num>
  <w:num w:numId="18" w16cid:durableId="12923439">
    <w:abstractNumId w:val="9"/>
  </w:num>
  <w:num w:numId="19" w16cid:durableId="555897688">
    <w:abstractNumId w:val="3"/>
  </w:num>
  <w:num w:numId="20" w16cid:durableId="290521301">
    <w:abstractNumId w:val="28"/>
  </w:num>
  <w:num w:numId="21" w16cid:durableId="425030913">
    <w:abstractNumId w:val="2"/>
  </w:num>
  <w:num w:numId="22" w16cid:durableId="570584314">
    <w:abstractNumId w:val="14"/>
  </w:num>
  <w:num w:numId="23" w16cid:durableId="1080903932">
    <w:abstractNumId w:val="20"/>
  </w:num>
  <w:num w:numId="24" w16cid:durableId="2094622952">
    <w:abstractNumId w:val="30"/>
  </w:num>
  <w:num w:numId="25" w16cid:durableId="377902821">
    <w:abstractNumId w:val="26"/>
  </w:num>
  <w:num w:numId="26" w16cid:durableId="1348828563">
    <w:abstractNumId w:val="17"/>
  </w:num>
  <w:num w:numId="27" w16cid:durableId="1550801025">
    <w:abstractNumId w:val="10"/>
  </w:num>
  <w:num w:numId="28" w16cid:durableId="521279981">
    <w:abstractNumId w:val="24"/>
  </w:num>
  <w:num w:numId="29" w16cid:durableId="1979459048">
    <w:abstractNumId w:val="31"/>
  </w:num>
  <w:num w:numId="30" w16cid:durableId="153572846">
    <w:abstractNumId w:val="22"/>
  </w:num>
  <w:num w:numId="31" w16cid:durableId="2075006920">
    <w:abstractNumId w:val="0"/>
  </w:num>
  <w:num w:numId="32" w16cid:durableId="803893524">
    <w:abstractNumId w:val="23"/>
  </w:num>
  <w:num w:numId="33" w16cid:durableId="109007892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51"/>
    <w:rsid w:val="000027CD"/>
    <w:rsid w:val="000046E4"/>
    <w:rsid w:val="00014FB1"/>
    <w:rsid w:val="000375A5"/>
    <w:rsid w:val="00064B3B"/>
    <w:rsid w:val="00080215"/>
    <w:rsid w:val="00080744"/>
    <w:rsid w:val="00080E6C"/>
    <w:rsid w:val="000900F2"/>
    <w:rsid w:val="0009564A"/>
    <w:rsid w:val="000A1C26"/>
    <w:rsid w:val="000B09C1"/>
    <w:rsid w:val="000B60FC"/>
    <w:rsid w:val="000C5041"/>
    <w:rsid w:val="000D4876"/>
    <w:rsid w:val="000F7746"/>
    <w:rsid w:val="001061BA"/>
    <w:rsid w:val="001062D2"/>
    <w:rsid w:val="0010658E"/>
    <w:rsid w:val="00120194"/>
    <w:rsid w:val="00122B94"/>
    <w:rsid w:val="001234D8"/>
    <w:rsid w:val="001242F0"/>
    <w:rsid w:val="00125DF2"/>
    <w:rsid w:val="00136E65"/>
    <w:rsid w:val="0015236F"/>
    <w:rsid w:val="001568FA"/>
    <w:rsid w:val="00157592"/>
    <w:rsid w:val="001632AD"/>
    <w:rsid w:val="00163658"/>
    <w:rsid w:val="001649CC"/>
    <w:rsid w:val="00175B01"/>
    <w:rsid w:val="00176E6D"/>
    <w:rsid w:val="001905D5"/>
    <w:rsid w:val="00195BA9"/>
    <w:rsid w:val="001A1A9C"/>
    <w:rsid w:val="001B2AC2"/>
    <w:rsid w:val="001B5B77"/>
    <w:rsid w:val="001D1532"/>
    <w:rsid w:val="001D4E19"/>
    <w:rsid w:val="001E7DF3"/>
    <w:rsid w:val="001F08B7"/>
    <w:rsid w:val="001F4F6B"/>
    <w:rsid w:val="0020798D"/>
    <w:rsid w:val="00215593"/>
    <w:rsid w:val="0022075E"/>
    <w:rsid w:val="00221B6B"/>
    <w:rsid w:val="00224C1D"/>
    <w:rsid w:val="00225295"/>
    <w:rsid w:val="0023100E"/>
    <w:rsid w:val="00231BA3"/>
    <w:rsid w:val="00237BCF"/>
    <w:rsid w:val="00244D79"/>
    <w:rsid w:val="002465FA"/>
    <w:rsid w:val="00246CEA"/>
    <w:rsid w:val="00267181"/>
    <w:rsid w:val="002758F1"/>
    <w:rsid w:val="002759E3"/>
    <w:rsid w:val="00276700"/>
    <w:rsid w:val="002924CE"/>
    <w:rsid w:val="002A5F03"/>
    <w:rsid w:val="002B020E"/>
    <w:rsid w:val="002B5B4E"/>
    <w:rsid w:val="002B6BF8"/>
    <w:rsid w:val="002B7333"/>
    <w:rsid w:val="002B75DC"/>
    <w:rsid w:val="002C1A6D"/>
    <w:rsid w:val="002C241E"/>
    <w:rsid w:val="002E0D92"/>
    <w:rsid w:val="002E400F"/>
    <w:rsid w:val="00304F80"/>
    <w:rsid w:val="00327668"/>
    <w:rsid w:val="00335098"/>
    <w:rsid w:val="0034639C"/>
    <w:rsid w:val="00346D70"/>
    <w:rsid w:val="00354F69"/>
    <w:rsid w:val="003567E6"/>
    <w:rsid w:val="00360819"/>
    <w:rsid w:val="00361CAC"/>
    <w:rsid w:val="00363D54"/>
    <w:rsid w:val="003765F4"/>
    <w:rsid w:val="0038167E"/>
    <w:rsid w:val="00383EE2"/>
    <w:rsid w:val="0038798C"/>
    <w:rsid w:val="003B2078"/>
    <w:rsid w:val="003C3D6E"/>
    <w:rsid w:val="003D0DF7"/>
    <w:rsid w:val="003D3A61"/>
    <w:rsid w:val="003E0DF7"/>
    <w:rsid w:val="003E403D"/>
    <w:rsid w:val="003E6877"/>
    <w:rsid w:val="003F193D"/>
    <w:rsid w:val="003F247A"/>
    <w:rsid w:val="003F56FD"/>
    <w:rsid w:val="00403A2B"/>
    <w:rsid w:val="00411987"/>
    <w:rsid w:val="00421100"/>
    <w:rsid w:val="0042389B"/>
    <w:rsid w:val="00436547"/>
    <w:rsid w:val="00454D4A"/>
    <w:rsid w:val="004577BC"/>
    <w:rsid w:val="00465B72"/>
    <w:rsid w:val="0047358C"/>
    <w:rsid w:val="00476AB8"/>
    <w:rsid w:val="00480BF4"/>
    <w:rsid w:val="004845B9"/>
    <w:rsid w:val="00491F1A"/>
    <w:rsid w:val="004A4CB2"/>
    <w:rsid w:val="004D1000"/>
    <w:rsid w:val="004E311B"/>
    <w:rsid w:val="004F2002"/>
    <w:rsid w:val="004F6935"/>
    <w:rsid w:val="00507129"/>
    <w:rsid w:val="0052787B"/>
    <w:rsid w:val="00540230"/>
    <w:rsid w:val="005429C6"/>
    <w:rsid w:val="00545665"/>
    <w:rsid w:val="00545718"/>
    <w:rsid w:val="00555C40"/>
    <w:rsid w:val="005728BD"/>
    <w:rsid w:val="0057352C"/>
    <w:rsid w:val="00585809"/>
    <w:rsid w:val="00591B73"/>
    <w:rsid w:val="005C5C31"/>
    <w:rsid w:val="005E3ACF"/>
    <w:rsid w:val="005E3B20"/>
    <w:rsid w:val="005F0E49"/>
    <w:rsid w:val="00604FAB"/>
    <w:rsid w:val="00614493"/>
    <w:rsid w:val="00617F98"/>
    <w:rsid w:val="00625351"/>
    <w:rsid w:val="00641466"/>
    <w:rsid w:val="00650CFB"/>
    <w:rsid w:val="00650D78"/>
    <w:rsid w:val="006573DB"/>
    <w:rsid w:val="0066484D"/>
    <w:rsid w:val="006722B1"/>
    <w:rsid w:val="00672F3F"/>
    <w:rsid w:val="006737A2"/>
    <w:rsid w:val="006A08A3"/>
    <w:rsid w:val="006A4C03"/>
    <w:rsid w:val="006B1EEE"/>
    <w:rsid w:val="006C6A79"/>
    <w:rsid w:val="006C6D29"/>
    <w:rsid w:val="006D3B50"/>
    <w:rsid w:val="006E70D0"/>
    <w:rsid w:val="006E75EF"/>
    <w:rsid w:val="006F021D"/>
    <w:rsid w:val="006F289A"/>
    <w:rsid w:val="006F4606"/>
    <w:rsid w:val="006F5F91"/>
    <w:rsid w:val="0070023C"/>
    <w:rsid w:val="00704736"/>
    <w:rsid w:val="0070747A"/>
    <w:rsid w:val="00710138"/>
    <w:rsid w:val="007207FE"/>
    <w:rsid w:val="0072242C"/>
    <w:rsid w:val="00723246"/>
    <w:rsid w:val="007239D7"/>
    <w:rsid w:val="00724A28"/>
    <w:rsid w:val="00726996"/>
    <w:rsid w:val="00735147"/>
    <w:rsid w:val="007426F0"/>
    <w:rsid w:val="007567C5"/>
    <w:rsid w:val="00763AFB"/>
    <w:rsid w:val="00773BD2"/>
    <w:rsid w:val="00780CE2"/>
    <w:rsid w:val="00786607"/>
    <w:rsid w:val="00786A8F"/>
    <w:rsid w:val="00792903"/>
    <w:rsid w:val="00793E2C"/>
    <w:rsid w:val="007957DF"/>
    <w:rsid w:val="007A0DE7"/>
    <w:rsid w:val="007A3853"/>
    <w:rsid w:val="007A53A0"/>
    <w:rsid w:val="007A5A59"/>
    <w:rsid w:val="007B17EF"/>
    <w:rsid w:val="007B424F"/>
    <w:rsid w:val="007B4879"/>
    <w:rsid w:val="007B5DB4"/>
    <w:rsid w:val="007B6729"/>
    <w:rsid w:val="007C4706"/>
    <w:rsid w:val="007D406F"/>
    <w:rsid w:val="007E4218"/>
    <w:rsid w:val="007E510D"/>
    <w:rsid w:val="007E550B"/>
    <w:rsid w:val="007F7632"/>
    <w:rsid w:val="008000A4"/>
    <w:rsid w:val="00824AFE"/>
    <w:rsid w:val="00832B7E"/>
    <w:rsid w:val="00835B36"/>
    <w:rsid w:val="00842740"/>
    <w:rsid w:val="008434B0"/>
    <w:rsid w:val="0085617D"/>
    <w:rsid w:val="008570E5"/>
    <w:rsid w:val="00864A3A"/>
    <w:rsid w:val="00864C28"/>
    <w:rsid w:val="0087149D"/>
    <w:rsid w:val="008972B7"/>
    <w:rsid w:val="008A0237"/>
    <w:rsid w:val="008A5A13"/>
    <w:rsid w:val="008B006B"/>
    <w:rsid w:val="008B4A66"/>
    <w:rsid w:val="008D336A"/>
    <w:rsid w:val="008D6F00"/>
    <w:rsid w:val="008D7D43"/>
    <w:rsid w:val="008E6C91"/>
    <w:rsid w:val="008E76D0"/>
    <w:rsid w:val="008F18F8"/>
    <w:rsid w:val="00904399"/>
    <w:rsid w:val="00906B61"/>
    <w:rsid w:val="00907F53"/>
    <w:rsid w:val="00912EE7"/>
    <w:rsid w:val="00916B0E"/>
    <w:rsid w:val="0092776F"/>
    <w:rsid w:val="00966DD4"/>
    <w:rsid w:val="00972162"/>
    <w:rsid w:val="00981026"/>
    <w:rsid w:val="009810F3"/>
    <w:rsid w:val="00981A93"/>
    <w:rsid w:val="009840DE"/>
    <w:rsid w:val="009B5245"/>
    <w:rsid w:val="009C2816"/>
    <w:rsid w:val="009D7D50"/>
    <w:rsid w:val="009E6309"/>
    <w:rsid w:val="009E7942"/>
    <w:rsid w:val="00A001E4"/>
    <w:rsid w:val="00A02DC6"/>
    <w:rsid w:val="00A250FE"/>
    <w:rsid w:val="00A441DB"/>
    <w:rsid w:val="00A467E2"/>
    <w:rsid w:val="00A527B7"/>
    <w:rsid w:val="00A57285"/>
    <w:rsid w:val="00A638CF"/>
    <w:rsid w:val="00A73D37"/>
    <w:rsid w:val="00A83B31"/>
    <w:rsid w:val="00A90098"/>
    <w:rsid w:val="00AA186E"/>
    <w:rsid w:val="00AA2BFD"/>
    <w:rsid w:val="00AA47B9"/>
    <w:rsid w:val="00AA5D27"/>
    <w:rsid w:val="00AB141F"/>
    <w:rsid w:val="00AB4AF9"/>
    <w:rsid w:val="00AC403A"/>
    <w:rsid w:val="00AC6B58"/>
    <w:rsid w:val="00AE18E7"/>
    <w:rsid w:val="00AE263D"/>
    <w:rsid w:val="00B06E74"/>
    <w:rsid w:val="00B07196"/>
    <w:rsid w:val="00B1332E"/>
    <w:rsid w:val="00B1433D"/>
    <w:rsid w:val="00B14416"/>
    <w:rsid w:val="00B14D00"/>
    <w:rsid w:val="00B16AB4"/>
    <w:rsid w:val="00B30B6C"/>
    <w:rsid w:val="00B34D88"/>
    <w:rsid w:val="00B411A3"/>
    <w:rsid w:val="00B41FF5"/>
    <w:rsid w:val="00B43FA4"/>
    <w:rsid w:val="00B654D7"/>
    <w:rsid w:val="00B66FB9"/>
    <w:rsid w:val="00B67DE2"/>
    <w:rsid w:val="00B715A9"/>
    <w:rsid w:val="00BB5494"/>
    <w:rsid w:val="00BC042C"/>
    <w:rsid w:val="00BC0AE1"/>
    <w:rsid w:val="00BD1494"/>
    <w:rsid w:val="00BE5B6B"/>
    <w:rsid w:val="00BF4572"/>
    <w:rsid w:val="00BF779E"/>
    <w:rsid w:val="00C139DF"/>
    <w:rsid w:val="00C14737"/>
    <w:rsid w:val="00C267D4"/>
    <w:rsid w:val="00C27F02"/>
    <w:rsid w:val="00C3121B"/>
    <w:rsid w:val="00C46B57"/>
    <w:rsid w:val="00C52A65"/>
    <w:rsid w:val="00C638C0"/>
    <w:rsid w:val="00C70009"/>
    <w:rsid w:val="00C726A0"/>
    <w:rsid w:val="00C73F83"/>
    <w:rsid w:val="00C7438D"/>
    <w:rsid w:val="00C77615"/>
    <w:rsid w:val="00C91E15"/>
    <w:rsid w:val="00CA4008"/>
    <w:rsid w:val="00CC2168"/>
    <w:rsid w:val="00CC2702"/>
    <w:rsid w:val="00CC7766"/>
    <w:rsid w:val="00CD2DE7"/>
    <w:rsid w:val="00CE4679"/>
    <w:rsid w:val="00CF2DB6"/>
    <w:rsid w:val="00CF3C67"/>
    <w:rsid w:val="00CF5943"/>
    <w:rsid w:val="00D0430F"/>
    <w:rsid w:val="00D0558A"/>
    <w:rsid w:val="00D13F0F"/>
    <w:rsid w:val="00D47E35"/>
    <w:rsid w:val="00D62302"/>
    <w:rsid w:val="00D705AD"/>
    <w:rsid w:val="00D75901"/>
    <w:rsid w:val="00D81E69"/>
    <w:rsid w:val="00D839FA"/>
    <w:rsid w:val="00D86FF2"/>
    <w:rsid w:val="00D91FF3"/>
    <w:rsid w:val="00DA37E8"/>
    <w:rsid w:val="00DA4B38"/>
    <w:rsid w:val="00DC5241"/>
    <w:rsid w:val="00DC6829"/>
    <w:rsid w:val="00DD2FE1"/>
    <w:rsid w:val="00DE4457"/>
    <w:rsid w:val="00DF4B50"/>
    <w:rsid w:val="00DF4D6C"/>
    <w:rsid w:val="00E05B2A"/>
    <w:rsid w:val="00E1196B"/>
    <w:rsid w:val="00E21028"/>
    <w:rsid w:val="00E33166"/>
    <w:rsid w:val="00E33F7B"/>
    <w:rsid w:val="00E372C7"/>
    <w:rsid w:val="00E40D63"/>
    <w:rsid w:val="00E41161"/>
    <w:rsid w:val="00E45124"/>
    <w:rsid w:val="00E45880"/>
    <w:rsid w:val="00E57CD0"/>
    <w:rsid w:val="00E72552"/>
    <w:rsid w:val="00E739D4"/>
    <w:rsid w:val="00E76954"/>
    <w:rsid w:val="00E819BD"/>
    <w:rsid w:val="00E83539"/>
    <w:rsid w:val="00E855CE"/>
    <w:rsid w:val="00E92DFB"/>
    <w:rsid w:val="00E95346"/>
    <w:rsid w:val="00E97F75"/>
    <w:rsid w:val="00EA39D8"/>
    <w:rsid w:val="00EC2CA2"/>
    <w:rsid w:val="00EE058A"/>
    <w:rsid w:val="00EE097F"/>
    <w:rsid w:val="00EE25E3"/>
    <w:rsid w:val="00EE2BD6"/>
    <w:rsid w:val="00EE2EE7"/>
    <w:rsid w:val="00EE4772"/>
    <w:rsid w:val="00EE679D"/>
    <w:rsid w:val="00F1498B"/>
    <w:rsid w:val="00F15CAB"/>
    <w:rsid w:val="00F16178"/>
    <w:rsid w:val="00F25E5A"/>
    <w:rsid w:val="00F26496"/>
    <w:rsid w:val="00F66C54"/>
    <w:rsid w:val="00F7715E"/>
    <w:rsid w:val="00F7717A"/>
    <w:rsid w:val="00F77C37"/>
    <w:rsid w:val="00F81590"/>
    <w:rsid w:val="00F83919"/>
    <w:rsid w:val="00F9057A"/>
    <w:rsid w:val="00F940A7"/>
    <w:rsid w:val="00F966E3"/>
    <w:rsid w:val="00FA013A"/>
    <w:rsid w:val="00FA2AA8"/>
    <w:rsid w:val="00FA36E8"/>
    <w:rsid w:val="00FA3CAD"/>
    <w:rsid w:val="00FB3841"/>
    <w:rsid w:val="00FC3D7E"/>
    <w:rsid w:val="00FE7701"/>
    <w:rsid w:val="00FF0CD5"/>
    <w:rsid w:val="00FF2CAD"/>
    <w:rsid w:val="00FF6589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06E0"/>
  <w15:docId w15:val="{16343241-DC5A-47A0-BEA4-2775A57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76AB8"/>
    <w:pPr>
      <w:keepNext/>
      <w:jc w:val="both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1242F0"/>
    <w:pPr>
      <w:pageBreakBefore/>
      <w:spacing w:before="200" w:after="120" w:line="360" w:lineRule="auto"/>
      <w:outlineLvl w:val="1"/>
    </w:pPr>
    <w:rPr>
      <w:rFonts w:ascii="Verdana" w:hAnsi="Verdana"/>
      <w:b/>
      <w:bCs/>
      <w:noProof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42F0"/>
    <w:pPr>
      <w:keepNext/>
      <w:spacing w:before="240" w:after="60"/>
      <w:outlineLvl w:val="2"/>
    </w:pPr>
    <w:rPr>
      <w:rFonts w:ascii="Verdana" w:hAnsi="Verdana"/>
      <w:b/>
      <w:bCs/>
      <w:i/>
      <w:noProof/>
      <w:sz w:val="22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2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AB8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Zkladntext">
    <w:name w:val="Body Text"/>
    <w:basedOn w:val="Normln"/>
    <w:link w:val="ZkladntextChar"/>
    <w:rsid w:val="00476AB8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476A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0bbox">
    <w:name w:val="A:0:bbox"/>
    <w:basedOn w:val="Normln"/>
    <w:rsid w:val="00476AB8"/>
    <w:pPr>
      <w:spacing w:before="100" w:after="100"/>
      <w:ind w:left="283" w:hanging="283"/>
    </w:pPr>
    <w:rPr>
      <w:rFonts w:ascii="Arial" w:hAnsi="Arial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76AB8"/>
    <w:pPr>
      <w:spacing w:after="120"/>
    </w:pPr>
    <w:rPr>
      <w:sz w:val="16"/>
      <w:szCs w:val="20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476AB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476AB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6AB8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uiPriority w:val="99"/>
    <w:rsid w:val="00476AB8"/>
    <w:rPr>
      <w:color w:val="0000FF"/>
      <w:u w:val="single"/>
    </w:rPr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476AB8"/>
    <w:pPr>
      <w:ind w:left="708"/>
    </w:pPr>
    <w:rPr>
      <w:lang w:eastAsia="cs-CZ"/>
    </w:rPr>
  </w:style>
  <w:style w:type="character" w:customStyle="1" w:styleId="apple-style-span">
    <w:name w:val="apple-style-span"/>
    <w:basedOn w:val="Standardnpsmoodstavce"/>
    <w:rsid w:val="00476AB8"/>
  </w:style>
  <w:style w:type="paragraph" w:styleId="Bezmezer">
    <w:name w:val="No Spacing"/>
    <w:uiPriority w:val="1"/>
    <w:qFormat/>
    <w:rsid w:val="00476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42F0"/>
    <w:rPr>
      <w:rFonts w:ascii="Verdana" w:eastAsia="Times New Roman" w:hAnsi="Verdana" w:cs="Times New Roman"/>
      <w:b/>
      <w:bCs/>
      <w:noProof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42F0"/>
    <w:rPr>
      <w:rFonts w:ascii="Verdana" w:eastAsia="Times New Roman" w:hAnsi="Verdana" w:cs="Times New Roman"/>
      <w:b/>
      <w:bCs/>
      <w:i/>
      <w:noProof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2F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1242F0"/>
    <w:pPr>
      <w:tabs>
        <w:tab w:val="center" w:pos="4536"/>
        <w:tab w:val="right" w:pos="9072"/>
      </w:tabs>
    </w:pPr>
    <w:rPr>
      <w:sz w:val="20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242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2F0"/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2F0"/>
    <w:rPr>
      <w:rFonts w:ascii="Tahoma" w:eastAsia="Times New Roman" w:hAnsi="Tahoma" w:cs="Tahoma"/>
      <w:sz w:val="16"/>
      <w:szCs w:val="16"/>
      <w:lang w:val="en-US" w:eastAsia="cs-CZ"/>
    </w:rPr>
  </w:style>
  <w:style w:type="paragraph" w:styleId="Zkladntext2">
    <w:name w:val="Body Text 2"/>
    <w:basedOn w:val="Normln"/>
    <w:link w:val="Zkladntext2Char"/>
    <w:rsid w:val="001242F0"/>
    <w:pPr>
      <w:jc w:val="both"/>
    </w:pPr>
    <w:rPr>
      <w:b/>
      <w:i/>
      <w:szCs w:val="20"/>
      <w:lang w:val="en-GB" w:eastAsia="cs-CZ"/>
    </w:rPr>
  </w:style>
  <w:style w:type="character" w:customStyle="1" w:styleId="Zkladntext2Char">
    <w:name w:val="Základní text 2 Char"/>
    <w:basedOn w:val="Standardnpsmoodstavce"/>
    <w:link w:val="Zkladntext2"/>
    <w:rsid w:val="001242F0"/>
    <w:rPr>
      <w:rFonts w:ascii="Times New Roman" w:eastAsia="Times New Roman" w:hAnsi="Times New Roman" w:cs="Times New Roman"/>
      <w:b/>
      <w:i/>
      <w:sz w:val="24"/>
      <w:szCs w:val="20"/>
      <w:lang w:val="en-GB" w:eastAsia="cs-CZ"/>
    </w:rPr>
  </w:style>
  <w:style w:type="character" w:customStyle="1" w:styleId="platne1">
    <w:name w:val="platne1"/>
    <w:rsid w:val="001242F0"/>
  </w:style>
  <w:style w:type="paragraph" w:customStyle="1" w:styleId="lnek">
    <w:name w:val="Článek"/>
    <w:basedOn w:val="Normln"/>
    <w:rsid w:val="001242F0"/>
    <w:pPr>
      <w:snapToGrid w:val="0"/>
      <w:spacing w:before="60" w:after="120"/>
      <w:jc w:val="center"/>
    </w:pPr>
    <w:rPr>
      <w:b/>
      <w:sz w:val="22"/>
      <w:szCs w:val="20"/>
      <w:lang w:val="en-IE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242F0"/>
    <w:pPr>
      <w:spacing w:line="360" w:lineRule="auto"/>
      <w:jc w:val="center"/>
    </w:pPr>
    <w:rPr>
      <w:rFonts w:ascii="Verdana" w:hAnsi="Verdan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1242F0"/>
    <w:rPr>
      <w:rFonts w:ascii="Verdana" w:eastAsia="Times New Roman" w:hAnsi="Verdana" w:cs="Times New Roman"/>
      <w:b/>
      <w:bCs/>
      <w:kern w:val="28"/>
      <w:sz w:val="32"/>
      <w:szCs w:val="32"/>
      <w:lang w:val="x-none" w:eastAsia="x-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2F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1242F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1242F0"/>
  </w:style>
  <w:style w:type="table" w:styleId="Mkatabulky">
    <w:name w:val="Table Grid"/>
    <w:basedOn w:val="Normlntabulka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1242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1242F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customStyle="1" w:styleId="TableGrid1">
    <w:name w:val="Table Grid1"/>
    <w:basedOn w:val="Normlntabulka"/>
    <w:next w:val="Mkatabulky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4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772"/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7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E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D13F0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locked/>
    <w:rsid w:val="007351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7E4218"/>
    <w:pPr>
      <w:ind w:left="705"/>
      <w:jc w:val="both"/>
    </w:pPr>
    <w:rPr>
      <w:szCs w:val="20"/>
      <w:lang w:eastAsia="cs-CZ"/>
    </w:rPr>
  </w:style>
  <w:style w:type="paragraph" w:customStyle="1" w:styleId="paragraph">
    <w:name w:val="paragraph"/>
    <w:basedOn w:val="Normln"/>
    <w:rsid w:val="002C241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2C241E"/>
  </w:style>
  <w:style w:type="character" w:customStyle="1" w:styleId="eop">
    <w:name w:val="eop"/>
    <w:basedOn w:val="Standardnpsmoodstavce"/>
    <w:rsid w:val="002C241E"/>
  </w:style>
  <w:style w:type="character" w:customStyle="1" w:styleId="apple-converted-space">
    <w:name w:val="apple-converted-space"/>
    <w:basedOn w:val="Standardnpsmoodstavce"/>
    <w:rsid w:val="002C241E"/>
  </w:style>
  <w:style w:type="character" w:styleId="Sledovanodkaz">
    <w:name w:val="FollowedHyperlink"/>
    <w:basedOn w:val="Standardnpsmoodstavce"/>
    <w:uiPriority w:val="99"/>
    <w:semiHidden/>
    <w:unhideWhenUsed/>
    <w:rsid w:val="00793E2C"/>
    <w:rPr>
      <w:color w:val="96607D"/>
      <w:u w:val="single"/>
    </w:rPr>
  </w:style>
  <w:style w:type="paragraph" w:customStyle="1" w:styleId="msonormal0">
    <w:name w:val="msonormal"/>
    <w:basedOn w:val="Normln"/>
    <w:rsid w:val="00793E2C"/>
    <w:pPr>
      <w:spacing w:before="100" w:beforeAutospacing="1" w:after="100" w:afterAutospacing="1"/>
    </w:pPr>
  </w:style>
  <w:style w:type="paragraph" w:customStyle="1" w:styleId="xl63">
    <w:name w:val="xl63"/>
    <w:basedOn w:val="Normln"/>
    <w:rsid w:val="00793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4">
    <w:name w:val="xl64"/>
    <w:basedOn w:val="Normln"/>
    <w:rsid w:val="00793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5">
    <w:name w:val="xl65"/>
    <w:basedOn w:val="Normln"/>
    <w:rsid w:val="00793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215C98"/>
    </w:rPr>
  </w:style>
  <w:style w:type="paragraph" w:customStyle="1" w:styleId="xl66">
    <w:name w:val="xl66"/>
    <w:basedOn w:val="Normln"/>
    <w:rsid w:val="00793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7">
    <w:name w:val="xl67"/>
    <w:basedOn w:val="Normln"/>
    <w:rsid w:val="00793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17AD-8128-4884-9B9C-D5AABD92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2896</Words>
  <Characters>17092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Dybal</dc:creator>
  <cp:lastModifiedBy>Kozáková Evelína</cp:lastModifiedBy>
  <cp:revision>5</cp:revision>
  <cp:lastPrinted>2026-03-11T13:15:00Z</cp:lastPrinted>
  <dcterms:created xsi:type="dcterms:W3CDTF">2026-04-09T05:57:00Z</dcterms:created>
  <dcterms:modified xsi:type="dcterms:W3CDTF">2026-04-23T09:02:00Z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2023-03-24T12:05:44Z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c0e11c8c-4a82-4ff6-a101-e41a0b732cd1</vt:lpwstr>
  </property>
  <property fmtid="{D5CDD505-2E9C-101B-9397-08002B2CF9AE}" pid="8" name="MSIP_Label_53b2c928-728b-4698-a3fd-c5d03555aa71_ContentBits">
    <vt:lpwstr>0</vt:lpwstr>
  </property>
</Properties>
</file>