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2261398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Medisyner s.r.o.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24815349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CZ24815349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28.04.2026 11:08:12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213405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GRIP-LOK PICC Med W Adh St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209238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Soup.PICC katetr vysokotlak.4FR JEDNOlumen+SecurAcath+Rouškovaní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234313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Jehla huberova, TYP C, 20G, 15mm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40,00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94 480,39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105 818,04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2261398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