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2261375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ENOVIS Czechia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27.04.2026 13:51:01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2261375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