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AFC49" w14:textId="7AF1AE23" w:rsidR="00FD744D" w:rsidRPr="00EC71F3" w:rsidRDefault="007F58F9" w:rsidP="00FD744D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S</w:t>
      </w:r>
      <w:r w:rsidR="00FD744D" w:rsidRPr="00EC71F3">
        <w:rPr>
          <w:b/>
          <w:sz w:val="32"/>
          <w:szCs w:val="32"/>
        </w:rPr>
        <w:t>mlouv</w:t>
      </w:r>
      <w:r>
        <w:rPr>
          <w:b/>
          <w:sz w:val="32"/>
          <w:szCs w:val="32"/>
        </w:rPr>
        <w:t>a</w:t>
      </w:r>
    </w:p>
    <w:p w14:paraId="7669C984" w14:textId="77777777" w:rsidR="00FD744D" w:rsidRPr="00EC71F3" w:rsidRDefault="00FD744D" w:rsidP="00FD744D">
      <w:pPr>
        <w:jc w:val="center"/>
      </w:pPr>
    </w:p>
    <w:p w14:paraId="5B0001CB" w14:textId="77777777" w:rsidR="00FD744D" w:rsidRPr="00EC71F3" w:rsidRDefault="00FD744D" w:rsidP="00FD744D">
      <w:r w:rsidRPr="00EC71F3">
        <w:t>Níže označené strany</w:t>
      </w:r>
    </w:p>
    <w:p w14:paraId="2A51BBB0" w14:textId="77777777" w:rsidR="00FD744D" w:rsidRPr="00EC71F3" w:rsidRDefault="00FD744D" w:rsidP="00FD744D"/>
    <w:p w14:paraId="1C9A1AD8" w14:textId="77777777" w:rsidR="00FD744D" w:rsidRPr="00EC71F3" w:rsidRDefault="00FD744D" w:rsidP="00FD744D">
      <w:pPr>
        <w:jc w:val="both"/>
        <w:rPr>
          <w:b/>
        </w:rPr>
      </w:pPr>
      <w:r w:rsidRPr="00EC71F3">
        <w:rPr>
          <w:b/>
        </w:rPr>
        <w:t>Obchodní akademie Vinohradská</w:t>
      </w:r>
    </w:p>
    <w:p w14:paraId="5F048405" w14:textId="77777777" w:rsidR="00FD744D" w:rsidRPr="00EC71F3" w:rsidRDefault="00FD744D" w:rsidP="00FD744D">
      <w:pPr>
        <w:jc w:val="both"/>
      </w:pPr>
      <w:r w:rsidRPr="00EC71F3">
        <w:t>se sídlem Vinohradská 1971/38, 120 00 Praha 2, Česká republika</w:t>
      </w:r>
    </w:p>
    <w:p w14:paraId="4B498C75" w14:textId="77777777" w:rsidR="00FD744D" w:rsidRPr="00EC71F3" w:rsidRDefault="00FD744D" w:rsidP="00FD744D">
      <w:pPr>
        <w:jc w:val="both"/>
      </w:pPr>
      <w:r w:rsidRPr="00EC71F3">
        <w:t>osoba oprávněna jednat: RNDr. Milan Macek, CSc., ředitel</w:t>
      </w:r>
    </w:p>
    <w:p w14:paraId="5F9E39C5" w14:textId="77777777" w:rsidR="00FD744D" w:rsidRPr="00EC71F3" w:rsidRDefault="00FD744D" w:rsidP="00FD744D">
      <w:pPr>
        <w:jc w:val="both"/>
      </w:pPr>
      <w:r w:rsidRPr="00EC71F3">
        <w:t>IČO: 61386774</w:t>
      </w:r>
    </w:p>
    <w:p w14:paraId="541B2F87" w14:textId="4A704D9A" w:rsidR="00FD744D" w:rsidRPr="00EC71F3" w:rsidRDefault="00FD744D" w:rsidP="00FD744D">
      <w:pPr>
        <w:jc w:val="both"/>
      </w:pPr>
      <w:r w:rsidRPr="00EC71F3">
        <w:t>DIČ: Není plátce</w:t>
      </w:r>
      <w:r w:rsidR="005755EF" w:rsidRPr="00EC71F3">
        <w:t xml:space="preserve"> DPH</w:t>
      </w:r>
    </w:p>
    <w:p w14:paraId="0E5216F4" w14:textId="77777777" w:rsidR="00FD744D" w:rsidRPr="00EC71F3" w:rsidRDefault="00FD744D" w:rsidP="00FD744D">
      <w:pPr>
        <w:jc w:val="both"/>
      </w:pPr>
      <w:r w:rsidRPr="00EC71F3">
        <w:t>ID datové schránky: 2u5yduv</w:t>
      </w:r>
    </w:p>
    <w:p w14:paraId="7E474B08" w14:textId="77777777" w:rsidR="00FD744D" w:rsidRPr="00EC71F3" w:rsidRDefault="00FD744D" w:rsidP="00FD744D">
      <w:pPr>
        <w:jc w:val="both"/>
      </w:pPr>
      <w:r w:rsidRPr="00EC71F3">
        <w:t>e-mail: info@oavin.cz</w:t>
      </w:r>
    </w:p>
    <w:p w14:paraId="10165B2F" w14:textId="77777777" w:rsidR="00FD744D" w:rsidRPr="00EC71F3" w:rsidRDefault="00FD744D" w:rsidP="00FD744D">
      <w:pPr>
        <w:jc w:val="both"/>
      </w:pPr>
      <w:r w:rsidRPr="00EC71F3">
        <w:t>tel. +420 778 534 317 (ústředna)</w:t>
      </w:r>
    </w:p>
    <w:p w14:paraId="686F1E2F" w14:textId="77777777" w:rsidR="00FD744D" w:rsidRPr="00EC71F3" w:rsidRDefault="00FD744D" w:rsidP="00FD744D">
      <w:pPr>
        <w:jc w:val="both"/>
      </w:pPr>
      <w:r w:rsidRPr="00EC71F3">
        <w:t>kontaktní osoba ve věcech technických: Mgr. Ivan Kořínek</w:t>
      </w:r>
    </w:p>
    <w:p w14:paraId="531B9CD9" w14:textId="77777777" w:rsidR="00FD744D" w:rsidRPr="00EC71F3" w:rsidRDefault="00FD744D" w:rsidP="00FD744D">
      <w:pPr>
        <w:pStyle w:val="Odstavecseseznamem"/>
        <w:ind w:left="0"/>
        <w:jc w:val="both"/>
        <w:rPr>
          <w:b/>
        </w:rPr>
      </w:pPr>
      <w:r w:rsidRPr="00EC71F3">
        <w:rPr>
          <w:b/>
        </w:rPr>
        <w:t>dále jen objednatel</w:t>
      </w:r>
    </w:p>
    <w:p w14:paraId="655D06EC" w14:textId="77777777" w:rsidR="00FD744D" w:rsidRPr="00EC71F3" w:rsidRDefault="00FD744D" w:rsidP="00FD744D">
      <w:pPr>
        <w:jc w:val="center"/>
      </w:pPr>
      <w:r w:rsidRPr="00EC71F3">
        <w:t>a</w:t>
      </w:r>
    </w:p>
    <w:p w14:paraId="3CDF809F" w14:textId="77777777" w:rsidR="00FD744D" w:rsidRPr="00EC71F3" w:rsidRDefault="00FD744D" w:rsidP="00FD744D">
      <w:pPr>
        <w:jc w:val="center"/>
      </w:pPr>
    </w:p>
    <w:p w14:paraId="65563B63" w14:textId="11BCD9A3" w:rsidR="00FD744D" w:rsidRPr="00EC71F3" w:rsidRDefault="00FD744D" w:rsidP="00FD744D">
      <w:pPr>
        <w:jc w:val="both"/>
        <w:rPr>
          <w:b/>
        </w:rPr>
      </w:pPr>
      <w:r w:rsidRPr="00EC71F3">
        <w:rPr>
          <w:b/>
        </w:rPr>
        <w:t xml:space="preserve">jméno, příjmení/ název, obchodní firma/ </w:t>
      </w:r>
      <w:r w:rsidR="001A7360">
        <w:rPr>
          <w:b/>
        </w:rPr>
        <w:t>Václav Zeman – zpracování kamene</w:t>
      </w:r>
    </w:p>
    <w:p w14:paraId="383126D2" w14:textId="4E5D3C0D" w:rsidR="00FD744D" w:rsidRPr="00EC71F3" w:rsidRDefault="00FD744D" w:rsidP="00FD744D">
      <w:pPr>
        <w:jc w:val="both"/>
      </w:pPr>
      <w:r w:rsidRPr="00EC71F3">
        <w:t xml:space="preserve">se sídlem </w:t>
      </w:r>
      <w:r w:rsidR="001A7360">
        <w:t>Aloise Hlavatého 2208</w:t>
      </w:r>
      <w:r w:rsidRPr="00EC71F3">
        <w:t>,</w:t>
      </w:r>
      <w:r w:rsidR="001A7360">
        <w:t xml:space="preserve"> Hořice</w:t>
      </w:r>
    </w:p>
    <w:p w14:paraId="514414EB" w14:textId="09CDD3AE" w:rsidR="00FD744D" w:rsidRPr="00EC71F3" w:rsidRDefault="00FD744D" w:rsidP="00FD744D">
      <w:pPr>
        <w:jc w:val="both"/>
      </w:pPr>
      <w:r w:rsidRPr="00EC71F3">
        <w:t xml:space="preserve">IČ: </w:t>
      </w:r>
      <w:r w:rsidR="001A7360">
        <w:t>07010044</w:t>
      </w:r>
    </w:p>
    <w:p w14:paraId="2C58BAE4" w14:textId="728364D3" w:rsidR="00FD744D" w:rsidRPr="00EC71F3" w:rsidRDefault="00FD744D" w:rsidP="00FD744D">
      <w:pPr>
        <w:jc w:val="both"/>
      </w:pPr>
      <w:r w:rsidRPr="00EC71F3">
        <w:t xml:space="preserve">tel: </w:t>
      </w:r>
      <w:r w:rsidR="001A7360">
        <w:t>734135467</w:t>
      </w:r>
    </w:p>
    <w:p w14:paraId="63068D13" w14:textId="3B4EFD53" w:rsidR="00FD744D" w:rsidRPr="00EC71F3" w:rsidRDefault="00FD744D" w:rsidP="00FD744D">
      <w:pPr>
        <w:jc w:val="both"/>
      </w:pPr>
      <w:r w:rsidRPr="00EC71F3">
        <w:t xml:space="preserve">e-mail: </w:t>
      </w:r>
      <w:r w:rsidR="001A7360">
        <w:t>zemanV6@gmail.com</w:t>
      </w:r>
    </w:p>
    <w:p w14:paraId="3D37BE3D" w14:textId="2C49D24B" w:rsidR="00035CE2" w:rsidRPr="00EC71F3" w:rsidRDefault="00035CE2" w:rsidP="00FD744D">
      <w:pPr>
        <w:jc w:val="both"/>
        <w:rPr>
          <w:b/>
          <w:bCs/>
        </w:rPr>
      </w:pPr>
      <w:r w:rsidRPr="00EC71F3">
        <w:rPr>
          <w:b/>
          <w:bCs/>
        </w:rPr>
        <w:t>dále jen dodavatel</w:t>
      </w:r>
    </w:p>
    <w:p w14:paraId="271548A9" w14:textId="77777777" w:rsidR="00035CE2" w:rsidRPr="00EC71F3" w:rsidRDefault="00035CE2" w:rsidP="00FD744D">
      <w:pPr>
        <w:jc w:val="both"/>
      </w:pPr>
    </w:p>
    <w:p w14:paraId="01C86E13" w14:textId="021DA18F" w:rsidR="00FD744D" w:rsidRPr="00EC71F3" w:rsidRDefault="00FD744D" w:rsidP="00FD744D">
      <w:pPr>
        <w:pStyle w:val="Odstavecseseznamem"/>
        <w:numPr>
          <w:ilvl w:val="0"/>
          <w:numId w:val="22"/>
        </w:numPr>
        <w:jc w:val="both"/>
        <w:rPr>
          <w:b/>
        </w:rPr>
      </w:pPr>
      <w:r w:rsidRPr="00EC71F3">
        <w:rPr>
          <w:b/>
        </w:rPr>
        <w:t xml:space="preserve">objednatel a </w:t>
      </w:r>
      <w:r w:rsidR="00D429D0" w:rsidRPr="00EC71F3">
        <w:rPr>
          <w:b/>
        </w:rPr>
        <w:t>dodavatel</w:t>
      </w:r>
      <w:r w:rsidRPr="00EC71F3">
        <w:rPr>
          <w:b/>
        </w:rPr>
        <w:t xml:space="preserve"> dále jen smluvní strany </w:t>
      </w:r>
    </w:p>
    <w:p w14:paraId="0133915E" w14:textId="77777777" w:rsidR="00FD744D" w:rsidRPr="00EC71F3" w:rsidRDefault="00FD744D" w:rsidP="00FD744D">
      <w:pPr>
        <w:jc w:val="center"/>
      </w:pPr>
    </w:p>
    <w:p w14:paraId="325C7B0C" w14:textId="0FD13F69" w:rsidR="00FD744D" w:rsidRPr="00EC71F3" w:rsidRDefault="00035CE2" w:rsidP="00FD744D">
      <w:pPr>
        <w:spacing w:after="480"/>
        <w:jc w:val="both"/>
      </w:pPr>
      <w:r w:rsidRPr="00EC71F3">
        <w:t xml:space="preserve">smluvní strany </w:t>
      </w:r>
      <w:r w:rsidR="00FD744D" w:rsidRPr="00EC71F3">
        <w:t>uzavírají v souladu s ustanoveními § 1746 odst. 2 a § 2371 a následujících zákona č. 89/2012 Sb., občanský zákoník v platném znění (dále jen „občanský zákoník“) k veřejné zakázce „</w:t>
      </w:r>
      <w:r w:rsidR="00A667AB" w:rsidRPr="00EC71F3">
        <w:rPr>
          <w:b/>
        </w:rPr>
        <w:t>Oprava fasády</w:t>
      </w:r>
      <w:r w:rsidR="00FD744D" w:rsidRPr="00EC71F3">
        <w:t>“ následujícího znění a obsahu (dále jen smlouva).</w:t>
      </w:r>
    </w:p>
    <w:p w14:paraId="20E9592A" w14:textId="77777777" w:rsidR="00FD744D" w:rsidRPr="00EC71F3" w:rsidRDefault="00FD744D" w:rsidP="00FD744D">
      <w:pPr>
        <w:spacing w:before="240"/>
        <w:jc w:val="center"/>
        <w:rPr>
          <w:b/>
          <w:caps/>
        </w:rPr>
      </w:pPr>
      <w:r w:rsidRPr="00EC71F3">
        <w:rPr>
          <w:b/>
          <w:caps/>
        </w:rPr>
        <w:t>Článek 1</w:t>
      </w:r>
    </w:p>
    <w:p w14:paraId="330E76D7" w14:textId="77777777" w:rsidR="00FD744D" w:rsidRPr="00EC71F3" w:rsidRDefault="00FD744D" w:rsidP="00FD744D">
      <w:pPr>
        <w:pStyle w:val="Nadpis5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EC71F3">
        <w:rPr>
          <w:rFonts w:ascii="Times New Roman" w:hAnsi="Times New Roman"/>
          <w:i w:val="0"/>
          <w:sz w:val="24"/>
          <w:szCs w:val="24"/>
        </w:rPr>
        <w:t>Předmět smlouvy</w:t>
      </w:r>
    </w:p>
    <w:p w14:paraId="4CF1D861" w14:textId="77777777" w:rsidR="00FD744D" w:rsidRPr="00EC71F3" w:rsidRDefault="00FD744D" w:rsidP="00FD744D">
      <w:pPr>
        <w:numPr>
          <w:ilvl w:val="0"/>
          <w:numId w:val="23"/>
        </w:numPr>
        <w:spacing w:before="120" w:after="120"/>
        <w:ind w:left="284" w:hanging="284"/>
        <w:jc w:val="both"/>
      </w:pPr>
      <w:r w:rsidRPr="00EC71F3">
        <w:t>Předmětem smlouvy:</w:t>
      </w:r>
    </w:p>
    <w:p w14:paraId="7506E142" w14:textId="5E2A34E0" w:rsidR="00FD744D" w:rsidRPr="00EC71F3" w:rsidRDefault="00FD744D" w:rsidP="00FD744D">
      <w:pPr>
        <w:numPr>
          <w:ilvl w:val="1"/>
          <w:numId w:val="23"/>
        </w:numPr>
        <w:spacing w:before="120" w:after="120"/>
        <w:ind w:left="720"/>
        <w:jc w:val="both"/>
      </w:pPr>
      <w:bookmarkStart w:id="0" w:name="_Hlk194568075"/>
      <w:r w:rsidRPr="00EC71F3">
        <w:t xml:space="preserve">je závazek </w:t>
      </w:r>
      <w:r w:rsidR="00D429D0" w:rsidRPr="00EC71F3">
        <w:t>dodavatel</w:t>
      </w:r>
      <w:r w:rsidRPr="00EC71F3">
        <w:t>e</w:t>
      </w:r>
      <w:r w:rsidR="00995820" w:rsidRPr="00EC71F3">
        <w:t xml:space="preserve"> provést opravu fasády</w:t>
      </w:r>
      <w:r w:rsidRPr="00EC71F3">
        <w:t xml:space="preserve">, </w:t>
      </w:r>
      <w:bookmarkEnd w:id="0"/>
      <w:r w:rsidRPr="00EC71F3">
        <w:t>dle přílohy č. 1 smlouvy - specifikace předmětu plnění</w:t>
      </w:r>
    </w:p>
    <w:p w14:paraId="23FC853C" w14:textId="7051036A" w:rsidR="00FD744D" w:rsidRPr="00EC71F3" w:rsidRDefault="00FD744D" w:rsidP="00FD744D">
      <w:pPr>
        <w:numPr>
          <w:ilvl w:val="1"/>
          <w:numId w:val="23"/>
        </w:numPr>
        <w:spacing w:before="120" w:after="120"/>
        <w:ind w:left="720"/>
        <w:jc w:val="both"/>
      </w:pPr>
      <w:r w:rsidRPr="00EC71F3">
        <w:t xml:space="preserve">závazek objednatele zaplatit </w:t>
      </w:r>
      <w:r w:rsidR="00D429D0" w:rsidRPr="00EC71F3">
        <w:t>dodavatel</w:t>
      </w:r>
      <w:r w:rsidRPr="00EC71F3">
        <w:t>i sjednanou cenu.</w:t>
      </w:r>
    </w:p>
    <w:p w14:paraId="116C3B07" w14:textId="4A2DE7B5" w:rsidR="00BE75C4" w:rsidRPr="00EC71F3" w:rsidRDefault="00BE75C4">
      <w:r w:rsidRPr="00EC71F3">
        <w:br w:type="page"/>
      </w:r>
    </w:p>
    <w:p w14:paraId="0021273B" w14:textId="77777777" w:rsidR="00FD744D" w:rsidRPr="00EC71F3" w:rsidRDefault="00FD744D" w:rsidP="00FD744D">
      <w:pPr>
        <w:suppressAutoHyphens/>
        <w:overflowPunct w:val="0"/>
        <w:autoSpaceDE w:val="0"/>
        <w:autoSpaceDN w:val="0"/>
        <w:adjustRightInd w:val="0"/>
        <w:jc w:val="center"/>
        <w:rPr>
          <w:b/>
        </w:rPr>
      </w:pPr>
      <w:r w:rsidRPr="00EC71F3">
        <w:rPr>
          <w:b/>
        </w:rPr>
        <w:lastRenderedPageBreak/>
        <w:t>ČLÁNEK 2</w:t>
      </w:r>
    </w:p>
    <w:p w14:paraId="12EAB1F1" w14:textId="77777777" w:rsidR="00FD744D" w:rsidRPr="00EC71F3" w:rsidRDefault="00FD744D" w:rsidP="00FD744D">
      <w:pPr>
        <w:suppressAutoHyphens/>
        <w:overflowPunct w:val="0"/>
        <w:autoSpaceDE w:val="0"/>
        <w:autoSpaceDN w:val="0"/>
        <w:adjustRightInd w:val="0"/>
        <w:spacing w:after="120"/>
        <w:jc w:val="center"/>
        <w:rPr>
          <w:b/>
        </w:rPr>
      </w:pPr>
      <w:r w:rsidRPr="00EC71F3">
        <w:rPr>
          <w:b/>
        </w:rPr>
        <w:t>Doba a místo plnění</w:t>
      </w:r>
    </w:p>
    <w:p w14:paraId="50B9242C" w14:textId="35A87297" w:rsidR="00FD744D" w:rsidRPr="00EC71F3" w:rsidRDefault="00FD744D" w:rsidP="00FD744D">
      <w:pPr>
        <w:numPr>
          <w:ilvl w:val="0"/>
          <w:numId w:val="24"/>
        </w:numPr>
        <w:spacing w:after="120" w:line="276" w:lineRule="auto"/>
        <w:ind w:left="284" w:hanging="284"/>
        <w:jc w:val="both"/>
        <w:rPr>
          <w:lang w:eastAsia="en-US"/>
        </w:rPr>
      </w:pPr>
      <w:r w:rsidRPr="00EC71F3">
        <w:rPr>
          <w:lang w:eastAsia="en-US"/>
        </w:rPr>
        <w:t xml:space="preserve">Požadovaný termín dodání </w:t>
      </w:r>
      <w:r w:rsidR="00995820" w:rsidRPr="00EC71F3">
        <w:rPr>
          <w:lang w:eastAsia="en-US"/>
        </w:rPr>
        <w:t>je duben – květen 2026</w:t>
      </w:r>
      <w:r w:rsidRPr="00EC71F3">
        <w:rPr>
          <w:lang w:eastAsia="en-US"/>
        </w:rPr>
        <w:t xml:space="preserve">. </w:t>
      </w:r>
    </w:p>
    <w:p w14:paraId="69AD87FA" w14:textId="77777777" w:rsidR="00FD744D" w:rsidRPr="00EC71F3" w:rsidRDefault="00FD744D" w:rsidP="00FD744D">
      <w:pPr>
        <w:numPr>
          <w:ilvl w:val="0"/>
          <w:numId w:val="24"/>
        </w:numPr>
        <w:spacing w:after="480"/>
        <w:ind w:left="284" w:hanging="284"/>
        <w:jc w:val="both"/>
        <w:rPr>
          <w:lang w:eastAsia="en-US"/>
        </w:rPr>
      </w:pPr>
      <w:r w:rsidRPr="00EC71F3">
        <w:rPr>
          <w:lang w:eastAsia="en-US"/>
        </w:rPr>
        <w:t>Místem plnění je sídlo objednatele.</w:t>
      </w:r>
    </w:p>
    <w:p w14:paraId="414665A0" w14:textId="77777777" w:rsidR="00FD744D" w:rsidRPr="00EC71F3" w:rsidRDefault="00FD744D" w:rsidP="00FD744D">
      <w:pPr>
        <w:keepNext/>
        <w:suppressAutoHyphens/>
        <w:overflowPunct w:val="0"/>
        <w:autoSpaceDE w:val="0"/>
        <w:autoSpaceDN w:val="0"/>
        <w:adjustRightInd w:val="0"/>
        <w:jc w:val="center"/>
        <w:rPr>
          <w:b/>
        </w:rPr>
      </w:pPr>
      <w:r w:rsidRPr="00EC71F3">
        <w:t xml:space="preserve"> </w:t>
      </w:r>
      <w:r w:rsidRPr="00EC71F3">
        <w:rPr>
          <w:b/>
        </w:rPr>
        <w:t>ČLÁNEK 3</w:t>
      </w:r>
    </w:p>
    <w:p w14:paraId="44B582DE" w14:textId="77777777" w:rsidR="00FD744D" w:rsidRPr="00EC71F3" w:rsidRDefault="00FD744D" w:rsidP="00FD744D">
      <w:pPr>
        <w:keepNext/>
        <w:spacing w:after="120"/>
        <w:jc w:val="center"/>
        <w:outlineLvl w:val="0"/>
        <w:rPr>
          <w:b/>
          <w:bCs/>
          <w:kern w:val="32"/>
        </w:rPr>
      </w:pPr>
      <w:r w:rsidRPr="00EC71F3">
        <w:rPr>
          <w:b/>
          <w:bCs/>
          <w:kern w:val="32"/>
        </w:rPr>
        <w:t>Cena a platební podmínky</w:t>
      </w:r>
    </w:p>
    <w:p w14:paraId="026A4D07" w14:textId="77777777" w:rsidR="00FD744D" w:rsidRPr="00EC71F3" w:rsidRDefault="00FD744D" w:rsidP="00FD744D">
      <w:pPr>
        <w:keepNext/>
        <w:numPr>
          <w:ilvl w:val="0"/>
          <w:numId w:val="25"/>
        </w:numPr>
        <w:spacing w:before="240" w:after="120" w:line="276" w:lineRule="auto"/>
        <w:ind w:left="284" w:hanging="284"/>
        <w:jc w:val="both"/>
        <w:outlineLvl w:val="2"/>
        <w:rPr>
          <w:bCs/>
          <w:lang w:eastAsia="en-US"/>
        </w:rPr>
      </w:pPr>
      <w:r w:rsidRPr="00EC71F3">
        <w:rPr>
          <w:lang w:eastAsia="en-US"/>
        </w:rPr>
        <w:t xml:space="preserve">Cena za předmět plnění v Kč se sjednává </w:t>
      </w:r>
      <w:r w:rsidRPr="00EC71F3">
        <w:rPr>
          <w:bCs/>
          <w:lang w:eastAsia="en-US"/>
        </w:rPr>
        <w:t>ve výši:</w:t>
      </w:r>
    </w:p>
    <w:tbl>
      <w:tblPr>
        <w:tblW w:w="0" w:type="auto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6"/>
        <w:gridCol w:w="1474"/>
        <w:gridCol w:w="1474"/>
        <w:gridCol w:w="1474"/>
      </w:tblGrid>
      <w:tr w:rsidR="00FD744D" w:rsidRPr="00EC71F3" w14:paraId="37FBEFB5" w14:textId="77777777">
        <w:tc>
          <w:tcPr>
            <w:tcW w:w="469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19B8DE" w14:textId="77777777" w:rsidR="00FD744D" w:rsidRPr="00EC71F3" w:rsidRDefault="00FD744D">
            <w:pPr>
              <w:keepNext/>
              <w:spacing w:line="276" w:lineRule="auto"/>
              <w:jc w:val="center"/>
            </w:pPr>
            <w:r w:rsidRPr="00EC71F3">
              <w:rPr>
                <w:b/>
              </w:rPr>
              <w:t>Označení a bližší specifikace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D606C0" w14:textId="77777777" w:rsidR="00FD744D" w:rsidRPr="00EC71F3" w:rsidRDefault="00FD744D">
            <w:pPr>
              <w:keepNext/>
              <w:spacing w:line="276" w:lineRule="auto"/>
              <w:jc w:val="center"/>
              <w:rPr>
                <w:b/>
              </w:rPr>
            </w:pPr>
            <w:r w:rsidRPr="00EC71F3">
              <w:rPr>
                <w:b/>
              </w:rPr>
              <w:t xml:space="preserve">Cena </w:t>
            </w:r>
          </w:p>
          <w:p w14:paraId="49CDC605" w14:textId="77777777" w:rsidR="00FD744D" w:rsidRPr="00EC71F3" w:rsidRDefault="00FD744D">
            <w:pPr>
              <w:keepNext/>
              <w:spacing w:line="276" w:lineRule="auto"/>
              <w:jc w:val="center"/>
            </w:pPr>
            <w:r w:rsidRPr="00EC71F3">
              <w:rPr>
                <w:b/>
              </w:rPr>
              <w:t>bez DPH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76329896" w14:textId="7026FBA8" w:rsidR="00FD744D" w:rsidRPr="00EC71F3" w:rsidRDefault="00FD744D">
            <w:pPr>
              <w:keepNext/>
              <w:spacing w:line="276" w:lineRule="auto"/>
              <w:jc w:val="center"/>
              <w:rPr>
                <w:b/>
              </w:rPr>
            </w:pPr>
            <w:r w:rsidRPr="00EC71F3">
              <w:rPr>
                <w:b/>
              </w:rPr>
              <w:t>DPH</w:t>
            </w:r>
            <w:r w:rsidR="0000162D" w:rsidRPr="00EC71F3">
              <w:rPr>
                <w:b/>
              </w:rPr>
              <w:t xml:space="preserve"> </w:t>
            </w:r>
            <w:r w:rsidRPr="00EC71F3">
              <w:rPr>
                <w:b/>
              </w:rPr>
              <w:t>21%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14AC7B" w14:textId="77777777" w:rsidR="00FD744D" w:rsidRPr="00EC71F3" w:rsidRDefault="00FD744D">
            <w:pPr>
              <w:keepNext/>
              <w:spacing w:line="276" w:lineRule="auto"/>
              <w:jc w:val="center"/>
              <w:rPr>
                <w:b/>
              </w:rPr>
            </w:pPr>
            <w:r w:rsidRPr="00EC71F3">
              <w:rPr>
                <w:b/>
              </w:rPr>
              <w:t xml:space="preserve">Cena </w:t>
            </w:r>
          </w:p>
          <w:p w14:paraId="4A299312" w14:textId="77777777" w:rsidR="00FD744D" w:rsidRPr="00EC71F3" w:rsidRDefault="00FD744D">
            <w:pPr>
              <w:keepNext/>
              <w:spacing w:line="276" w:lineRule="auto"/>
              <w:jc w:val="center"/>
            </w:pPr>
            <w:r w:rsidRPr="00EC71F3">
              <w:rPr>
                <w:b/>
              </w:rPr>
              <w:t>s DPH</w:t>
            </w:r>
          </w:p>
        </w:tc>
      </w:tr>
      <w:tr w:rsidR="00FD744D" w:rsidRPr="00EC71F3" w14:paraId="69B2B363" w14:textId="77777777">
        <w:tc>
          <w:tcPr>
            <w:tcW w:w="4696" w:type="dxa"/>
            <w:tcBorders>
              <w:top w:val="single" w:sz="1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27C83F" w14:textId="419DA083" w:rsidR="00FD744D" w:rsidRPr="00EC71F3" w:rsidRDefault="00995820">
            <w:pPr>
              <w:keepNext/>
              <w:spacing w:line="276" w:lineRule="auto"/>
            </w:pPr>
            <w:r w:rsidRPr="00EC71F3">
              <w:t xml:space="preserve">Opravy </w:t>
            </w:r>
            <w:r w:rsidR="00FD744D" w:rsidRPr="00EC71F3">
              <w:t>dle zadání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39FC65" w14:textId="77777777" w:rsidR="00FD744D" w:rsidRPr="00EC71F3" w:rsidRDefault="00FD744D">
            <w:pPr>
              <w:keepNext/>
              <w:spacing w:line="276" w:lineRule="auto"/>
            </w:pPr>
          </w:p>
        </w:tc>
        <w:tc>
          <w:tcPr>
            <w:tcW w:w="147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46A8F" w14:textId="77777777" w:rsidR="00FD744D" w:rsidRPr="00EC71F3" w:rsidRDefault="00FD744D">
            <w:pPr>
              <w:keepNext/>
              <w:spacing w:line="276" w:lineRule="auto"/>
              <w:jc w:val="center"/>
              <w:rPr>
                <w:b/>
              </w:rPr>
            </w:pPr>
          </w:p>
        </w:tc>
        <w:tc>
          <w:tcPr>
            <w:tcW w:w="147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C8CECF" w14:textId="7C98602B" w:rsidR="00FD744D" w:rsidRPr="00EC71F3" w:rsidRDefault="00222A84">
            <w:pPr>
              <w:keepNext/>
              <w:spacing w:line="276" w:lineRule="auto"/>
            </w:pPr>
            <w:r>
              <w:t>196</w:t>
            </w:r>
            <w:r w:rsidR="003F18FF">
              <w:t> </w:t>
            </w:r>
            <w:r>
              <w:t>250</w:t>
            </w:r>
          </w:p>
        </w:tc>
      </w:tr>
      <w:tr w:rsidR="00FD744D" w:rsidRPr="00EC71F3" w14:paraId="52C32765" w14:textId="77777777">
        <w:tc>
          <w:tcPr>
            <w:tcW w:w="4696" w:type="dxa"/>
            <w:tcBorders>
              <w:top w:val="single" w:sz="12" w:space="0" w:color="000000"/>
              <w:left w:val="single" w:sz="12" w:space="0" w:color="auto"/>
              <w:bottom w:val="doub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98D527" w14:textId="77777777" w:rsidR="00FD744D" w:rsidRPr="00EC71F3" w:rsidRDefault="00FD744D">
            <w:pPr>
              <w:keepNext/>
              <w:spacing w:line="276" w:lineRule="auto"/>
            </w:pPr>
            <w:r w:rsidRPr="00EC71F3">
              <w:t>Případné další náklady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35FA22" w14:textId="77777777" w:rsidR="00FD744D" w:rsidRPr="00EC71F3" w:rsidRDefault="00FD744D">
            <w:pPr>
              <w:keepNext/>
              <w:spacing w:line="276" w:lineRule="auto"/>
            </w:pPr>
            <w:r w:rsidRPr="00EC71F3">
              <w:t> 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</w:tcPr>
          <w:p w14:paraId="6AC9B055" w14:textId="77777777" w:rsidR="00FD744D" w:rsidRPr="00EC71F3" w:rsidRDefault="00FD744D">
            <w:pPr>
              <w:keepNext/>
              <w:spacing w:line="276" w:lineRule="auto"/>
              <w:jc w:val="center"/>
              <w:rPr>
                <w:b/>
              </w:rPr>
            </w:pPr>
          </w:p>
        </w:tc>
        <w:tc>
          <w:tcPr>
            <w:tcW w:w="1474" w:type="dxa"/>
            <w:tcBorders>
              <w:top w:val="single" w:sz="12" w:space="0" w:color="000000"/>
              <w:left w:val="single" w:sz="2" w:space="0" w:color="000000"/>
              <w:bottom w:val="double" w:sz="4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7E9FBE" w14:textId="77777777" w:rsidR="00FD744D" w:rsidRPr="00EC71F3" w:rsidRDefault="00FD744D">
            <w:pPr>
              <w:keepNext/>
              <w:spacing w:line="276" w:lineRule="auto"/>
            </w:pPr>
            <w:r w:rsidRPr="00EC71F3">
              <w:t> </w:t>
            </w:r>
          </w:p>
        </w:tc>
      </w:tr>
      <w:tr w:rsidR="00FD744D" w:rsidRPr="00EC71F3" w14:paraId="66B4A6B5" w14:textId="77777777">
        <w:tc>
          <w:tcPr>
            <w:tcW w:w="469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CB32B2" w14:textId="77777777" w:rsidR="00FD744D" w:rsidRPr="00EC71F3" w:rsidRDefault="00FD744D">
            <w:pPr>
              <w:spacing w:line="276" w:lineRule="auto"/>
            </w:pPr>
            <w:r w:rsidRPr="00EC71F3">
              <w:rPr>
                <w:b/>
              </w:rPr>
              <w:t>Celkem</w:t>
            </w:r>
          </w:p>
        </w:tc>
        <w:tc>
          <w:tcPr>
            <w:tcW w:w="1474" w:type="dxa"/>
            <w:tcBorders>
              <w:top w:val="double" w:sz="4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64AACF" w14:textId="77777777" w:rsidR="00FD744D" w:rsidRPr="00EC71F3" w:rsidRDefault="00FD744D">
            <w:pPr>
              <w:spacing w:line="276" w:lineRule="auto"/>
            </w:pPr>
          </w:p>
        </w:tc>
        <w:tc>
          <w:tcPr>
            <w:tcW w:w="1474" w:type="dxa"/>
            <w:tcBorders>
              <w:top w:val="double" w:sz="4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41F9A05D" w14:textId="77777777" w:rsidR="00FD744D" w:rsidRPr="00EC71F3" w:rsidRDefault="00FD744D">
            <w:pPr>
              <w:keepNext/>
              <w:spacing w:line="276" w:lineRule="auto"/>
              <w:jc w:val="center"/>
              <w:rPr>
                <w:b/>
              </w:rPr>
            </w:pPr>
          </w:p>
        </w:tc>
        <w:tc>
          <w:tcPr>
            <w:tcW w:w="1474" w:type="dxa"/>
            <w:tcBorders>
              <w:top w:val="double" w:sz="4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89EF79" w14:textId="0ADA87CC" w:rsidR="003F18FF" w:rsidRPr="00EC71F3" w:rsidRDefault="003F18FF">
            <w:pPr>
              <w:spacing w:line="276" w:lineRule="auto"/>
            </w:pPr>
            <w:r>
              <w:t>196 250</w:t>
            </w:r>
          </w:p>
        </w:tc>
      </w:tr>
    </w:tbl>
    <w:p w14:paraId="3B6C5EF9" w14:textId="77777777" w:rsidR="00FD744D" w:rsidRPr="00EC71F3" w:rsidRDefault="00FD744D" w:rsidP="00FD744D">
      <w:pPr>
        <w:spacing w:after="120" w:line="276" w:lineRule="auto"/>
        <w:jc w:val="both"/>
        <w:rPr>
          <w:lang w:eastAsia="en-US"/>
        </w:rPr>
      </w:pPr>
    </w:p>
    <w:p w14:paraId="47843B8A" w14:textId="799D1FE7" w:rsidR="00FD744D" w:rsidRPr="00EC71F3" w:rsidRDefault="00FD744D" w:rsidP="00FD744D">
      <w:pPr>
        <w:numPr>
          <w:ilvl w:val="0"/>
          <w:numId w:val="25"/>
        </w:numPr>
        <w:spacing w:after="120" w:line="276" w:lineRule="auto"/>
        <w:ind w:left="284" w:hanging="284"/>
        <w:jc w:val="both"/>
        <w:rPr>
          <w:lang w:eastAsia="en-US"/>
        </w:rPr>
      </w:pPr>
      <w:r w:rsidRPr="00EC71F3">
        <w:rPr>
          <w:lang w:eastAsia="en-US"/>
        </w:rPr>
        <w:t xml:space="preserve">Splatnost faktury činí 14 dnů ode dne jejího prokazatelného doručení na adresu sídla objednatele. Zaplacením se rozumí okamžikem odepsání příslušné částky z účtu objednatele ve prospěch účtu </w:t>
      </w:r>
      <w:r w:rsidR="00D429D0" w:rsidRPr="00EC71F3">
        <w:rPr>
          <w:lang w:eastAsia="en-US"/>
        </w:rPr>
        <w:t>dodavatel</w:t>
      </w:r>
      <w:r w:rsidRPr="00EC71F3">
        <w:rPr>
          <w:lang w:eastAsia="en-US"/>
        </w:rPr>
        <w:t>e.</w:t>
      </w:r>
    </w:p>
    <w:p w14:paraId="36ED091B" w14:textId="77777777" w:rsidR="00FD744D" w:rsidRPr="00EC71F3" w:rsidRDefault="00FD744D" w:rsidP="00FD744D">
      <w:pPr>
        <w:numPr>
          <w:ilvl w:val="0"/>
          <w:numId w:val="25"/>
        </w:numPr>
        <w:spacing w:after="120" w:line="276" w:lineRule="auto"/>
        <w:ind w:left="284" w:hanging="284"/>
        <w:jc w:val="both"/>
        <w:rPr>
          <w:lang w:eastAsia="en-US"/>
        </w:rPr>
      </w:pPr>
      <w:r w:rsidRPr="00EC71F3">
        <w:rPr>
          <w:lang w:eastAsia="en-US"/>
        </w:rPr>
        <w:t xml:space="preserve">Podkladem pro zaplacení bude daňový doklad (faktura), který bude obsahovat náležitosti, stanovené daňovými a účetními předpisy. </w:t>
      </w:r>
    </w:p>
    <w:p w14:paraId="3E8320D5" w14:textId="2993B9B3" w:rsidR="00FD744D" w:rsidRPr="00EC71F3" w:rsidRDefault="00FD744D" w:rsidP="00FD744D">
      <w:pPr>
        <w:numPr>
          <w:ilvl w:val="0"/>
          <w:numId w:val="25"/>
        </w:numPr>
        <w:spacing w:after="480"/>
        <w:ind w:left="284" w:hanging="284"/>
        <w:jc w:val="both"/>
        <w:rPr>
          <w:lang w:eastAsia="en-US"/>
        </w:rPr>
      </w:pPr>
      <w:r w:rsidRPr="00EC71F3">
        <w:rPr>
          <w:lang w:eastAsia="en-US"/>
        </w:rPr>
        <w:t xml:space="preserve">Dojde-li ke dni uskutečnění zdanitelného plnění ke změně sazby DPH, bude </w:t>
      </w:r>
      <w:r w:rsidR="00D429D0" w:rsidRPr="00EC71F3">
        <w:rPr>
          <w:lang w:eastAsia="en-US"/>
        </w:rPr>
        <w:t>dodavatel</w:t>
      </w:r>
      <w:r w:rsidRPr="00EC71F3">
        <w:rPr>
          <w:lang w:eastAsia="en-US"/>
        </w:rPr>
        <w:t xml:space="preserve"> fakturovat objednateli cenu s DPH ve výši odpovídající platné právní úpravě ke dni uskutečnění zdanitelného plnění. </w:t>
      </w:r>
    </w:p>
    <w:p w14:paraId="478F64EB" w14:textId="77777777" w:rsidR="00FD744D" w:rsidRPr="00EC71F3" w:rsidRDefault="00FD744D" w:rsidP="00FD744D">
      <w:pPr>
        <w:suppressAutoHyphens/>
        <w:overflowPunct w:val="0"/>
        <w:autoSpaceDE w:val="0"/>
        <w:autoSpaceDN w:val="0"/>
        <w:adjustRightInd w:val="0"/>
        <w:jc w:val="center"/>
        <w:rPr>
          <w:b/>
        </w:rPr>
      </w:pPr>
      <w:r w:rsidRPr="00EC71F3">
        <w:rPr>
          <w:b/>
        </w:rPr>
        <w:t>ČLÁNEK 4</w:t>
      </w:r>
    </w:p>
    <w:p w14:paraId="631F6788" w14:textId="77777777" w:rsidR="00FD744D" w:rsidRPr="00EC71F3" w:rsidRDefault="00FD744D" w:rsidP="00FD744D">
      <w:pPr>
        <w:suppressAutoHyphens/>
        <w:overflowPunct w:val="0"/>
        <w:autoSpaceDE w:val="0"/>
        <w:autoSpaceDN w:val="0"/>
        <w:adjustRightInd w:val="0"/>
        <w:spacing w:after="120"/>
        <w:jc w:val="center"/>
        <w:rPr>
          <w:b/>
        </w:rPr>
      </w:pPr>
      <w:r w:rsidRPr="00EC71F3">
        <w:rPr>
          <w:b/>
        </w:rPr>
        <w:t>Práva a povinnosti stran</w:t>
      </w:r>
    </w:p>
    <w:p w14:paraId="46D3B648" w14:textId="4B704CE1" w:rsidR="00FD744D" w:rsidRPr="00EC71F3" w:rsidRDefault="00FD744D" w:rsidP="00FD744D">
      <w:pPr>
        <w:numPr>
          <w:ilvl w:val="0"/>
          <w:numId w:val="26"/>
        </w:numPr>
        <w:spacing w:after="120" w:line="276" w:lineRule="auto"/>
        <w:ind w:left="284" w:hanging="284"/>
        <w:jc w:val="both"/>
      </w:pPr>
      <w:r w:rsidRPr="00EC71F3">
        <w:rPr>
          <w:lang w:eastAsia="en-US"/>
        </w:rPr>
        <w:t xml:space="preserve">Objednatel poskytne </w:t>
      </w:r>
      <w:r w:rsidR="00D429D0" w:rsidRPr="00EC71F3">
        <w:rPr>
          <w:lang w:eastAsia="en-US"/>
        </w:rPr>
        <w:t>dodavatel</w:t>
      </w:r>
      <w:r w:rsidRPr="00EC71F3">
        <w:rPr>
          <w:lang w:eastAsia="en-US"/>
        </w:rPr>
        <w:t xml:space="preserve">i pro plnění závazku podle této smlouvy nevyhnutelné podmínky potřebné pro plnění podle této smlouvy. Objednatel se zavazuje poskytnout </w:t>
      </w:r>
      <w:r w:rsidR="00D429D0" w:rsidRPr="00EC71F3">
        <w:rPr>
          <w:lang w:eastAsia="en-US"/>
        </w:rPr>
        <w:t>dodavatel</w:t>
      </w:r>
      <w:r w:rsidRPr="00EC71F3">
        <w:rPr>
          <w:lang w:eastAsia="en-US"/>
        </w:rPr>
        <w:t>i veškeré jím požadované informace potřebné pro plnění podle této smlouvy</w:t>
      </w:r>
      <w:r w:rsidR="00DF37E7" w:rsidRPr="00EC71F3">
        <w:rPr>
          <w:lang w:eastAsia="en-US"/>
        </w:rPr>
        <w:t xml:space="preserve"> a zdroj vody a elektřiny v budově</w:t>
      </w:r>
      <w:r w:rsidRPr="00EC71F3">
        <w:rPr>
          <w:lang w:eastAsia="en-US"/>
        </w:rPr>
        <w:t>.</w:t>
      </w:r>
    </w:p>
    <w:p w14:paraId="4304B4E2" w14:textId="367F3D7D" w:rsidR="00FD744D" w:rsidRPr="00EC71F3" w:rsidRDefault="00FD744D" w:rsidP="00FD744D">
      <w:pPr>
        <w:numPr>
          <w:ilvl w:val="0"/>
          <w:numId w:val="26"/>
        </w:numPr>
        <w:spacing w:after="120" w:line="276" w:lineRule="auto"/>
        <w:ind w:left="284" w:hanging="284"/>
        <w:jc w:val="both"/>
      </w:pPr>
      <w:r w:rsidRPr="00EC71F3">
        <w:rPr>
          <w:lang w:eastAsia="en-US"/>
        </w:rPr>
        <w:t xml:space="preserve">Objednatel má právo náležitého vysvětlení činnosti při veškerých činnostech </w:t>
      </w:r>
      <w:r w:rsidR="00D429D0" w:rsidRPr="00EC71F3">
        <w:rPr>
          <w:lang w:eastAsia="en-US"/>
        </w:rPr>
        <w:t>dodavatel</w:t>
      </w:r>
      <w:r w:rsidRPr="00EC71F3">
        <w:rPr>
          <w:lang w:eastAsia="en-US"/>
        </w:rPr>
        <w:t>e.</w:t>
      </w:r>
    </w:p>
    <w:p w14:paraId="269C1BF1" w14:textId="77777777" w:rsidR="00FD744D" w:rsidRPr="00EC71F3" w:rsidRDefault="00FD744D" w:rsidP="00FD744D">
      <w:pPr>
        <w:spacing w:after="240" w:line="276" w:lineRule="auto"/>
        <w:jc w:val="both"/>
        <w:rPr>
          <w:b/>
          <w:lang w:eastAsia="en-US"/>
        </w:rPr>
      </w:pPr>
      <w:r w:rsidRPr="00EC71F3">
        <w:rPr>
          <w:b/>
          <w:lang w:eastAsia="en-US"/>
        </w:rPr>
        <w:t>Ochrana důvěrných informací</w:t>
      </w:r>
    </w:p>
    <w:p w14:paraId="4DE8BE39" w14:textId="604D4990" w:rsidR="00FD744D" w:rsidRPr="00EC71F3" w:rsidRDefault="00D429D0" w:rsidP="00FD744D">
      <w:pPr>
        <w:numPr>
          <w:ilvl w:val="0"/>
          <w:numId w:val="26"/>
        </w:numPr>
        <w:spacing w:after="120" w:line="276" w:lineRule="auto"/>
        <w:ind w:left="284" w:hanging="284"/>
        <w:jc w:val="both"/>
        <w:rPr>
          <w:b/>
          <w:snapToGrid w:val="0"/>
        </w:rPr>
      </w:pPr>
      <w:r w:rsidRPr="00EC71F3">
        <w:rPr>
          <w:snapToGrid w:val="0"/>
        </w:rPr>
        <w:t>Dodavatel</w:t>
      </w:r>
      <w:r w:rsidR="00FD744D" w:rsidRPr="00EC71F3">
        <w:rPr>
          <w:snapToGrid w:val="0"/>
        </w:rPr>
        <w:t xml:space="preserve"> se zavazuje zachovávat mlčenlivost o skutečnostech týkajících se objednatele, o nichž se dozví při anebo v souvislosti s plněním předmětu dle této smlouvy, jakož i o veškerých dalších skutečnostech a informacích, které byly nebo budou dodavateli sděleny objednatelem, a které zároveň nejsou veřejně známé nebo dostupné, a o nichž lze zároveň důvodně předpokládat, že na jejich utajení má objednatel zájem </w:t>
      </w:r>
      <w:r w:rsidR="00FD744D" w:rsidRPr="00EC71F3">
        <w:rPr>
          <w:b/>
          <w:snapToGrid w:val="0"/>
        </w:rPr>
        <w:t>(dále jen „Důvěrné informace“).</w:t>
      </w:r>
    </w:p>
    <w:p w14:paraId="74D66A18" w14:textId="36286915" w:rsidR="00FD744D" w:rsidRPr="00EC71F3" w:rsidRDefault="00FD744D" w:rsidP="00FD744D">
      <w:pPr>
        <w:numPr>
          <w:ilvl w:val="1"/>
          <w:numId w:val="26"/>
        </w:numPr>
        <w:spacing w:after="120" w:line="276" w:lineRule="auto"/>
        <w:jc w:val="both"/>
        <w:rPr>
          <w:snapToGrid w:val="0"/>
        </w:rPr>
      </w:pPr>
      <w:r w:rsidRPr="00EC71F3">
        <w:rPr>
          <w:snapToGrid w:val="0"/>
        </w:rPr>
        <w:t xml:space="preserve">Všechny informace a údaje ke kterým získá </w:t>
      </w:r>
      <w:r w:rsidR="00D429D0" w:rsidRPr="00EC71F3">
        <w:rPr>
          <w:snapToGrid w:val="0"/>
        </w:rPr>
        <w:t>dodavatel</w:t>
      </w:r>
      <w:r w:rsidRPr="00EC71F3">
        <w:rPr>
          <w:snapToGrid w:val="0"/>
        </w:rPr>
        <w:t xml:space="preserve"> přístup mají důvěrný charakter, a to i v případech, že je nelze považovat za obchodní tajemství ve smyslu ust. § 504 </w:t>
      </w:r>
      <w:r w:rsidRPr="00EC71F3">
        <w:rPr>
          <w:snapToGrid w:val="0"/>
        </w:rPr>
        <w:lastRenderedPageBreak/>
        <w:t>zákona č. 89/2012 Sb., občanský zákoník, ve znění pozdějších předpisů (dále jen „občanský zákoník“) nebo nejsou chráněny jiným právním předpisem.</w:t>
      </w:r>
    </w:p>
    <w:p w14:paraId="60B10F4E" w14:textId="7F673F86" w:rsidR="00FD744D" w:rsidRPr="00EC71F3" w:rsidRDefault="00D429D0" w:rsidP="00FD744D">
      <w:pPr>
        <w:numPr>
          <w:ilvl w:val="1"/>
          <w:numId w:val="26"/>
        </w:numPr>
        <w:spacing w:after="120" w:line="276" w:lineRule="auto"/>
        <w:jc w:val="both"/>
        <w:rPr>
          <w:snapToGrid w:val="0"/>
        </w:rPr>
      </w:pPr>
      <w:r w:rsidRPr="00EC71F3">
        <w:rPr>
          <w:snapToGrid w:val="0"/>
        </w:rPr>
        <w:t>Dodavatel</w:t>
      </w:r>
      <w:r w:rsidR="00FD744D" w:rsidRPr="00EC71F3">
        <w:rPr>
          <w:snapToGrid w:val="0"/>
        </w:rPr>
        <w:t xml:space="preserve"> se rovněž zavazuje zachovávat mlčenlivost o skutečnostech a informacích, které objednatel výslovně označil za Důvěrné informace</w:t>
      </w:r>
      <w:r w:rsidR="00FD744D" w:rsidRPr="00EC71F3">
        <w:rPr>
          <w:b/>
          <w:snapToGrid w:val="0"/>
        </w:rPr>
        <w:t>, a to např. prostřednictvím poznámky „Důvěrné“, „Tajné“ či obdobně.</w:t>
      </w:r>
      <w:r w:rsidR="00FD744D" w:rsidRPr="00EC71F3">
        <w:rPr>
          <w:snapToGrid w:val="0"/>
        </w:rPr>
        <w:t xml:space="preserve"> Takto označené informace jsou považovány za Důvěrné informace ve smyslu této smlouvy. Pro vyloučení pochybností se stanoví, že Důvěrné informace není nutné výslovně označovat, avšak za účelem vyloučení pochybností o charakteru informací je jejich označení vhodné, a to zejména v případech, kdy by nemusel být charakter informací jednoznačně zřejmý.</w:t>
      </w:r>
    </w:p>
    <w:p w14:paraId="03A51575" w14:textId="336719E2" w:rsidR="00FD744D" w:rsidRPr="00EC71F3" w:rsidRDefault="00FD744D" w:rsidP="00FD744D">
      <w:pPr>
        <w:numPr>
          <w:ilvl w:val="1"/>
          <w:numId w:val="26"/>
        </w:numPr>
        <w:spacing w:after="120" w:line="276" w:lineRule="auto"/>
        <w:jc w:val="both"/>
        <w:rPr>
          <w:snapToGrid w:val="0"/>
        </w:rPr>
      </w:pPr>
      <w:r w:rsidRPr="00EC71F3">
        <w:rPr>
          <w:snapToGrid w:val="0"/>
        </w:rPr>
        <w:t xml:space="preserve">Při realizaci plnění dle této smlouvy se nepředpokládá, že </w:t>
      </w:r>
      <w:r w:rsidR="00D429D0" w:rsidRPr="00EC71F3">
        <w:rPr>
          <w:snapToGrid w:val="0"/>
        </w:rPr>
        <w:t>dodavatel</w:t>
      </w:r>
      <w:r w:rsidRPr="00EC71F3">
        <w:rPr>
          <w:snapToGrid w:val="0"/>
        </w:rPr>
        <w:t xml:space="preserve"> bude mít přístup k osobním údajům, u nichž je objednatel správcem, pokud se přesto </w:t>
      </w:r>
      <w:r w:rsidR="00D429D0" w:rsidRPr="00EC71F3">
        <w:rPr>
          <w:snapToGrid w:val="0"/>
        </w:rPr>
        <w:t>dodavatel</w:t>
      </w:r>
      <w:r w:rsidRPr="00EC71F3">
        <w:rPr>
          <w:snapToGrid w:val="0"/>
        </w:rPr>
        <w:t xml:space="preserve"> nahodile dostane do styku s osobními údaji, platí pro tuto situaci ustanovení této části smlouvy o Důvěrných informacích. Tím nejsou dotčeny povinnosti stran podle obecných právních předpisů o ochraně osobních údajů.</w:t>
      </w:r>
    </w:p>
    <w:p w14:paraId="6F34CF1E" w14:textId="77777777" w:rsidR="00FD744D" w:rsidRPr="00EC71F3" w:rsidRDefault="00FD744D" w:rsidP="00FD744D">
      <w:pPr>
        <w:pStyle w:val="Nzev"/>
        <w:spacing w:after="120"/>
        <w:jc w:val="left"/>
        <w:rPr>
          <w:sz w:val="24"/>
          <w:szCs w:val="24"/>
        </w:rPr>
      </w:pPr>
      <w:r w:rsidRPr="00EC71F3">
        <w:rPr>
          <w:sz w:val="24"/>
          <w:szCs w:val="24"/>
        </w:rPr>
        <w:t>Nakládání s Důvěrnými informacemi</w:t>
      </w:r>
    </w:p>
    <w:p w14:paraId="57FA92C8" w14:textId="77777777" w:rsidR="00FD744D" w:rsidRPr="00EC71F3" w:rsidRDefault="00FD744D" w:rsidP="00FD744D">
      <w:pPr>
        <w:numPr>
          <w:ilvl w:val="0"/>
          <w:numId w:val="26"/>
        </w:numPr>
        <w:spacing w:after="120" w:line="276" w:lineRule="auto"/>
        <w:ind w:left="284" w:hanging="284"/>
        <w:jc w:val="both"/>
        <w:rPr>
          <w:snapToGrid w:val="0"/>
        </w:rPr>
      </w:pPr>
      <w:r w:rsidRPr="00EC71F3">
        <w:rPr>
          <w:snapToGrid w:val="0"/>
        </w:rPr>
        <w:t>Při nakládání s Důvěrnými informacemi sjednávají strany tyto závazky:</w:t>
      </w:r>
    </w:p>
    <w:p w14:paraId="42DDD740" w14:textId="0964FA9E" w:rsidR="00FD744D" w:rsidRPr="00EC71F3" w:rsidRDefault="00D429D0" w:rsidP="00FD744D">
      <w:pPr>
        <w:numPr>
          <w:ilvl w:val="1"/>
          <w:numId w:val="26"/>
        </w:numPr>
        <w:spacing w:after="120" w:line="276" w:lineRule="auto"/>
        <w:jc w:val="both"/>
        <w:rPr>
          <w:snapToGrid w:val="0"/>
        </w:rPr>
      </w:pPr>
      <w:r w:rsidRPr="00EC71F3">
        <w:rPr>
          <w:snapToGrid w:val="0"/>
        </w:rPr>
        <w:t>Dodavatel</w:t>
      </w:r>
      <w:r w:rsidR="00FD744D" w:rsidRPr="00EC71F3">
        <w:rPr>
          <w:snapToGrid w:val="0"/>
        </w:rPr>
        <w:t xml:space="preserve"> se zavazuje zajistit, aby nedošlo k úniku, zveřejnění a šíření Důvěrných informací získaných od objednatele, a zavazuje se chránit tajnost Důvěrných informací minimálně stejným způsobem, jakým chrání své obchodní tajemství, vždy však způsobem obvyklým pro ochranu obchodního tajemství.</w:t>
      </w:r>
    </w:p>
    <w:p w14:paraId="53978EDC" w14:textId="6D1EF6C2" w:rsidR="00FD744D" w:rsidRPr="00EC71F3" w:rsidRDefault="00D429D0" w:rsidP="00FD744D">
      <w:pPr>
        <w:numPr>
          <w:ilvl w:val="1"/>
          <w:numId w:val="26"/>
        </w:numPr>
        <w:spacing w:after="120" w:line="276" w:lineRule="auto"/>
        <w:jc w:val="both"/>
        <w:rPr>
          <w:snapToGrid w:val="0"/>
        </w:rPr>
      </w:pPr>
      <w:r w:rsidRPr="00EC71F3">
        <w:rPr>
          <w:snapToGrid w:val="0"/>
        </w:rPr>
        <w:t>Dodavatel</w:t>
      </w:r>
      <w:r w:rsidR="00FD744D" w:rsidRPr="00EC71F3">
        <w:rPr>
          <w:snapToGrid w:val="0"/>
        </w:rPr>
        <w:t xml:space="preserve"> se zavazuje vynaložit maximální úsilí, aby tajnost Důvěrných informací byla důsledně dodržována jeho zaměstnanci i případnými subdodavateli, které k plnění účelu spolupráce použije, pokud mu jejich použití objednatel v rámci plnění dle této smlouvy umožní. Použije-li </w:t>
      </w:r>
      <w:r w:rsidRPr="00EC71F3">
        <w:rPr>
          <w:snapToGrid w:val="0"/>
        </w:rPr>
        <w:t>dodavatel</w:t>
      </w:r>
      <w:r w:rsidR="00FD744D" w:rsidRPr="00EC71F3">
        <w:rPr>
          <w:snapToGrid w:val="0"/>
        </w:rPr>
        <w:t xml:space="preserve"> k plnění třetí osoby, je oprávněn zpřístupnit jí Důvěrné informace získané od objednatele pouze v rozsahu nezbytně nutném pro jí poskytované plnění a je rovněž povinen zavázat třetí osobu povinností mlčenlivosti v rozsahu dle této smlouvy. Za porušení povinností třetí osobou odpovídá </w:t>
      </w:r>
      <w:r w:rsidRPr="00EC71F3">
        <w:rPr>
          <w:snapToGrid w:val="0"/>
        </w:rPr>
        <w:t>dodavatel</w:t>
      </w:r>
      <w:r w:rsidR="00FD744D" w:rsidRPr="00EC71F3">
        <w:rPr>
          <w:snapToGrid w:val="0"/>
        </w:rPr>
        <w:t>.</w:t>
      </w:r>
    </w:p>
    <w:p w14:paraId="78507B3D" w14:textId="28593243" w:rsidR="00FD744D" w:rsidRPr="00EC71F3" w:rsidRDefault="00D429D0" w:rsidP="00FD744D">
      <w:pPr>
        <w:numPr>
          <w:ilvl w:val="1"/>
          <w:numId w:val="26"/>
        </w:numPr>
        <w:spacing w:after="120" w:line="276" w:lineRule="auto"/>
        <w:jc w:val="both"/>
        <w:rPr>
          <w:snapToGrid w:val="0"/>
        </w:rPr>
      </w:pPr>
      <w:r w:rsidRPr="00EC71F3">
        <w:rPr>
          <w:snapToGrid w:val="0"/>
        </w:rPr>
        <w:t>Dodavatel</w:t>
      </w:r>
      <w:r w:rsidR="00FD744D" w:rsidRPr="00EC71F3">
        <w:rPr>
          <w:snapToGrid w:val="0"/>
        </w:rPr>
        <w:t xml:space="preserve"> je povinen zajistit, aby je</w:t>
      </w:r>
      <w:r w:rsidR="000017DB" w:rsidRPr="00EC71F3">
        <w:rPr>
          <w:snapToGrid w:val="0"/>
        </w:rPr>
        <w:t>ho</w:t>
      </w:r>
      <w:r w:rsidR="00FD744D" w:rsidRPr="00EC71F3">
        <w:rPr>
          <w:snapToGrid w:val="0"/>
        </w:rPr>
        <w:t xml:space="preserve"> zaměstnanci, kterým budou zpřístupněny Důvěrné informace, podepsali dohodu, kterou se každý zaměstnanec zaváže dodržovat povinnosti odpovídající povinnostem dle ujednání této části smlouvy. Smluvní strany se zavazují k omezení šíření Důvěrných informací či údajů pouze na ty zaměstnance, kteří se musí přímo zúčastnit na vzájemné spolupráci smluvních stran.</w:t>
      </w:r>
    </w:p>
    <w:p w14:paraId="4294D3E3" w14:textId="7172F190" w:rsidR="00FD744D" w:rsidRPr="00EC71F3" w:rsidRDefault="00D429D0" w:rsidP="00FD744D">
      <w:pPr>
        <w:numPr>
          <w:ilvl w:val="1"/>
          <w:numId w:val="26"/>
        </w:numPr>
        <w:spacing w:after="120" w:line="276" w:lineRule="auto"/>
        <w:jc w:val="both"/>
        <w:rPr>
          <w:snapToGrid w:val="0"/>
        </w:rPr>
      </w:pPr>
      <w:r w:rsidRPr="00EC71F3">
        <w:rPr>
          <w:snapToGrid w:val="0"/>
        </w:rPr>
        <w:t>Dodavatel</w:t>
      </w:r>
      <w:r w:rsidR="00FD744D" w:rsidRPr="00EC71F3">
        <w:rPr>
          <w:snapToGrid w:val="0"/>
        </w:rPr>
        <w:t xml:space="preserve"> se zavazuje nakládat s Důvěrnými informacemi získanými od </w:t>
      </w:r>
      <w:r w:rsidR="00D35FDA" w:rsidRPr="00EC71F3">
        <w:rPr>
          <w:snapToGrid w:val="0"/>
        </w:rPr>
        <w:t>zadavatele</w:t>
      </w:r>
      <w:r w:rsidR="00FD744D" w:rsidRPr="00EC71F3">
        <w:rPr>
          <w:snapToGrid w:val="0"/>
        </w:rPr>
        <w:t xml:space="preserve"> výlučně pro účel dle této smlouvy, a nikoliv pro jakýkoliv jiný účel. </w:t>
      </w:r>
    </w:p>
    <w:p w14:paraId="629187B3" w14:textId="012DAEC9" w:rsidR="00FD744D" w:rsidRPr="00EC71F3" w:rsidRDefault="00D429D0" w:rsidP="00FD744D">
      <w:pPr>
        <w:numPr>
          <w:ilvl w:val="1"/>
          <w:numId w:val="26"/>
        </w:numPr>
        <w:spacing w:after="120" w:line="276" w:lineRule="auto"/>
        <w:jc w:val="both"/>
        <w:rPr>
          <w:snapToGrid w:val="0"/>
        </w:rPr>
      </w:pPr>
      <w:r w:rsidRPr="00EC71F3">
        <w:rPr>
          <w:snapToGrid w:val="0"/>
        </w:rPr>
        <w:t>Dodavatel</w:t>
      </w:r>
      <w:r w:rsidR="00FD744D" w:rsidRPr="00EC71F3">
        <w:rPr>
          <w:snapToGrid w:val="0"/>
        </w:rPr>
        <w:t xml:space="preserve"> bude odpovědný za nedbalostní i úmyslné sdělení nebo užití Důvěrných informací.</w:t>
      </w:r>
    </w:p>
    <w:p w14:paraId="040FCEE0" w14:textId="27C0A794" w:rsidR="00FD744D" w:rsidRPr="00EC71F3" w:rsidRDefault="00FD744D" w:rsidP="00FD744D">
      <w:pPr>
        <w:numPr>
          <w:ilvl w:val="1"/>
          <w:numId w:val="26"/>
        </w:numPr>
        <w:spacing w:after="120" w:line="276" w:lineRule="auto"/>
        <w:jc w:val="both"/>
        <w:rPr>
          <w:snapToGrid w:val="0"/>
        </w:rPr>
      </w:pPr>
      <w:r w:rsidRPr="00EC71F3">
        <w:rPr>
          <w:snapToGrid w:val="0"/>
        </w:rPr>
        <w:t xml:space="preserve">Pokud by došlo k situaci, u které lze důvodně předpokládat ohrožení důvěrnosti Důvěrných informací, zavazuje se dodavatel oznámit tuto skutečnost objednateli. Pokud by objednatel pojal důvodné podezření, že </w:t>
      </w:r>
      <w:r w:rsidR="00D429D0" w:rsidRPr="00EC71F3">
        <w:rPr>
          <w:snapToGrid w:val="0"/>
        </w:rPr>
        <w:t>dodavatel</w:t>
      </w:r>
      <w:r w:rsidRPr="00EC71F3">
        <w:rPr>
          <w:snapToGrid w:val="0"/>
        </w:rPr>
        <w:t xml:space="preserve"> není schopen zabezpečit </w:t>
      </w:r>
      <w:r w:rsidRPr="00EC71F3">
        <w:rPr>
          <w:snapToGrid w:val="0"/>
        </w:rPr>
        <w:lastRenderedPageBreak/>
        <w:t xml:space="preserve">ochranu Důvěrných informací dle této smlouvy, je oprávněn požádat </w:t>
      </w:r>
      <w:r w:rsidR="00D429D0" w:rsidRPr="00EC71F3">
        <w:rPr>
          <w:snapToGrid w:val="0"/>
        </w:rPr>
        <w:t>dodavatel</w:t>
      </w:r>
      <w:r w:rsidRPr="00EC71F3">
        <w:rPr>
          <w:snapToGrid w:val="0"/>
        </w:rPr>
        <w:t xml:space="preserve">e o to, aby prokázal plnění povinností dle této smlouvy a </w:t>
      </w:r>
      <w:r w:rsidR="00D429D0" w:rsidRPr="00EC71F3">
        <w:rPr>
          <w:snapToGrid w:val="0"/>
        </w:rPr>
        <w:t>dodavatel</w:t>
      </w:r>
      <w:r w:rsidRPr="00EC71F3">
        <w:rPr>
          <w:snapToGrid w:val="0"/>
        </w:rPr>
        <w:t xml:space="preserve"> této žádosti vyhoví.</w:t>
      </w:r>
    </w:p>
    <w:p w14:paraId="6D80099D" w14:textId="746207E2" w:rsidR="00FD744D" w:rsidRPr="00EC71F3" w:rsidRDefault="00D429D0" w:rsidP="00FD744D">
      <w:pPr>
        <w:numPr>
          <w:ilvl w:val="1"/>
          <w:numId w:val="26"/>
        </w:numPr>
        <w:spacing w:after="120" w:line="276" w:lineRule="auto"/>
        <w:jc w:val="both"/>
        <w:rPr>
          <w:snapToGrid w:val="0"/>
        </w:rPr>
      </w:pPr>
      <w:r w:rsidRPr="00EC71F3">
        <w:rPr>
          <w:snapToGrid w:val="0"/>
        </w:rPr>
        <w:t>Dodavatel</w:t>
      </w:r>
      <w:r w:rsidR="00FD744D" w:rsidRPr="00EC71F3">
        <w:rPr>
          <w:snapToGrid w:val="0"/>
        </w:rPr>
        <w:t xml:space="preserve"> je povinen po ukončení plnění dle této smlouvy veškeré nosiče, na kterých jsou případně Důvěrné informace zachyceny, neprodleně předat objednateli nebo je zničit. </w:t>
      </w:r>
    </w:p>
    <w:p w14:paraId="1A9F7130" w14:textId="77777777" w:rsidR="00FD744D" w:rsidRPr="00EC71F3" w:rsidRDefault="00FD744D" w:rsidP="00FD744D">
      <w:pPr>
        <w:pStyle w:val="Nzev"/>
        <w:spacing w:after="120"/>
        <w:jc w:val="left"/>
        <w:rPr>
          <w:sz w:val="24"/>
          <w:szCs w:val="24"/>
        </w:rPr>
      </w:pPr>
      <w:r w:rsidRPr="00EC71F3">
        <w:rPr>
          <w:sz w:val="24"/>
          <w:szCs w:val="24"/>
        </w:rPr>
        <w:t>Doba trvání ochrany informací</w:t>
      </w:r>
    </w:p>
    <w:p w14:paraId="71C60338" w14:textId="653C14DD" w:rsidR="00FD744D" w:rsidRPr="00EC71F3" w:rsidRDefault="00D429D0" w:rsidP="00CC3520">
      <w:pPr>
        <w:numPr>
          <w:ilvl w:val="0"/>
          <w:numId w:val="30"/>
        </w:numPr>
        <w:spacing w:after="120" w:line="276" w:lineRule="auto"/>
        <w:jc w:val="both"/>
        <w:rPr>
          <w:snapToGrid w:val="0"/>
        </w:rPr>
      </w:pPr>
      <w:r w:rsidRPr="00EC71F3">
        <w:rPr>
          <w:snapToGrid w:val="0"/>
        </w:rPr>
        <w:t>Dodavatel</w:t>
      </w:r>
      <w:r w:rsidR="00FD744D" w:rsidRPr="00EC71F3">
        <w:rPr>
          <w:snapToGrid w:val="0"/>
        </w:rPr>
        <w:t xml:space="preserve"> bere na vědomí, že jeho</w:t>
      </w:r>
      <w:r w:rsidR="00FD744D" w:rsidRPr="00EC71F3">
        <w:t xml:space="preserve"> závazky k ochraně informací a</w:t>
      </w:r>
      <w:r w:rsidR="00FD744D" w:rsidRPr="00EC71F3">
        <w:rPr>
          <w:snapToGrid w:val="0"/>
        </w:rPr>
        <w:t xml:space="preserve"> mlčenlivosti dle ujednání v tomto článku smlouvy trvají bez časového omezení i po zániku smlouvy, neboť informace získané při plnění předmětu smlouvy lze zneužít i po uplynutí jakékoli sjednané doby. </w:t>
      </w:r>
    </w:p>
    <w:p w14:paraId="547671CE" w14:textId="77777777" w:rsidR="00FD744D" w:rsidRPr="00EC71F3" w:rsidRDefault="00FD744D" w:rsidP="00FD744D">
      <w:pPr>
        <w:pStyle w:val="Nzev"/>
        <w:keepNext/>
        <w:widowControl w:val="0"/>
        <w:spacing w:after="120"/>
        <w:jc w:val="left"/>
        <w:rPr>
          <w:snapToGrid w:val="0"/>
          <w:sz w:val="24"/>
          <w:szCs w:val="24"/>
        </w:rPr>
      </w:pPr>
      <w:r w:rsidRPr="00EC71F3">
        <w:rPr>
          <w:snapToGrid w:val="0"/>
          <w:sz w:val="24"/>
          <w:szCs w:val="24"/>
        </w:rPr>
        <w:t>Kontaktní osoby</w:t>
      </w:r>
    </w:p>
    <w:p w14:paraId="5EF8CC6B" w14:textId="77777777" w:rsidR="00FD744D" w:rsidRPr="00EC71F3" w:rsidRDefault="00FD744D" w:rsidP="00CC3520">
      <w:pPr>
        <w:numPr>
          <w:ilvl w:val="0"/>
          <w:numId w:val="31"/>
        </w:numPr>
        <w:spacing w:after="120" w:line="276" w:lineRule="auto"/>
        <w:jc w:val="both"/>
        <w:rPr>
          <w:snapToGrid w:val="0"/>
        </w:rPr>
      </w:pPr>
      <w:r w:rsidRPr="00EC71F3">
        <w:rPr>
          <w:snapToGrid w:val="0"/>
        </w:rPr>
        <w:t>Následující kontaktní osoby jsou odpovědné za správu a administraci, včetně předávání či obdržení Důvěrných informací dle této smlouvy.</w:t>
      </w:r>
    </w:p>
    <w:p w14:paraId="32ECB4DE" w14:textId="1D5036ED" w:rsidR="00FD744D" w:rsidRPr="00EC71F3" w:rsidRDefault="00FD744D" w:rsidP="005755EF">
      <w:pPr>
        <w:tabs>
          <w:tab w:val="left" w:pos="2835"/>
        </w:tabs>
        <w:spacing w:before="60"/>
        <w:jc w:val="both"/>
        <w:rPr>
          <w:snapToGrid w:val="0"/>
        </w:rPr>
      </w:pPr>
      <w:r w:rsidRPr="00EC71F3">
        <w:rPr>
          <w:snapToGrid w:val="0"/>
        </w:rPr>
        <w:t xml:space="preserve">za objednatele: </w:t>
      </w:r>
      <w:r w:rsidR="00B9099D" w:rsidRPr="00EC71F3">
        <w:rPr>
          <w:snapToGrid w:val="0"/>
        </w:rPr>
        <w:t>Mgr</w:t>
      </w:r>
      <w:r w:rsidR="00776EE7" w:rsidRPr="00EC71F3">
        <w:rPr>
          <w:snapToGrid w:val="0"/>
        </w:rPr>
        <w:t>.</w:t>
      </w:r>
      <w:r w:rsidR="0000162D" w:rsidRPr="00EC71F3">
        <w:rPr>
          <w:snapToGrid w:val="0"/>
        </w:rPr>
        <w:t> </w:t>
      </w:r>
      <w:r w:rsidR="00B9099D" w:rsidRPr="00EC71F3">
        <w:rPr>
          <w:snapToGrid w:val="0"/>
        </w:rPr>
        <w:t>Ivan</w:t>
      </w:r>
      <w:r w:rsidR="0000162D" w:rsidRPr="00EC71F3">
        <w:rPr>
          <w:snapToGrid w:val="0"/>
        </w:rPr>
        <w:t> </w:t>
      </w:r>
      <w:r w:rsidR="00B9099D" w:rsidRPr="00EC71F3">
        <w:rPr>
          <w:snapToGrid w:val="0"/>
        </w:rPr>
        <w:t>Kořínek</w:t>
      </w:r>
      <w:r w:rsidR="005755EF" w:rsidRPr="00EC71F3">
        <w:rPr>
          <w:snapToGrid w:val="0"/>
        </w:rPr>
        <w:t>,</w:t>
      </w:r>
      <w:r w:rsidRPr="00EC71F3">
        <w:rPr>
          <w:snapToGrid w:val="0"/>
        </w:rPr>
        <w:t xml:space="preserve"> tel.</w:t>
      </w:r>
      <w:r w:rsidR="009326DC" w:rsidRPr="00EC71F3">
        <w:rPr>
          <w:snapToGrid w:val="0"/>
        </w:rPr>
        <w:t>:</w:t>
      </w:r>
      <w:r w:rsidR="00B9099D" w:rsidRPr="00EC71F3">
        <w:t xml:space="preserve"> +420</w:t>
      </w:r>
      <w:r w:rsidR="0000162D" w:rsidRPr="00EC71F3">
        <w:t> </w:t>
      </w:r>
      <w:r w:rsidR="00B9099D" w:rsidRPr="00EC71F3">
        <w:t>778</w:t>
      </w:r>
      <w:r w:rsidR="0000162D" w:rsidRPr="00EC71F3">
        <w:t> </w:t>
      </w:r>
      <w:r w:rsidR="00B9099D" w:rsidRPr="00EC71F3">
        <w:t>534</w:t>
      </w:r>
      <w:r w:rsidR="00D429D0" w:rsidRPr="00EC71F3">
        <w:t> </w:t>
      </w:r>
      <w:r w:rsidR="00B9099D" w:rsidRPr="00EC71F3">
        <w:t>317</w:t>
      </w:r>
      <w:r w:rsidR="00D429D0" w:rsidRPr="00EC71F3">
        <w:t xml:space="preserve"> (ústředna)</w:t>
      </w:r>
      <w:r w:rsidR="00B9099D" w:rsidRPr="00EC71F3">
        <w:t xml:space="preserve">, </w:t>
      </w:r>
      <w:r w:rsidRPr="00EC71F3">
        <w:rPr>
          <w:snapToGrid w:val="0"/>
        </w:rPr>
        <w:t>email</w:t>
      </w:r>
      <w:r w:rsidR="009326DC" w:rsidRPr="00EC71F3">
        <w:rPr>
          <w:snapToGrid w:val="0"/>
        </w:rPr>
        <w:t>:</w:t>
      </w:r>
      <w:r w:rsidR="005755EF" w:rsidRPr="00EC71F3">
        <w:rPr>
          <w:snapToGrid w:val="0"/>
        </w:rPr>
        <w:t xml:space="preserve"> </w:t>
      </w:r>
      <w:r w:rsidR="00B9099D" w:rsidRPr="00EC71F3">
        <w:rPr>
          <w:snapToGrid w:val="0"/>
        </w:rPr>
        <w:t>ivan.korinek@oavin.cz</w:t>
      </w:r>
    </w:p>
    <w:p w14:paraId="59A20325" w14:textId="7B53E05B" w:rsidR="00FD744D" w:rsidRPr="00EC71F3" w:rsidRDefault="00FD744D" w:rsidP="00FD744D">
      <w:pPr>
        <w:tabs>
          <w:tab w:val="left" w:pos="2835"/>
        </w:tabs>
        <w:spacing w:before="60" w:after="120"/>
        <w:rPr>
          <w:snapToGrid w:val="0"/>
        </w:rPr>
      </w:pPr>
      <w:r w:rsidRPr="00EC71F3">
        <w:rPr>
          <w:snapToGrid w:val="0"/>
        </w:rPr>
        <w:t>Každá ze smluvních stran je oprávněna změnit své kontaktní osoby písemným oznámením druhé smluvní straně. Předávané Důvěrné informace jsou chráněny podle této dohody, i když nejsou předávány kontaktními osobami nebo kontaktním osobám.</w:t>
      </w:r>
    </w:p>
    <w:p w14:paraId="5BD309DA" w14:textId="77777777" w:rsidR="00BE75C4" w:rsidRPr="00EC71F3" w:rsidRDefault="00BE75C4" w:rsidP="00FD744D">
      <w:pPr>
        <w:tabs>
          <w:tab w:val="left" w:pos="2835"/>
        </w:tabs>
        <w:spacing w:before="60" w:after="120"/>
        <w:rPr>
          <w:snapToGrid w:val="0"/>
        </w:rPr>
      </w:pPr>
    </w:p>
    <w:p w14:paraId="375F87BF" w14:textId="77777777" w:rsidR="00FD744D" w:rsidRPr="00EC71F3" w:rsidRDefault="00FD744D" w:rsidP="00FD744D">
      <w:pPr>
        <w:keepNext/>
        <w:jc w:val="center"/>
        <w:outlineLvl w:val="0"/>
        <w:rPr>
          <w:b/>
          <w:bCs/>
          <w:kern w:val="32"/>
        </w:rPr>
      </w:pPr>
      <w:r w:rsidRPr="00EC71F3">
        <w:rPr>
          <w:b/>
          <w:bCs/>
          <w:kern w:val="32"/>
        </w:rPr>
        <w:t>ČLÁNEK 5</w:t>
      </w:r>
    </w:p>
    <w:p w14:paraId="66E7740A" w14:textId="77777777" w:rsidR="00FD744D" w:rsidRPr="00EC71F3" w:rsidRDefault="00FD744D" w:rsidP="00FD744D">
      <w:pPr>
        <w:keepNext/>
        <w:spacing w:after="120"/>
        <w:jc w:val="center"/>
        <w:outlineLvl w:val="0"/>
        <w:rPr>
          <w:b/>
          <w:bCs/>
          <w:kern w:val="32"/>
        </w:rPr>
      </w:pPr>
      <w:r w:rsidRPr="00EC71F3">
        <w:rPr>
          <w:b/>
          <w:bCs/>
          <w:kern w:val="32"/>
        </w:rPr>
        <w:t xml:space="preserve"> Smluvní pokuty</w:t>
      </w:r>
    </w:p>
    <w:p w14:paraId="585B92AD" w14:textId="40AB8BD0" w:rsidR="00FD744D" w:rsidRPr="00EC71F3" w:rsidRDefault="00FD744D" w:rsidP="00FD744D">
      <w:pPr>
        <w:numPr>
          <w:ilvl w:val="0"/>
          <w:numId w:val="27"/>
        </w:numPr>
        <w:spacing w:after="120" w:line="276" w:lineRule="auto"/>
        <w:ind w:left="283" w:hanging="425"/>
        <w:jc w:val="both"/>
        <w:rPr>
          <w:lang w:eastAsia="en-US"/>
        </w:rPr>
      </w:pPr>
      <w:r w:rsidRPr="00EC71F3">
        <w:rPr>
          <w:lang w:eastAsia="en-US"/>
        </w:rPr>
        <w:t xml:space="preserve">V případě prodlení </w:t>
      </w:r>
      <w:r w:rsidR="00D429D0" w:rsidRPr="00EC71F3">
        <w:rPr>
          <w:lang w:eastAsia="en-US"/>
        </w:rPr>
        <w:t>dodavatel</w:t>
      </w:r>
      <w:r w:rsidRPr="00EC71F3">
        <w:rPr>
          <w:lang w:eastAsia="en-US"/>
        </w:rPr>
        <w:t xml:space="preserve">e s plněním v termínu dohodnutém ve smlouvě, bude </w:t>
      </w:r>
      <w:r w:rsidR="00D429D0" w:rsidRPr="00EC71F3">
        <w:rPr>
          <w:lang w:eastAsia="en-US"/>
        </w:rPr>
        <w:t>dodavatel</w:t>
      </w:r>
      <w:r w:rsidRPr="00EC71F3">
        <w:rPr>
          <w:lang w:eastAsia="en-US"/>
        </w:rPr>
        <w:t>i účtována smluvní pokuta ve výši 500 Kč za každý den prodlení.</w:t>
      </w:r>
    </w:p>
    <w:p w14:paraId="4C16D807" w14:textId="23697DA1" w:rsidR="00FD744D" w:rsidRPr="00EC71F3" w:rsidRDefault="00FD744D" w:rsidP="00FD744D">
      <w:pPr>
        <w:numPr>
          <w:ilvl w:val="0"/>
          <w:numId w:val="27"/>
        </w:numPr>
        <w:spacing w:after="120" w:line="276" w:lineRule="auto"/>
        <w:ind w:left="283" w:hanging="425"/>
        <w:jc w:val="both"/>
        <w:rPr>
          <w:lang w:eastAsia="en-US"/>
        </w:rPr>
      </w:pPr>
      <w:r w:rsidRPr="00EC71F3">
        <w:t xml:space="preserve">V případě prodlení objednatele se zaplacením ceny může </w:t>
      </w:r>
      <w:r w:rsidR="00D429D0" w:rsidRPr="00EC71F3">
        <w:t>dodavatel</w:t>
      </w:r>
      <w:r w:rsidRPr="00EC71F3">
        <w:t xml:space="preserve"> požadovat po objednateli úrok z prodlení ve výši 0,05 % z fakturované částky bez DPH za každý den prodlení.</w:t>
      </w:r>
    </w:p>
    <w:p w14:paraId="236A74F0" w14:textId="61739C3A" w:rsidR="00FD744D" w:rsidRPr="00EC71F3" w:rsidRDefault="00FD744D" w:rsidP="00FD744D">
      <w:pPr>
        <w:numPr>
          <w:ilvl w:val="0"/>
          <w:numId w:val="27"/>
        </w:numPr>
        <w:spacing w:after="120" w:line="276" w:lineRule="auto"/>
        <w:ind w:left="283" w:hanging="425"/>
        <w:jc w:val="both"/>
        <w:rPr>
          <w:snapToGrid w:val="0"/>
        </w:rPr>
      </w:pPr>
      <w:r w:rsidRPr="00EC71F3">
        <w:rPr>
          <w:snapToGrid w:val="0"/>
        </w:rPr>
        <w:t xml:space="preserve">Poruší-li </w:t>
      </w:r>
      <w:r w:rsidR="00D429D0" w:rsidRPr="00EC71F3">
        <w:rPr>
          <w:snapToGrid w:val="0"/>
        </w:rPr>
        <w:t>dodavatel</w:t>
      </w:r>
      <w:r w:rsidRPr="00EC71F3">
        <w:rPr>
          <w:snapToGrid w:val="0"/>
        </w:rPr>
        <w:t xml:space="preserve"> některou z povinností ujednanou v článku 4 této smlouvy, je povinen zaplatit objednateli smluvní pokutu ve výši 1 000 Kč za každý případ porušení takové smluvní povinnosti.</w:t>
      </w:r>
    </w:p>
    <w:p w14:paraId="4614E059" w14:textId="77777777" w:rsidR="00FD744D" w:rsidRPr="00EC71F3" w:rsidRDefault="00FD744D" w:rsidP="00FD744D">
      <w:pPr>
        <w:numPr>
          <w:ilvl w:val="0"/>
          <w:numId w:val="27"/>
        </w:numPr>
        <w:spacing w:after="120" w:line="276" w:lineRule="auto"/>
        <w:ind w:left="283" w:hanging="425"/>
        <w:jc w:val="both"/>
        <w:rPr>
          <w:snapToGrid w:val="0"/>
        </w:rPr>
      </w:pPr>
      <w:r w:rsidRPr="00EC71F3">
        <w:rPr>
          <w:snapToGrid w:val="0"/>
        </w:rPr>
        <w:t>Smluvní pokuty jsou splatné do třiceti (30) dnů ode dne doručení písemné výzvy k úhradě, pokud ve výzvě není uvedena lhůta delší, a to způsobem uvedeným ve výzvě.</w:t>
      </w:r>
    </w:p>
    <w:p w14:paraId="29EF82E9" w14:textId="77777777" w:rsidR="00FD744D" w:rsidRPr="00EC71F3" w:rsidRDefault="00FD744D" w:rsidP="00FD744D">
      <w:pPr>
        <w:numPr>
          <w:ilvl w:val="0"/>
          <w:numId w:val="27"/>
        </w:numPr>
        <w:spacing w:after="480"/>
        <w:ind w:left="283" w:hanging="425"/>
        <w:jc w:val="both"/>
        <w:rPr>
          <w:snapToGrid w:val="0"/>
        </w:rPr>
      </w:pPr>
      <w:r w:rsidRPr="00EC71F3">
        <w:rPr>
          <w:snapToGrid w:val="0"/>
        </w:rPr>
        <w:t>Ujednáním o smluvních pokutách není dotčeno právo poškozené smluvní strany na náhradu škody v plné výši, přičemž za škodu se považuje i ušlý zisk včetně přiměřeného zadostiučinění pro případ poškození dobrého jména.</w:t>
      </w:r>
    </w:p>
    <w:p w14:paraId="647DF08C" w14:textId="77777777" w:rsidR="00FD744D" w:rsidRPr="00EC71F3" w:rsidRDefault="00FD744D" w:rsidP="00FD744D">
      <w:pPr>
        <w:tabs>
          <w:tab w:val="left" w:pos="6317"/>
        </w:tabs>
        <w:jc w:val="center"/>
        <w:rPr>
          <w:b/>
          <w:lang w:eastAsia="en-US"/>
        </w:rPr>
      </w:pPr>
      <w:r w:rsidRPr="00EC71F3">
        <w:rPr>
          <w:b/>
          <w:lang w:eastAsia="en-US"/>
        </w:rPr>
        <w:t>ČLÁNEK 6</w:t>
      </w:r>
    </w:p>
    <w:p w14:paraId="4E8204C6" w14:textId="3E21B4D2" w:rsidR="00FD744D" w:rsidRPr="00EC71F3" w:rsidRDefault="00FD744D" w:rsidP="00FD744D">
      <w:pPr>
        <w:tabs>
          <w:tab w:val="left" w:pos="6317"/>
        </w:tabs>
        <w:spacing w:after="120"/>
        <w:jc w:val="center"/>
        <w:rPr>
          <w:b/>
          <w:lang w:eastAsia="en-US"/>
        </w:rPr>
      </w:pPr>
      <w:r w:rsidRPr="00EC71F3">
        <w:rPr>
          <w:b/>
        </w:rPr>
        <w:t>Ostatní ujednání</w:t>
      </w:r>
      <w:r w:rsidR="0000162D" w:rsidRPr="00EC71F3">
        <w:rPr>
          <w:b/>
        </w:rPr>
        <w:t xml:space="preserve"> </w:t>
      </w:r>
    </w:p>
    <w:p w14:paraId="6CFDF891" w14:textId="77777777" w:rsidR="00FD744D" w:rsidRPr="00EC71F3" w:rsidRDefault="00FD744D" w:rsidP="00FD744D">
      <w:pPr>
        <w:numPr>
          <w:ilvl w:val="0"/>
          <w:numId w:val="28"/>
        </w:numPr>
        <w:spacing w:after="120" w:line="276" w:lineRule="auto"/>
        <w:ind w:left="283" w:hanging="425"/>
        <w:jc w:val="both"/>
        <w:rPr>
          <w:lang w:eastAsia="zh-CN"/>
        </w:rPr>
      </w:pPr>
      <w:r w:rsidRPr="00EC71F3">
        <w:rPr>
          <w:lang w:eastAsia="zh-CN"/>
        </w:rPr>
        <w:t xml:space="preserve">Veškeré změny smlouvy jsou možné jen prostřednictvím písemných číslovaných dodatků podepsaných oběma smluvními stranami. </w:t>
      </w:r>
      <w:r w:rsidRPr="00EC71F3">
        <w:t>Postoupení smlouvy není přípustné.</w:t>
      </w:r>
    </w:p>
    <w:p w14:paraId="6635CE4E" w14:textId="77777777" w:rsidR="00FD744D" w:rsidRPr="00EC71F3" w:rsidRDefault="00FD744D" w:rsidP="00FD744D">
      <w:pPr>
        <w:numPr>
          <w:ilvl w:val="0"/>
          <w:numId w:val="28"/>
        </w:numPr>
        <w:spacing w:after="120" w:line="276" w:lineRule="auto"/>
        <w:ind w:left="283" w:hanging="425"/>
        <w:jc w:val="both"/>
        <w:rPr>
          <w:lang w:eastAsia="zh-CN"/>
        </w:rPr>
      </w:pPr>
      <w:r w:rsidRPr="00EC71F3">
        <w:rPr>
          <w:lang w:eastAsia="zh-CN"/>
        </w:rPr>
        <w:t>Tato smlouva je vyhotovena v elektronické podobě, přičemž obě smluvní strany obdrží její elektronický originál.</w:t>
      </w:r>
    </w:p>
    <w:p w14:paraId="39387B73" w14:textId="77777777" w:rsidR="00FD744D" w:rsidRPr="00EC71F3" w:rsidRDefault="00FD744D" w:rsidP="00FD744D">
      <w:pPr>
        <w:numPr>
          <w:ilvl w:val="0"/>
          <w:numId w:val="28"/>
        </w:numPr>
        <w:spacing w:after="120" w:line="276" w:lineRule="auto"/>
        <w:ind w:left="283" w:hanging="425"/>
        <w:jc w:val="both"/>
        <w:rPr>
          <w:lang w:eastAsia="zh-CN"/>
        </w:rPr>
      </w:pPr>
      <w:r w:rsidRPr="00EC71F3">
        <w:rPr>
          <w:lang w:eastAsia="zh-CN"/>
        </w:rPr>
        <w:lastRenderedPageBreak/>
        <w:t xml:space="preserve">Smluvní strany řeší spory ze smlouvy vyplývající především vzájemnou dohodou. Nedojde-li </w:t>
      </w:r>
      <w:r w:rsidRPr="00EC71F3">
        <w:rPr>
          <w:lang w:eastAsia="zh-CN"/>
        </w:rPr>
        <w:br/>
        <w:t>k dohodě, předají strany spor věcně příslušnému soudu.</w:t>
      </w:r>
    </w:p>
    <w:p w14:paraId="46E4C0F2" w14:textId="3ED73DEE" w:rsidR="00FD744D" w:rsidRPr="00EC71F3" w:rsidRDefault="00FD744D" w:rsidP="00FD744D">
      <w:pPr>
        <w:numPr>
          <w:ilvl w:val="0"/>
          <w:numId w:val="28"/>
        </w:numPr>
        <w:spacing w:after="120" w:line="276" w:lineRule="auto"/>
        <w:ind w:left="283" w:hanging="425"/>
        <w:jc w:val="both"/>
        <w:rPr>
          <w:lang w:eastAsia="zh-CN"/>
        </w:rPr>
      </w:pPr>
      <w:r w:rsidRPr="00EC71F3">
        <w:rPr>
          <w:lang w:eastAsia="zh-CN"/>
        </w:rPr>
        <w:t xml:space="preserve">Dle uzavřené smlouvy je objednatel oprávněn započítat jakoukoli pohledávku vůči </w:t>
      </w:r>
      <w:r w:rsidR="00D429D0" w:rsidRPr="00EC71F3">
        <w:rPr>
          <w:lang w:eastAsia="zh-CN"/>
        </w:rPr>
        <w:t>dodavatel</w:t>
      </w:r>
      <w:r w:rsidRPr="00EC71F3">
        <w:rPr>
          <w:lang w:eastAsia="zh-CN"/>
        </w:rPr>
        <w:t xml:space="preserve">i oproti vystavenému platebnímu dokladu (faktuře) </w:t>
      </w:r>
      <w:r w:rsidR="00D429D0" w:rsidRPr="00EC71F3">
        <w:rPr>
          <w:lang w:eastAsia="zh-CN"/>
        </w:rPr>
        <w:t>dodavatel</w:t>
      </w:r>
      <w:r w:rsidRPr="00EC71F3">
        <w:rPr>
          <w:lang w:eastAsia="zh-CN"/>
        </w:rPr>
        <w:t>e</w:t>
      </w:r>
    </w:p>
    <w:p w14:paraId="50CAD968" w14:textId="77777777" w:rsidR="00FD744D" w:rsidRPr="00EC71F3" w:rsidRDefault="00FD744D" w:rsidP="00FD744D">
      <w:pPr>
        <w:numPr>
          <w:ilvl w:val="0"/>
          <w:numId w:val="28"/>
        </w:numPr>
        <w:spacing w:after="120" w:line="276" w:lineRule="auto"/>
        <w:ind w:left="283" w:hanging="425"/>
        <w:jc w:val="both"/>
        <w:rPr>
          <w:lang w:val="x-none"/>
        </w:rPr>
      </w:pPr>
      <w:r w:rsidRPr="00EC71F3">
        <w:rPr>
          <w:lang w:eastAsia="en-US"/>
        </w:rPr>
        <w:t>Objednatel</w:t>
      </w:r>
      <w:r w:rsidRPr="00EC71F3">
        <w:t xml:space="preserve"> jako osoba uvedená v ustanovení § 2 odst. 1 zákona č. 340/2015 Sb., o zvláštních podmínkách účinnosti některých smluv, uveřejňování těchto smluv a o registru smluv (zákon o registru smluv), ve znění pozdějších předpisů uveřejní tuto smlouvu způsobem dle tohoto zákona, ve lhůtě 30 dnů od okamžiku uzavření. Smlouva nabývá účinnosti okamžikem uveřejnění dle tohoto ujednání v registru smluv.</w:t>
      </w:r>
    </w:p>
    <w:p w14:paraId="11034E4A" w14:textId="72272B55" w:rsidR="00FD744D" w:rsidRPr="00EC71F3" w:rsidRDefault="00D429D0" w:rsidP="00FD744D">
      <w:pPr>
        <w:numPr>
          <w:ilvl w:val="0"/>
          <w:numId w:val="28"/>
        </w:numPr>
        <w:spacing w:after="120" w:line="276" w:lineRule="auto"/>
        <w:ind w:left="283" w:hanging="425"/>
        <w:jc w:val="both"/>
      </w:pPr>
      <w:r w:rsidRPr="00EC71F3">
        <w:t>Dodavatel</w:t>
      </w:r>
      <w:r w:rsidR="00FD744D" w:rsidRPr="00EC71F3">
        <w:t xml:space="preserve"> bere na vědomí a výslovně souhlasí s tím, že smlouva včetně příloh a případných dodatků bude </w:t>
      </w:r>
      <w:r w:rsidR="00FD744D" w:rsidRPr="00EC71F3">
        <w:rPr>
          <w:lang w:eastAsia="en-US"/>
        </w:rPr>
        <w:t>zveřejněna</w:t>
      </w:r>
      <w:r w:rsidR="00FD744D" w:rsidRPr="00EC71F3">
        <w:t xml:space="preserve"> na profilu zadavatele. </w:t>
      </w:r>
    </w:p>
    <w:p w14:paraId="7A2B2C9B" w14:textId="77777777" w:rsidR="00FD744D" w:rsidRPr="00EC71F3" w:rsidRDefault="00FD744D" w:rsidP="00FD744D">
      <w:pPr>
        <w:keepNext/>
        <w:snapToGrid w:val="0"/>
        <w:spacing w:before="120" w:after="120" w:line="276" w:lineRule="auto"/>
        <w:jc w:val="both"/>
        <w:outlineLvl w:val="1"/>
        <w:rPr>
          <w:lang w:eastAsia="en-US"/>
        </w:rPr>
      </w:pPr>
    </w:p>
    <w:p w14:paraId="655B34DC" w14:textId="61AD54C7" w:rsidR="00FD744D" w:rsidRPr="00EC71F3" w:rsidRDefault="00FD744D" w:rsidP="00FD744D">
      <w:pPr>
        <w:keepNext/>
        <w:tabs>
          <w:tab w:val="center" w:pos="4500"/>
        </w:tabs>
        <w:snapToGrid w:val="0"/>
        <w:spacing w:before="120"/>
        <w:outlineLvl w:val="1"/>
        <w:rPr>
          <w:lang w:eastAsia="en-US"/>
        </w:rPr>
      </w:pPr>
      <w:r w:rsidRPr="00EC71F3">
        <w:rPr>
          <w:lang w:eastAsia="en-US"/>
        </w:rPr>
        <w:t>Za objednatele:</w:t>
      </w:r>
      <w:r w:rsidRPr="00EC71F3">
        <w:rPr>
          <w:lang w:eastAsia="en-US"/>
        </w:rPr>
        <w:tab/>
      </w:r>
      <w:r w:rsidRPr="00EC71F3">
        <w:rPr>
          <w:lang w:eastAsia="en-US"/>
        </w:rPr>
        <w:tab/>
        <w:t xml:space="preserve">Za </w:t>
      </w:r>
      <w:r w:rsidR="00D429D0" w:rsidRPr="00EC71F3">
        <w:rPr>
          <w:lang w:eastAsia="en-US"/>
        </w:rPr>
        <w:t>dodavatel</w:t>
      </w:r>
      <w:r w:rsidRPr="00EC71F3">
        <w:rPr>
          <w:lang w:eastAsia="en-US"/>
        </w:rPr>
        <w:t>e:</w:t>
      </w:r>
    </w:p>
    <w:p w14:paraId="7707D42E" w14:textId="77777777" w:rsidR="00FD744D" w:rsidRPr="00EC71F3" w:rsidRDefault="00FD744D" w:rsidP="00FD744D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lang w:eastAsia="en-US"/>
        </w:rPr>
      </w:pPr>
    </w:p>
    <w:p w14:paraId="0263D702" w14:textId="77777777" w:rsidR="00FD744D" w:rsidRPr="00EC71F3" w:rsidRDefault="00FD744D" w:rsidP="00FD744D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lang w:eastAsia="en-US"/>
        </w:rPr>
      </w:pPr>
    </w:p>
    <w:p w14:paraId="4B3C2997" w14:textId="77777777" w:rsidR="00FD744D" w:rsidRPr="00EC71F3" w:rsidRDefault="00FD744D" w:rsidP="00FD744D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lang w:eastAsia="en-US"/>
        </w:rPr>
      </w:pPr>
    </w:p>
    <w:p w14:paraId="5E1452BC" w14:textId="77777777" w:rsidR="00FD744D" w:rsidRPr="00EC71F3" w:rsidRDefault="00FD744D" w:rsidP="00FD744D">
      <w:pPr>
        <w:keepNext/>
        <w:tabs>
          <w:tab w:val="center" w:pos="4500"/>
        </w:tabs>
        <w:snapToGrid w:val="0"/>
        <w:spacing w:before="120"/>
        <w:outlineLvl w:val="1"/>
        <w:rPr>
          <w:lang w:eastAsia="en-US"/>
        </w:rPr>
      </w:pPr>
      <w:r w:rsidRPr="00EC71F3">
        <w:rPr>
          <w:lang w:eastAsia="en-US"/>
        </w:rPr>
        <w:t>_____________________________</w:t>
      </w:r>
      <w:r w:rsidRPr="00EC71F3">
        <w:rPr>
          <w:lang w:eastAsia="en-US"/>
        </w:rPr>
        <w:tab/>
      </w:r>
      <w:r w:rsidRPr="00EC71F3">
        <w:rPr>
          <w:lang w:eastAsia="en-US"/>
        </w:rPr>
        <w:tab/>
        <w:t xml:space="preserve"> ____________________________</w:t>
      </w:r>
    </w:p>
    <w:p w14:paraId="3EA51D65" w14:textId="16936E1B" w:rsidR="005048B8" w:rsidRPr="00EC71F3" w:rsidRDefault="00FD744D" w:rsidP="00FD744D">
      <w:pPr>
        <w:keepNext/>
        <w:tabs>
          <w:tab w:val="center" w:pos="4500"/>
        </w:tabs>
        <w:snapToGrid w:val="0"/>
        <w:spacing w:before="120"/>
        <w:ind w:left="2124" w:hanging="2124"/>
        <w:outlineLvl w:val="1"/>
      </w:pPr>
      <w:r w:rsidRPr="00EC71F3">
        <w:rPr>
          <w:lang w:eastAsia="en-US"/>
        </w:rPr>
        <w:t>RNDr. Milan Macek, CSc., ředitel</w:t>
      </w:r>
      <w:r w:rsidRPr="00EC71F3">
        <w:rPr>
          <w:lang w:eastAsia="en-US"/>
        </w:rPr>
        <w:tab/>
      </w:r>
      <w:r w:rsidR="0000162D" w:rsidRPr="00EC71F3">
        <w:rPr>
          <w:lang w:eastAsia="en-US"/>
        </w:rPr>
        <w:t xml:space="preserve"> </w:t>
      </w:r>
      <w:r w:rsidRPr="00EC71F3">
        <w:rPr>
          <w:lang w:eastAsia="en-US"/>
        </w:rPr>
        <w:tab/>
      </w:r>
      <w:r w:rsidRPr="00EC71F3">
        <w:rPr>
          <w:lang w:eastAsia="en-US"/>
        </w:rPr>
        <w:tab/>
        <w:t>jméno, příjmení, funkce</w:t>
      </w:r>
    </w:p>
    <w:p w14:paraId="027EAE5C" w14:textId="77777777" w:rsidR="00293F8E" w:rsidRPr="00EC71F3" w:rsidRDefault="00293F8E">
      <w:pPr>
        <w:rPr>
          <w:sz w:val="21"/>
          <w:szCs w:val="21"/>
        </w:rPr>
      </w:pPr>
      <w:r w:rsidRPr="00EC71F3">
        <w:rPr>
          <w:sz w:val="21"/>
          <w:szCs w:val="21"/>
        </w:rPr>
        <w:br w:type="page"/>
      </w:r>
    </w:p>
    <w:p w14:paraId="50B481FB" w14:textId="597F44C9" w:rsidR="00293F8E" w:rsidRPr="00EC71F3" w:rsidRDefault="00293F8E" w:rsidP="00293F8E">
      <w:pPr>
        <w:keepNext/>
        <w:tabs>
          <w:tab w:val="center" w:pos="4500"/>
        </w:tabs>
        <w:snapToGrid w:val="0"/>
        <w:spacing w:before="120"/>
        <w:outlineLvl w:val="1"/>
        <w:rPr>
          <w:b/>
          <w:bCs/>
        </w:rPr>
      </w:pPr>
      <w:r w:rsidRPr="00EC71F3">
        <w:rPr>
          <w:b/>
          <w:bCs/>
        </w:rPr>
        <w:lastRenderedPageBreak/>
        <w:t>Příloha č. 1 - Specifikace předmětu plnění</w:t>
      </w:r>
    </w:p>
    <w:p w14:paraId="37EB5991" w14:textId="77777777" w:rsidR="00293F8E" w:rsidRPr="00EC71F3" w:rsidRDefault="00293F8E" w:rsidP="00293F8E">
      <w:pPr>
        <w:keepNext/>
        <w:tabs>
          <w:tab w:val="center" w:pos="4500"/>
        </w:tabs>
        <w:snapToGrid w:val="0"/>
        <w:spacing w:before="120"/>
        <w:outlineLvl w:val="1"/>
      </w:pPr>
    </w:p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80"/>
        <w:gridCol w:w="2460"/>
      </w:tblGrid>
      <w:tr w:rsidR="00CC3520" w:rsidRPr="00EC71F3" w14:paraId="2A96427F" w14:textId="77777777" w:rsidTr="00CC3520">
        <w:trPr>
          <w:trHeight w:val="600"/>
        </w:trPr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381A" w14:textId="77777777" w:rsidR="00CC3520" w:rsidRPr="00485034" w:rsidRDefault="00CC352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85034">
              <w:rPr>
                <w:b/>
                <w:bCs/>
                <w:color w:val="000000"/>
                <w:sz w:val="28"/>
                <w:szCs w:val="28"/>
              </w:rPr>
              <w:t>Poptávané práce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1437" w14:textId="77777777" w:rsidR="00CC3520" w:rsidRPr="00485034" w:rsidRDefault="00CC3520">
            <w:pPr>
              <w:jc w:val="center"/>
              <w:rPr>
                <w:b/>
                <w:bCs/>
                <w:color w:val="000000"/>
              </w:rPr>
            </w:pPr>
            <w:r w:rsidRPr="00485034">
              <w:rPr>
                <w:b/>
                <w:bCs/>
                <w:color w:val="000000"/>
              </w:rPr>
              <w:t>cena za jednotlivé položky</w:t>
            </w:r>
          </w:p>
        </w:tc>
      </w:tr>
      <w:tr w:rsidR="00CC3520" w:rsidRPr="00EC71F3" w14:paraId="4E2D322B" w14:textId="77777777" w:rsidTr="00CC3520">
        <w:trPr>
          <w:trHeight w:val="60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C4AC" w14:textId="7309E1B1" w:rsidR="00CC3520" w:rsidRPr="00EC71F3" w:rsidRDefault="00CC3520">
            <w:pPr>
              <w:rPr>
                <w:color w:val="000000"/>
              </w:rPr>
            </w:pPr>
            <w:r w:rsidRPr="00EC71F3">
              <w:rPr>
                <w:color w:val="000000"/>
              </w:rPr>
              <w:t>omytí fasády tlakovou vodou, včetně chemie a impregnace 65 m</w:t>
            </w:r>
            <w:r w:rsidRPr="00C95292">
              <w:rPr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2DFB6" w14:textId="4D8E8DEA" w:rsidR="00CC3520" w:rsidRPr="00EC71F3" w:rsidRDefault="00CC3520">
            <w:pPr>
              <w:rPr>
                <w:color w:val="000000"/>
              </w:rPr>
            </w:pPr>
            <w:r w:rsidRPr="00EC71F3">
              <w:rPr>
                <w:color w:val="000000"/>
              </w:rPr>
              <w:t> </w:t>
            </w:r>
            <w:r w:rsidR="003F18FF">
              <w:rPr>
                <w:color w:val="000000"/>
              </w:rPr>
              <w:t>48 750</w:t>
            </w:r>
          </w:p>
        </w:tc>
      </w:tr>
      <w:tr w:rsidR="00CC3520" w:rsidRPr="00EC71F3" w14:paraId="09D0EB8D" w14:textId="77777777" w:rsidTr="00CC3520">
        <w:trPr>
          <w:trHeight w:val="60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686C" w14:textId="1D3557C3" w:rsidR="00CC3520" w:rsidRPr="00EC71F3" w:rsidRDefault="00CC3520">
            <w:pPr>
              <w:rPr>
                <w:color w:val="000000"/>
              </w:rPr>
            </w:pPr>
            <w:r w:rsidRPr="00EC71F3">
              <w:rPr>
                <w:color w:val="000000"/>
              </w:rPr>
              <w:t>oprava poškozené fasády po elekroinstalaci, rozvodu plynu apod.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4D80A" w14:textId="22D8D4BF" w:rsidR="00CC3520" w:rsidRPr="00EC71F3" w:rsidRDefault="00CC3520">
            <w:pPr>
              <w:rPr>
                <w:color w:val="000000"/>
              </w:rPr>
            </w:pPr>
            <w:r w:rsidRPr="00EC71F3">
              <w:rPr>
                <w:color w:val="000000"/>
              </w:rPr>
              <w:t> </w:t>
            </w:r>
            <w:r w:rsidR="003F18FF">
              <w:rPr>
                <w:color w:val="000000"/>
              </w:rPr>
              <w:t>15 500</w:t>
            </w:r>
          </w:p>
        </w:tc>
      </w:tr>
      <w:tr w:rsidR="00CC3520" w:rsidRPr="00EC71F3" w14:paraId="795FE186" w14:textId="77777777" w:rsidTr="00CC3520">
        <w:trPr>
          <w:trHeight w:val="60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33A0" w14:textId="77777777" w:rsidR="00CC3520" w:rsidRPr="00EC71F3" w:rsidRDefault="00CC3520">
            <w:pPr>
              <w:rPr>
                <w:color w:val="000000"/>
              </w:rPr>
            </w:pPr>
            <w:r w:rsidRPr="00EC71F3">
              <w:rPr>
                <w:color w:val="000000"/>
              </w:rPr>
              <w:t>barevná retuš po odstraněných grafitech a sjednocení fasády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4BD4" w14:textId="49C915E8" w:rsidR="00CC3520" w:rsidRPr="00EC71F3" w:rsidRDefault="00CC3520">
            <w:pPr>
              <w:rPr>
                <w:color w:val="000000"/>
              </w:rPr>
            </w:pPr>
            <w:r w:rsidRPr="00EC71F3">
              <w:rPr>
                <w:color w:val="000000"/>
              </w:rPr>
              <w:t> </w:t>
            </w:r>
            <w:r w:rsidR="003F18FF">
              <w:rPr>
                <w:color w:val="000000"/>
              </w:rPr>
              <w:t>72 000</w:t>
            </w:r>
          </w:p>
        </w:tc>
      </w:tr>
      <w:tr w:rsidR="00CC3520" w:rsidRPr="00EC71F3" w14:paraId="5B7EE2C2" w14:textId="77777777" w:rsidTr="00CC3520">
        <w:trPr>
          <w:trHeight w:val="60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C5E4" w14:textId="77777777" w:rsidR="00CC3520" w:rsidRPr="00EC71F3" w:rsidRDefault="00CC3520">
            <w:pPr>
              <w:rPr>
                <w:color w:val="000000"/>
              </w:rPr>
            </w:pPr>
            <w:r w:rsidRPr="00EC71F3">
              <w:rPr>
                <w:color w:val="000000"/>
              </w:rPr>
              <w:t>omytí soch tlakovou vodou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3B18A" w14:textId="52CF36DB" w:rsidR="00CC3520" w:rsidRPr="00EC71F3" w:rsidRDefault="00CC3520">
            <w:pPr>
              <w:rPr>
                <w:color w:val="000000"/>
              </w:rPr>
            </w:pPr>
            <w:r w:rsidRPr="00EC71F3">
              <w:rPr>
                <w:color w:val="000000"/>
              </w:rPr>
              <w:t> </w:t>
            </w:r>
            <w:r w:rsidR="003F18FF">
              <w:rPr>
                <w:color w:val="000000"/>
              </w:rPr>
              <w:t>12 000</w:t>
            </w:r>
          </w:p>
        </w:tc>
      </w:tr>
      <w:tr w:rsidR="00CC3520" w:rsidRPr="00EC71F3" w14:paraId="4A1E91C6" w14:textId="77777777" w:rsidTr="00CC3520">
        <w:trPr>
          <w:trHeight w:val="60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0E56" w14:textId="77777777" w:rsidR="00CC3520" w:rsidRPr="00EC71F3" w:rsidRDefault="00CC3520">
            <w:pPr>
              <w:rPr>
                <w:color w:val="000000"/>
              </w:rPr>
            </w:pPr>
            <w:r w:rsidRPr="00EC71F3">
              <w:rPr>
                <w:color w:val="000000"/>
              </w:rPr>
              <w:t>doplnění zábran proti holubům, odstranění holubího trusu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B542" w14:textId="301CFB25" w:rsidR="00CC3520" w:rsidRPr="00EC71F3" w:rsidRDefault="00CC3520">
            <w:pPr>
              <w:rPr>
                <w:color w:val="000000"/>
              </w:rPr>
            </w:pPr>
            <w:r w:rsidRPr="00EC71F3">
              <w:rPr>
                <w:color w:val="000000"/>
              </w:rPr>
              <w:t> </w:t>
            </w:r>
            <w:r w:rsidR="003F18FF">
              <w:rPr>
                <w:color w:val="000000"/>
              </w:rPr>
              <w:t>20 000</w:t>
            </w:r>
          </w:p>
        </w:tc>
      </w:tr>
      <w:tr w:rsidR="00CC3520" w:rsidRPr="00EC71F3" w14:paraId="308740FC" w14:textId="77777777" w:rsidTr="00CC3520">
        <w:trPr>
          <w:trHeight w:val="60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28E2" w14:textId="77777777" w:rsidR="00CC3520" w:rsidRPr="00EC71F3" w:rsidRDefault="00CC3520">
            <w:pPr>
              <w:rPr>
                <w:color w:val="000000"/>
              </w:rPr>
            </w:pPr>
            <w:r w:rsidRPr="00EC71F3">
              <w:rPr>
                <w:color w:val="000000"/>
              </w:rPr>
              <w:t>doprava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124F" w14:textId="260C9B9F" w:rsidR="00CC3520" w:rsidRPr="00EC71F3" w:rsidRDefault="00CC3520">
            <w:pPr>
              <w:rPr>
                <w:color w:val="000000"/>
              </w:rPr>
            </w:pPr>
            <w:r w:rsidRPr="00EC71F3">
              <w:rPr>
                <w:color w:val="000000"/>
              </w:rPr>
              <w:t> </w:t>
            </w:r>
            <w:r w:rsidR="003F18FF">
              <w:rPr>
                <w:color w:val="000000"/>
              </w:rPr>
              <w:t>28 000</w:t>
            </w:r>
          </w:p>
        </w:tc>
      </w:tr>
      <w:tr w:rsidR="00CC3520" w:rsidRPr="00EC71F3" w14:paraId="41EE21BC" w14:textId="77777777" w:rsidTr="00CC3520">
        <w:trPr>
          <w:trHeight w:val="60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D4C6AF" w14:textId="77777777" w:rsidR="00CC3520" w:rsidRPr="00485034" w:rsidRDefault="00CC3520">
            <w:pPr>
              <w:rPr>
                <w:b/>
                <w:bCs/>
                <w:color w:val="000000"/>
              </w:rPr>
            </w:pPr>
            <w:r w:rsidRPr="00485034">
              <w:rPr>
                <w:b/>
                <w:bCs/>
                <w:color w:val="000000"/>
              </w:rPr>
              <w:t>Celková cena</w:t>
            </w:r>
          </w:p>
        </w:tc>
        <w:tc>
          <w:tcPr>
            <w:tcW w:w="24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0D6F7D3" w14:textId="5425ECD3" w:rsidR="00CC3520" w:rsidRPr="00EC71F3" w:rsidRDefault="00CC3520">
            <w:pPr>
              <w:rPr>
                <w:color w:val="000000"/>
              </w:rPr>
            </w:pPr>
            <w:r w:rsidRPr="00EC71F3">
              <w:rPr>
                <w:color w:val="000000"/>
              </w:rPr>
              <w:t> </w:t>
            </w:r>
            <w:r w:rsidR="003F18FF">
              <w:rPr>
                <w:color w:val="000000"/>
              </w:rPr>
              <w:t>196 250</w:t>
            </w:r>
          </w:p>
        </w:tc>
      </w:tr>
    </w:tbl>
    <w:p w14:paraId="402D2EF8" w14:textId="77777777" w:rsidR="00293F8E" w:rsidRPr="00EC71F3" w:rsidRDefault="00293F8E" w:rsidP="00293F8E">
      <w:pPr>
        <w:ind w:left="720"/>
      </w:pPr>
    </w:p>
    <w:p w14:paraId="5F6571F9" w14:textId="2FB7E498" w:rsidR="005048B8" w:rsidRPr="00F179EF" w:rsidRDefault="00F179EF" w:rsidP="004470AD">
      <w:pPr>
        <w:jc w:val="both"/>
        <w:rPr>
          <w:b/>
          <w:bCs/>
        </w:rPr>
      </w:pPr>
      <w:r w:rsidRPr="00F179EF">
        <w:rPr>
          <w:b/>
          <w:bCs/>
        </w:rPr>
        <w:t>Podrobnosti specifikace předmětu plnění</w:t>
      </w:r>
      <w:r w:rsidR="00C95292">
        <w:rPr>
          <w:b/>
          <w:bCs/>
        </w:rPr>
        <w:t>:</w:t>
      </w:r>
    </w:p>
    <w:p w14:paraId="7D4AAAA1" w14:textId="77777777" w:rsidR="00F179EF" w:rsidRDefault="00F179EF" w:rsidP="00F179EF">
      <w:pPr>
        <w:jc w:val="both"/>
      </w:pPr>
      <w:r>
        <w:t xml:space="preserve">Teracový sokl fasád uličních průčelí a nárožní portál hlavního vstupu - udržovací práce. </w:t>
      </w:r>
    </w:p>
    <w:p w14:paraId="3480E9E2" w14:textId="24311A96" w:rsidR="00F179EF" w:rsidRDefault="00F179EF" w:rsidP="00F179EF">
      <w:pPr>
        <w:jc w:val="both"/>
      </w:pPr>
      <w:r>
        <w:t xml:space="preserve">Tato výrazná a architektonicky významná partie obou uličních průčelí, jak do ulice Blanická s hlavním vstupem, tak na nároží parteru budovy, do ulice Vinohradská byla renovována v roce 2015. </w:t>
      </w:r>
    </w:p>
    <w:p w14:paraId="27DCCC39" w14:textId="77777777" w:rsidR="00F179EF" w:rsidRDefault="00F179EF" w:rsidP="00F179EF">
      <w:pPr>
        <w:jc w:val="both"/>
      </w:pPr>
      <w:r>
        <w:t>1/ Současný stav vykazuje značné znečištění líce teracových omítek soklu i portálu:</w:t>
      </w:r>
    </w:p>
    <w:p w14:paraId="5C936E69" w14:textId="77777777" w:rsidR="00F179EF" w:rsidRDefault="00F179EF" w:rsidP="00F179EF">
      <w:pPr>
        <w:jc w:val="both"/>
      </w:pPr>
      <w:r>
        <w:t>Charakter prací vyžaduje výhradně přístup kvalifikovaného kameníka, bez zásahu do alegorické sochařské výzdoby.</w:t>
      </w:r>
    </w:p>
    <w:p w14:paraId="1EFFABD5" w14:textId="77777777" w:rsidR="00F179EF" w:rsidRDefault="00F179EF" w:rsidP="00F179EF">
      <w:pPr>
        <w:jc w:val="both"/>
      </w:pPr>
      <w:r>
        <w:t>- drobnými poškozeními oprav omítky z roku 2015 - revize po 11 letech v celé ploše, oprava, doplnění a retuš tvarová i barevná.</w:t>
      </w:r>
    </w:p>
    <w:p w14:paraId="516FBD41" w14:textId="77777777" w:rsidR="00F179EF" w:rsidRDefault="00F179EF" w:rsidP="00F179EF">
      <w:pPr>
        <w:jc w:val="both"/>
      </w:pPr>
      <w:r>
        <w:t xml:space="preserve">- polétavým prachem, lokálně trusem ptactva - oplach vodou, tlakovou vodou, </w:t>
      </w:r>
    </w:p>
    <w:p w14:paraId="46BC4D44" w14:textId="77777777" w:rsidR="00F179EF" w:rsidRDefault="00F179EF" w:rsidP="00F179EF">
      <w:pPr>
        <w:jc w:val="both"/>
      </w:pPr>
      <w:r>
        <w:t>- včetně vhodného chemického postupu chemického odstranění stop po sprejerech.</w:t>
      </w:r>
    </w:p>
    <w:p w14:paraId="40ECFDB3" w14:textId="77777777" w:rsidR="00F179EF" w:rsidRDefault="00F179EF" w:rsidP="00F179EF">
      <w:pPr>
        <w:jc w:val="both"/>
      </w:pPr>
      <w:r>
        <w:t>- v korunách soklů zelenou řasou a mechem,</w:t>
      </w:r>
    </w:p>
    <w:p w14:paraId="5ECD8741" w14:textId="77777777" w:rsidR="00F179EF" w:rsidRDefault="00F179EF" w:rsidP="00F179EF">
      <w:pPr>
        <w:jc w:val="both"/>
      </w:pPr>
      <w:r>
        <w:t xml:space="preserve">- v širokých spárách hmotového členění portálu i ve vztahu k soklům sochařské výzdoby, nánosy větviček a guana. </w:t>
      </w:r>
    </w:p>
    <w:p w14:paraId="0DCAB08B" w14:textId="0AD5B5DA" w:rsidR="00F179EF" w:rsidRDefault="00F179EF" w:rsidP="00F179EF">
      <w:pPr>
        <w:jc w:val="both"/>
      </w:pPr>
      <w:r>
        <w:t xml:space="preserve">2/ Zábrany proti dosedání ptactva. Po opravě fasád na podzim 2018 až 2019 byly při očistě z partií portálu odstraněny odsouhlasené barevně retušované trnové zábrany proti dosedání holubů a ty byly následně nedbale navráceny do původních poloh, jako nekompletní, čímž částečně přestaly sloužit svému účelu </w:t>
      </w:r>
    </w:p>
    <w:p w14:paraId="33E37580" w14:textId="77777777" w:rsidR="00F179EF" w:rsidRDefault="00F179EF" w:rsidP="00F179EF">
      <w:pPr>
        <w:jc w:val="both"/>
      </w:pPr>
      <w:r>
        <w:t>- kompletní demontáž očista, doplnění, obnovení barevného maskování a zpětná montáž na obnovené očištěné povrchy do původních poloh na ocelových lištách bez uplatnění silikonu atp.</w:t>
      </w:r>
    </w:p>
    <w:p w14:paraId="381F8166" w14:textId="77777777" w:rsidR="00F179EF" w:rsidRDefault="00F179EF" w:rsidP="00F179EF">
      <w:pPr>
        <w:jc w:val="both"/>
      </w:pPr>
      <w:r>
        <w:t>- kompletní ochrana sochařské výzdoby vhodnou folií a zábalem přes měkkou tenkou geotextilii</w:t>
      </w:r>
    </w:p>
    <w:p w14:paraId="2BB3EDFD" w14:textId="77777777" w:rsidR="00F179EF" w:rsidRDefault="00F179EF" w:rsidP="00F179EF">
      <w:pPr>
        <w:jc w:val="both"/>
      </w:pPr>
      <w:r>
        <w:t>3/ Postup prací bude přizpůsoben potřebám provozu školy, zejména v oblasti hl. vstupu</w:t>
      </w:r>
    </w:p>
    <w:p w14:paraId="30BDC4C6" w14:textId="090206AB" w:rsidR="00F179EF" w:rsidRDefault="00F179EF" w:rsidP="00F179EF">
      <w:pPr>
        <w:jc w:val="both"/>
      </w:pPr>
      <w:r>
        <w:t>Připojení ke zdroji vody a elektrického proudu bude zajištěno v budově. Práce lze provádět z mobilní lešenářské plošiny, která se bude montovat a demontovat vždy na počátku a konci prací. Dodavatel po každé směně zajistí vyčištění obecního chodníku.</w:t>
      </w:r>
    </w:p>
    <w:p w14:paraId="7B32ACCE" w14:textId="77777777" w:rsidR="00F179EF" w:rsidRDefault="00F179EF" w:rsidP="00F179EF">
      <w:pPr>
        <w:jc w:val="both"/>
      </w:pPr>
      <w:r>
        <w:t xml:space="preserve">4/ Dodavatel prací si zajistí placené parkování v zóně Prahy 2 na dobu potřebnou </w:t>
      </w:r>
    </w:p>
    <w:p w14:paraId="621C429C" w14:textId="77777777" w:rsidR="00F179EF" w:rsidRDefault="00F179EF" w:rsidP="00F179EF">
      <w:pPr>
        <w:jc w:val="both"/>
      </w:pPr>
      <w:r>
        <w:t>5/ Výměry každý dodavatel si prohlédne předmětné místo a prověří si výměry na místě!</w:t>
      </w:r>
    </w:p>
    <w:p w14:paraId="71344A8A" w14:textId="77777777" w:rsidR="00F179EF" w:rsidRDefault="00F179EF" w:rsidP="00F179EF">
      <w:pPr>
        <w:jc w:val="both"/>
      </w:pPr>
      <w:r>
        <w:t>Plocha soklů a portálu bez výplní je 65m</w:t>
      </w:r>
      <w:r w:rsidRPr="00F179EF">
        <w:rPr>
          <w:vertAlign w:val="superscript"/>
        </w:rPr>
        <w:t>2</w:t>
      </w:r>
      <w:r>
        <w:t xml:space="preserve">, </w:t>
      </w:r>
    </w:p>
    <w:p w14:paraId="61A9BEEC" w14:textId="7E1C713D" w:rsidR="00F179EF" w:rsidRPr="00EC71F3" w:rsidRDefault="00F179EF" w:rsidP="00F179EF">
      <w:pPr>
        <w:jc w:val="both"/>
      </w:pPr>
      <w:r>
        <w:t>Okolí soklů vč. soch je 16m</w:t>
      </w:r>
      <w:r w:rsidRPr="00F179EF">
        <w:rPr>
          <w:vertAlign w:val="superscript"/>
        </w:rPr>
        <w:t>2</w:t>
      </w:r>
      <w:r>
        <w:t xml:space="preserve"> plochy vč. obratů hmot.</w:t>
      </w:r>
    </w:p>
    <w:sectPr w:rsidR="00F179EF" w:rsidRPr="00EC71F3" w:rsidSect="007574E8">
      <w:headerReference w:type="default" r:id="rId8"/>
      <w:footerReference w:type="default" r:id="rId9"/>
      <w:pgSz w:w="11906" w:h="16838" w:code="9"/>
      <w:pgMar w:top="1191" w:right="1077" w:bottom="85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26798" w14:textId="77777777" w:rsidR="00073377" w:rsidRDefault="00073377">
      <w:r>
        <w:separator/>
      </w:r>
    </w:p>
  </w:endnote>
  <w:endnote w:type="continuationSeparator" w:id="0">
    <w:p w14:paraId="0A0B10D2" w14:textId="77777777" w:rsidR="00073377" w:rsidRDefault="00073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2396569"/>
      <w:docPartObj>
        <w:docPartGallery w:val="Page Numbers (Bottom of Page)"/>
        <w:docPartUnique/>
      </w:docPartObj>
    </w:sdtPr>
    <w:sdtEndPr/>
    <w:sdtContent>
      <w:p w14:paraId="53F13920" w14:textId="163E105F" w:rsidR="007574E8" w:rsidRDefault="007574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035B11" w14:textId="77777777" w:rsidR="007574E8" w:rsidRDefault="007574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09471" w14:textId="77777777" w:rsidR="00073377" w:rsidRDefault="00073377">
      <w:r>
        <w:separator/>
      </w:r>
    </w:p>
  </w:footnote>
  <w:footnote w:type="continuationSeparator" w:id="0">
    <w:p w14:paraId="07402416" w14:textId="77777777" w:rsidR="00073377" w:rsidRDefault="00073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D6903" w14:textId="77777777" w:rsidR="006F5C15" w:rsidRDefault="006F5C15" w:rsidP="006F5C15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633B"/>
    <w:multiLevelType w:val="hybridMultilevel"/>
    <w:tmpl w:val="521C5B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43062"/>
    <w:multiLevelType w:val="hybridMultilevel"/>
    <w:tmpl w:val="36549C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4704D"/>
    <w:multiLevelType w:val="hybridMultilevel"/>
    <w:tmpl w:val="24228A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C717B"/>
    <w:multiLevelType w:val="hybridMultilevel"/>
    <w:tmpl w:val="95B4C6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D642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5" w15:restartNumberingAfterBreak="0">
    <w:nsid w:val="23FB0220"/>
    <w:multiLevelType w:val="hybridMultilevel"/>
    <w:tmpl w:val="9DE61222"/>
    <w:lvl w:ilvl="0" w:tplc="84A4EF58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6856F30"/>
    <w:multiLevelType w:val="hybridMultilevel"/>
    <w:tmpl w:val="B920A97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96ED2"/>
    <w:multiLevelType w:val="hybridMultilevel"/>
    <w:tmpl w:val="5D7819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8C63CF"/>
    <w:multiLevelType w:val="hybridMultilevel"/>
    <w:tmpl w:val="DB84F6EA"/>
    <w:lvl w:ilvl="0" w:tplc="2988B7C2">
      <w:start w:val="1"/>
      <w:numFmt w:val="bullet"/>
      <w:pStyle w:val="Textzadnsodrkou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1266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0" w15:restartNumberingAfterBreak="0">
    <w:nsid w:val="356E760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1" w15:restartNumberingAfterBreak="0">
    <w:nsid w:val="394C6085"/>
    <w:multiLevelType w:val="multilevel"/>
    <w:tmpl w:val="463CB9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B1D7A27"/>
    <w:multiLevelType w:val="hybridMultilevel"/>
    <w:tmpl w:val="C5B06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774D1"/>
    <w:multiLevelType w:val="hybridMultilevel"/>
    <w:tmpl w:val="D6588C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8E690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5" w15:restartNumberingAfterBreak="0">
    <w:nsid w:val="49365A40"/>
    <w:multiLevelType w:val="hybridMultilevel"/>
    <w:tmpl w:val="FFFFFFFF"/>
    <w:lvl w:ilvl="0" w:tplc="E9B0A97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  <w:b w:val="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5529F"/>
    <w:multiLevelType w:val="hybridMultilevel"/>
    <w:tmpl w:val="D7DCB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051D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8" w15:restartNumberingAfterBreak="0">
    <w:nsid w:val="4BAD012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9" w15:restartNumberingAfterBreak="0">
    <w:nsid w:val="6ABD359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0" w15:restartNumberingAfterBreak="0">
    <w:nsid w:val="6CB12281"/>
    <w:multiLevelType w:val="hybridMultilevel"/>
    <w:tmpl w:val="4BD0E33A"/>
    <w:lvl w:ilvl="0" w:tplc="C51AEB3C">
      <w:start w:val="1"/>
      <w:numFmt w:val="decimal"/>
      <w:pStyle w:val="Textzadnsslem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7A4D8A"/>
    <w:multiLevelType w:val="hybridMultilevel"/>
    <w:tmpl w:val="B8867A8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45E0287"/>
    <w:multiLevelType w:val="multilevel"/>
    <w:tmpl w:val="3E70B3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677110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4" w15:restartNumberingAfterBreak="0">
    <w:nsid w:val="78412FD5"/>
    <w:multiLevelType w:val="hybridMultilevel"/>
    <w:tmpl w:val="6A64D95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7C0B793E"/>
    <w:multiLevelType w:val="hybridMultilevel"/>
    <w:tmpl w:val="44444A98"/>
    <w:lvl w:ilvl="0" w:tplc="C31225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21"/>
  </w:num>
  <w:num w:numId="4">
    <w:abstractNumId w:val="5"/>
  </w:num>
  <w:num w:numId="5">
    <w:abstractNumId w:val="2"/>
  </w:num>
  <w:num w:numId="6">
    <w:abstractNumId w:val="8"/>
  </w:num>
  <w:num w:numId="7">
    <w:abstractNumId w:val="8"/>
  </w:num>
  <w:num w:numId="8">
    <w:abstractNumId w:val="24"/>
  </w:num>
  <w:num w:numId="9">
    <w:abstractNumId w:val="20"/>
  </w:num>
  <w:num w:numId="10">
    <w:abstractNumId w:val="0"/>
  </w:num>
  <w:num w:numId="11">
    <w:abstractNumId w:val="25"/>
  </w:num>
  <w:num w:numId="12">
    <w:abstractNumId w:val="8"/>
  </w:num>
  <w:num w:numId="13">
    <w:abstractNumId w:val="8"/>
  </w:num>
  <w:num w:numId="14">
    <w:abstractNumId w:val="16"/>
  </w:num>
  <w:num w:numId="15">
    <w:abstractNumId w:val="13"/>
  </w:num>
  <w:num w:numId="16">
    <w:abstractNumId w:val="20"/>
  </w:num>
  <w:num w:numId="17">
    <w:abstractNumId w:val="1"/>
  </w:num>
  <w:num w:numId="18">
    <w:abstractNumId w:val="3"/>
  </w:num>
  <w:num w:numId="19">
    <w:abstractNumId w:val="6"/>
  </w:num>
  <w:num w:numId="20">
    <w:abstractNumId w:val="7"/>
  </w:num>
  <w:num w:numId="21">
    <w:abstractNumId w:val="12"/>
  </w:num>
  <w:num w:numId="22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23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65F"/>
    <w:rsid w:val="0000162D"/>
    <w:rsid w:val="000017DB"/>
    <w:rsid w:val="000025E4"/>
    <w:rsid w:val="0000294A"/>
    <w:rsid w:val="00006370"/>
    <w:rsid w:val="00011A97"/>
    <w:rsid w:val="000255CD"/>
    <w:rsid w:val="0002682D"/>
    <w:rsid w:val="00035CE2"/>
    <w:rsid w:val="00042E40"/>
    <w:rsid w:val="00043482"/>
    <w:rsid w:val="000511C0"/>
    <w:rsid w:val="00051599"/>
    <w:rsid w:val="00051795"/>
    <w:rsid w:val="000518DB"/>
    <w:rsid w:val="00065846"/>
    <w:rsid w:val="00073377"/>
    <w:rsid w:val="0007474C"/>
    <w:rsid w:val="000A145F"/>
    <w:rsid w:val="000B127F"/>
    <w:rsid w:val="000B5369"/>
    <w:rsid w:val="000C7006"/>
    <w:rsid w:val="000F2CA2"/>
    <w:rsid w:val="000F3CFA"/>
    <w:rsid w:val="000F45A9"/>
    <w:rsid w:val="000F6E05"/>
    <w:rsid w:val="00101CB6"/>
    <w:rsid w:val="00113C01"/>
    <w:rsid w:val="00124EFC"/>
    <w:rsid w:val="00127FBB"/>
    <w:rsid w:val="00132608"/>
    <w:rsid w:val="00136EAC"/>
    <w:rsid w:val="00141D67"/>
    <w:rsid w:val="0014441D"/>
    <w:rsid w:val="0015073C"/>
    <w:rsid w:val="00150C0B"/>
    <w:rsid w:val="00151B6C"/>
    <w:rsid w:val="00163639"/>
    <w:rsid w:val="00166AE7"/>
    <w:rsid w:val="00172339"/>
    <w:rsid w:val="0017752E"/>
    <w:rsid w:val="00196F08"/>
    <w:rsid w:val="001A7360"/>
    <w:rsid w:val="001B11FF"/>
    <w:rsid w:val="001B4241"/>
    <w:rsid w:val="001B4DE7"/>
    <w:rsid w:val="001C0252"/>
    <w:rsid w:val="001C1C8B"/>
    <w:rsid w:val="001D7725"/>
    <w:rsid w:val="001E0D9D"/>
    <w:rsid w:val="002058F7"/>
    <w:rsid w:val="0021218B"/>
    <w:rsid w:val="00222A84"/>
    <w:rsid w:val="00222C37"/>
    <w:rsid w:val="00230D0A"/>
    <w:rsid w:val="002347F9"/>
    <w:rsid w:val="00237148"/>
    <w:rsid w:val="00241377"/>
    <w:rsid w:val="0024179C"/>
    <w:rsid w:val="00242B18"/>
    <w:rsid w:val="00244F09"/>
    <w:rsid w:val="00250AFC"/>
    <w:rsid w:val="00252E8E"/>
    <w:rsid w:val="00255B4A"/>
    <w:rsid w:val="00263CEA"/>
    <w:rsid w:val="0026504F"/>
    <w:rsid w:val="002664E4"/>
    <w:rsid w:val="00293D5E"/>
    <w:rsid w:val="00293F8E"/>
    <w:rsid w:val="002A63BA"/>
    <w:rsid w:val="002D567F"/>
    <w:rsid w:val="002E19F5"/>
    <w:rsid w:val="002F3968"/>
    <w:rsid w:val="003156B3"/>
    <w:rsid w:val="00323D04"/>
    <w:rsid w:val="003349BA"/>
    <w:rsid w:val="00342951"/>
    <w:rsid w:val="00353195"/>
    <w:rsid w:val="00354673"/>
    <w:rsid w:val="00362941"/>
    <w:rsid w:val="00364170"/>
    <w:rsid w:val="003666B3"/>
    <w:rsid w:val="00372361"/>
    <w:rsid w:val="00373155"/>
    <w:rsid w:val="0037373A"/>
    <w:rsid w:val="00381B4B"/>
    <w:rsid w:val="003850D3"/>
    <w:rsid w:val="003922CF"/>
    <w:rsid w:val="003952AC"/>
    <w:rsid w:val="00397043"/>
    <w:rsid w:val="003A7ACD"/>
    <w:rsid w:val="003B0FB0"/>
    <w:rsid w:val="003B25B7"/>
    <w:rsid w:val="003B382D"/>
    <w:rsid w:val="003B5FC7"/>
    <w:rsid w:val="003B6680"/>
    <w:rsid w:val="003C4029"/>
    <w:rsid w:val="003E13FA"/>
    <w:rsid w:val="003E7F1C"/>
    <w:rsid w:val="003F18FF"/>
    <w:rsid w:val="0041155E"/>
    <w:rsid w:val="00420BA3"/>
    <w:rsid w:val="00426C30"/>
    <w:rsid w:val="0042738B"/>
    <w:rsid w:val="00443A64"/>
    <w:rsid w:val="004470AD"/>
    <w:rsid w:val="00455E2C"/>
    <w:rsid w:val="004573B4"/>
    <w:rsid w:val="00465E92"/>
    <w:rsid w:val="004669E7"/>
    <w:rsid w:val="00467BCE"/>
    <w:rsid w:val="00470303"/>
    <w:rsid w:val="00470C39"/>
    <w:rsid w:val="00476380"/>
    <w:rsid w:val="00482BF5"/>
    <w:rsid w:val="004830CF"/>
    <w:rsid w:val="00483CEB"/>
    <w:rsid w:val="004849EF"/>
    <w:rsid w:val="00485034"/>
    <w:rsid w:val="00492D54"/>
    <w:rsid w:val="004A1F98"/>
    <w:rsid w:val="004A452D"/>
    <w:rsid w:val="004A6C89"/>
    <w:rsid w:val="004B61D0"/>
    <w:rsid w:val="004C4C66"/>
    <w:rsid w:val="004E031E"/>
    <w:rsid w:val="004E7B51"/>
    <w:rsid w:val="004F0166"/>
    <w:rsid w:val="004F07D1"/>
    <w:rsid w:val="004F2547"/>
    <w:rsid w:val="005048B8"/>
    <w:rsid w:val="0051115E"/>
    <w:rsid w:val="005145FE"/>
    <w:rsid w:val="00521C5F"/>
    <w:rsid w:val="00534EB7"/>
    <w:rsid w:val="00555DEF"/>
    <w:rsid w:val="0056509E"/>
    <w:rsid w:val="005755EF"/>
    <w:rsid w:val="0057627C"/>
    <w:rsid w:val="00584102"/>
    <w:rsid w:val="005C1FB1"/>
    <w:rsid w:val="005C7712"/>
    <w:rsid w:val="005C7C1A"/>
    <w:rsid w:val="005D5042"/>
    <w:rsid w:val="005D7136"/>
    <w:rsid w:val="005D7F58"/>
    <w:rsid w:val="005E7B6C"/>
    <w:rsid w:val="006131FD"/>
    <w:rsid w:val="006142FF"/>
    <w:rsid w:val="006161C1"/>
    <w:rsid w:val="0061776A"/>
    <w:rsid w:val="00622A8E"/>
    <w:rsid w:val="0063268B"/>
    <w:rsid w:val="00642DE9"/>
    <w:rsid w:val="00657AC4"/>
    <w:rsid w:val="00661D95"/>
    <w:rsid w:val="00671C2D"/>
    <w:rsid w:val="0067223B"/>
    <w:rsid w:val="006724A9"/>
    <w:rsid w:val="00677779"/>
    <w:rsid w:val="00683D0C"/>
    <w:rsid w:val="00691067"/>
    <w:rsid w:val="006A1E10"/>
    <w:rsid w:val="006B688D"/>
    <w:rsid w:val="006C23F7"/>
    <w:rsid w:val="006C6A7B"/>
    <w:rsid w:val="006E41E4"/>
    <w:rsid w:val="006E7971"/>
    <w:rsid w:val="006F5C15"/>
    <w:rsid w:val="0070334E"/>
    <w:rsid w:val="007043A8"/>
    <w:rsid w:val="0070794E"/>
    <w:rsid w:val="007108E4"/>
    <w:rsid w:val="007115B9"/>
    <w:rsid w:val="007122CB"/>
    <w:rsid w:val="007127EE"/>
    <w:rsid w:val="00713030"/>
    <w:rsid w:val="00723784"/>
    <w:rsid w:val="007240A8"/>
    <w:rsid w:val="007442DA"/>
    <w:rsid w:val="00750425"/>
    <w:rsid w:val="00753E82"/>
    <w:rsid w:val="007574E8"/>
    <w:rsid w:val="0076046E"/>
    <w:rsid w:val="007666BE"/>
    <w:rsid w:val="0076710E"/>
    <w:rsid w:val="00770D57"/>
    <w:rsid w:val="00770F0D"/>
    <w:rsid w:val="00776EE7"/>
    <w:rsid w:val="00796A41"/>
    <w:rsid w:val="007A01CC"/>
    <w:rsid w:val="007B0263"/>
    <w:rsid w:val="007C5213"/>
    <w:rsid w:val="007C78FB"/>
    <w:rsid w:val="007D4DEE"/>
    <w:rsid w:val="007D78F0"/>
    <w:rsid w:val="007E27B4"/>
    <w:rsid w:val="007F09B0"/>
    <w:rsid w:val="007F58F9"/>
    <w:rsid w:val="00813A0F"/>
    <w:rsid w:val="00815052"/>
    <w:rsid w:val="00840AC3"/>
    <w:rsid w:val="00862F86"/>
    <w:rsid w:val="008826C2"/>
    <w:rsid w:val="008A1FF9"/>
    <w:rsid w:val="008B3B90"/>
    <w:rsid w:val="008B5785"/>
    <w:rsid w:val="008D671C"/>
    <w:rsid w:val="008D754F"/>
    <w:rsid w:val="008E2235"/>
    <w:rsid w:val="008E765F"/>
    <w:rsid w:val="008F6B2B"/>
    <w:rsid w:val="00911CBC"/>
    <w:rsid w:val="009326DC"/>
    <w:rsid w:val="00935767"/>
    <w:rsid w:val="00945B3D"/>
    <w:rsid w:val="00950011"/>
    <w:rsid w:val="009535C0"/>
    <w:rsid w:val="0096116A"/>
    <w:rsid w:val="00965067"/>
    <w:rsid w:val="00967A15"/>
    <w:rsid w:val="00977CD4"/>
    <w:rsid w:val="00984A12"/>
    <w:rsid w:val="00984C7A"/>
    <w:rsid w:val="00995820"/>
    <w:rsid w:val="00995B46"/>
    <w:rsid w:val="00996283"/>
    <w:rsid w:val="009A2C79"/>
    <w:rsid w:val="009A3E02"/>
    <w:rsid w:val="009A46D0"/>
    <w:rsid w:val="009C22C8"/>
    <w:rsid w:val="009C472E"/>
    <w:rsid w:val="009C5B09"/>
    <w:rsid w:val="009D7614"/>
    <w:rsid w:val="009E4A60"/>
    <w:rsid w:val="009E5436"/>
    <w:rsid w:val="009F21A4"/>
    <w:rsid w:val="00A06B3A"/>
    <w:rsid w:val="00A444A1"/>
    <w:rsid w:val="00A44778"/>
    <w:rsid w:val="00A45418"/>
    <w:rsid w:val="00A529F0"/>
    <w:rsid w:val="00A54279"/>
    <w:rsid w:val="00A55988"/>
    <w:rsid w:val="00A5776D"/>
    <w:rsid w:val="00A63987"/>
    <w:rsid w:val="00A6590C"/>
    <w:rsid w:val="00A667AB"/>
    <w:rsid w:val="00A66948"/>
    <w:rsid w:val="00A761FA"/>
    <w:rsid w:val="00A8715E"/>
    <w:rsid w:val="00A94C97"/>
    <w:rsid w:val="00A97EE2"/>
    <w:rsid w:val="00AA01B2"/>
    <w:rsid w:val="00AB14D1"/>
    <w:rsid w:val="00AD2816"/>
    <w:rsid w:val="00AD4074"/>
    <w:rsid w:val="00AE3AE3"/>
    <w:rsid w:val="00AE52BE"/>
    <w:rsid w:val="00AE67E6"/>
    <w:rsid w:val="00AF1AEF"/>
    <w:rsid w:val="00B01E52"/>
    <w:rsid w:val="00B02271"/>
    <w:rsid w:val="00B17AC8"/>
    <w:rsid w:val="00B229A5"/>
    <w:rsid w:val="00B26CF6"/>
    <w:rsid w:val="00B3339A"/>
    <w:rsid w:val="00B36DDF"/>
    <w:rsid w:val="00B43B13"/>
    <w:rsid w:val="00B657AA"/>
    <w:rsid w:val="00B72265"/>
    <w:rsid w:val="00B76355"/>
    <w:rsid w:val="00B8177A"/>
    <w:rsid w:val="00B81D3D"/>
    <w:rsid w:val="00B83862"/>
    <w:rsid w:val="00B84586"/>
    <w:rsid w:val="00B9099D"/>
    <w:rsid w:val="00BA52EA"/>
    <w:rsid w:val="00BA557C"/>
    <w:rsid w:val="00BB0DFA"/>
    <w:rsid w:val="00BB20D1"/>
    <w:rsid w:val="00BB4047"/>
    <w:rsid w:val="00BB7E3A"/>
    <w:rsid w:val="00BC6D53"/>
    <w:rsid w:val="00BD1026"/>
    <w:rsid w:val="00BD2D69"/>
    <w:rsid w:val="00BE75C4"/>
    <w:rsid w:val="00BF3169"/>
    <w:rsid w:val="00C133E8"/>
    <w:rsid w:val="00C204F0"/>
    <w:rsid w:val="00C234CA"/>
    <w:rsid w:val="00C26EF6"/>
    <w:rsid w:val="00C2712D"/>
    <w:rsid w:val="00C47712"/>
    <w:rsid w:val="00C540CB"/>
    <w:rsid w:val="00C83CD6"/>
    <w:rsid w:val="00C8645E"/>
    <w:rsid w:val="00C91474"/>
    <w:rsid w:val="00C9338C"/>
    <w:rsid w:val="00C95292"/>
    <w:rsid w:val="00C97C8A"/>
    <w:rsid w:val="00CA5231"/>
    <w:rsid w:val="00CB1CD7"/>
    <w:rsid w:val="00CB6862"/>
    <w:rsid w:val="00CB76D2"/>
    <w:rsid w:val="00CC3520"/>
    <w:rsid w:val="00CE0444"/>
    <w:rsid w:val="00CF0B02"/>
    <w:rsid w:val="00CF579B"/>
    <w:rsid w:val="00D1708C"/>
    <w:rsid w:val="00D35FDA"/>
    <w:rsid w:val="00D429D0"/>
    <w:rsid w:val="00D52D24"/>
    <w:rsid w:val="00D57FC6"/>
    <w:rsid w:val="00D60BC3"/>
    <w:rsid w:val="00D836C7"/>
    <w:rsid w:val="00D87715"/>
    <w:rsid w:val="00D91361"/>
    <w:rsid w:val="00D94EB8"/>
    <w:rsid w:val="00D95B26"/>
    <w:rsid w:val="00D97654"/>
    <w:rsid w:val="00D97695"/>
    <w:rsid w:val="00DA0196"/>
    <w:rsid w:val="00DA0910"/>
    <w:rsid w:val="00DA6D7C"/>
    <w:rsid w:val="00DB1267"/>
    <w:rsid w:val="00DB1883"/>
    <w:rsid w:val="00DC1199"/>
    <w:rsid w:val="00DC1A82"/>
    <w:rsid w:val="00DD7864"/>
    <w:rsid w:val="00DE6933"/>
    <w:rsid w:val="00DF37E7"/>
    <w:rsid w:val="00DF5F1C"/>
    <w:rsid w:val="00DF7E90"/>
    <w:rsid w:val="00E04D99"/>
    <w:rsid w:val="00E20E3B"/>
    <w:rsid w:val="00E2477A"/>
    <w:rsid w:val="00E25791"/>
    <w:rsid w:val="00E47457"/>
    <w:rsid w:val="00E50FDA"/>
    <w:rsid w:val="00E53307"/>
    <w:rsid w:val="00E66857"/>
    <w:rsid w:val="00E700A7"/>
    <w:rsid w:val="00E70D89"/>
    <w:rsid w:val="00E76805"/>
    <w:rsid w:val="00E81EA5"/>
    <w:rsid w:val="00E82FE2"/>
    <w:rsid w:val="00E86BE1"/>
    <w:rsid w:val="00E96781"/>
    <w:rsid w:val="00EA079C"/>
    <w:rsid w:val="00EA5647"/>
    <w:rsid w:val="00EA57C3"/>
    <w:rsid w:val="00EB7271"/>
    <w:rsid w:val="00EC2462"/>
    <w:rsid w:val="00EC26E8"/>
    <w:rsid w:val="00EC71F3"/>
    <w:rsid w:val="00EE0E86"/>
    <w:rsid w:val="00EF4AC3"/>
    <w:rsid w:val="00F069FB"/>
    <w:rsid w:val="00F179EF"/>
    <w:rsid w:val="00F36A2C"/>
    <w:rsid w:val="00F37B97"/>
    <w:rsid w:val="00F4445D"/>
    <w:rsid w:val="00F44F09"/>
    <w:rsid w:val="00F4794C"/>
    <w:rsid w:val="00F57968"/>
    <w:rsid w:val="00F57B03"/>
    <w:rsid w:val="00F57DD1"/>
    <w:rsid w:val="00F84BD0"/>
    <w:rsid w:val="00F84EA0"/>
    <w:rsid w:val="00F92822"/>
    <w:rsid w:val="00F93696"/>
    <w:rsid w:val="00FD1089"/>
    <w:rsid w:val="00FD21FC"/>
    <w:rsid w:val="00FD744D"/>
    <w:rsid w:val="00FE5408"/>
    <w:rsid w:val="00FF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6DF5F4"/>
  <w15:docId w15:val="{D8C3D222-8729-4907-AECC-1C0326A9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166AE7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744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744D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Zptenadresanaoblku">
    <w:name w:val="envelope return"/>
    <w:basedOn w:val="Normln"/>
    <w:rPr>
      <w:rFonts w:ascii="Arial" w:hAnsi="Arial" w:cs="Arial"/>
      <w:sz w:val="20"/>
      <w:szCs w:val="20"/>
    </w:rPr>
  </w:style>
  <w:style w:type="paragraph" w:styleId="Zhlav">
    <w:name w:val="header"/>
    <w:basedOn w:val="Normln"/>
    <w:rsid w:val="000F3C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42DE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0C70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C7006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Standardnpsmoodstavce"/>
    <w:rsid w:val="00B17AC8"/>
    <w:rPr>
      <w:rFonts w:ascii="Palatino Linotype" w:hAnsi="Palatino Linotype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Standardnpsmoodstavce"/>
    <w:rsid w:val="00C91474"/>
    <w:rPr>
      <w:rFonts w:ascii="Palatino Linotype" w:hAnsi="Palatino Linotype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Standardnpsmoodstavce"/>
    <w:rsid w:val="00C91474"/>
    <w:rPr>
      <w:rFonts w:ascii="Palatino Linotype" w:hAnsi="Palatino Linotype" w:hint="default"/>
      <w:b w:val="0"/>
      <w:bCs w:val="0"/>
      <w:i w:val="0"/>
      <w:iCs w:val="0"/>
      <w:color w:val="000000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C91474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F579B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D2D69"/>
    <w:rPr>
      <w:color w:val="0000FF" w:themeColor="hyperlink"/>
      <w:u w:val="single"/>
    </w:rPr>
  </w:style>
  <w:style w:type="paragraph" w:customStyle="1" w:styleId="INadpis">
    <w:name w:val="I. Nadpis"/>
    <w:basedOn w:val="Normln"/>
    <w:link w:val="INadpisChar"/>
    <w:qFormat/>
    <w:rsid w:val="00470C39"/>
    <w:pPr>
      <w:keepNext/>
      <w:spacing w:before="240"/>
    </w:pPr>
    <w:rPr>
      <w:rFonts w:asciiTheme="minorHAnsi" w:hAnsiTheme="minorHAnsi" w:cstheme="minorHAnsi"/>
      <w:b/>
    </w:rPr>
  </w:style>
  <w:style w:type="paragraph" w:customStyle="1" w:styleId="Textzadn">
    <w:name w:val="Text zadání"/>
    <w:basedOn w:val="Normln"/>
    <w:link w:val="TextzadnChar"/>
    <w:qFormat/>
    <w:rsid w:val="00470C39"/>
    <w:pPr>
      <w:jc w:val="both"/>
    </w:pPr>
    <w:rPr>
      <w:rFonts w:ascii="Calibri" w:eastAsia="Calibri" w:hAnsi="Calibri" w:cs="Calibri"/>
    </w:rPr>
  </w:style>
  <w:style w:type="character" w:customStyle="1" w:styleId="INadpisChar">
    <w:name w:val="I. Nadpis Char"/>
    <w:basedOn w:val="Standardnpsmoodstavce"/>
    <w:link w:val="INadpis"/>
    <w:rsid w:val="00470C39"/>
    <w:rPr>
      <w:rFonts w:asciiTheme="minorHAnsi" w:hAnsiTheme="minorHAnsi" w:cstheme="minorHAnsi"/>
      <w:b/>
      <w:sz w:val="24"/>
      <w:szCs w:val="24"/>
    </w:rPr>
  </w:style>
  <w:style w:type="paragraph" w:customStyle="1" w:styleId="Textzadnsodrkou">
    <w:name w:val="Text zadání s odrážkou"/>
    <w:basedOn w:val="Normln"/>
    <w:link w:val="TextzadnsodrkouChar"/>
    <w:qFormat/>
    <w:rsid w:val="00470C39"/>
    <w:pPr>
      <w:numPr>
        <w:numId w:val="6"/>
      </w:numPr>
      <w:jc w:val="both"/>
    </w:pPr>
    <w:rPr>
      <w:rFonts w:ascii="Calibri" w:eastAsia="Calibri" w:hAnsi="Calibri" w:cs="Calibri"/>
    </w:rPr>
  </w:style>
  <w:style w:type="character" w:customStyle="1" w:styleId="TextzadnChar">
    <w:name w:val="Text zadání Char"/>
    <w:basedOn w:val="Standardnpsmoodstavce"/>
    <w:link w:val="Textzadn"/>
    <w:rsid w:val="00470C39"/>
    <w:rPr>
      <w:rFonts w:ascii="Calibri" w:eastAsia="Calibri" w:hAnsi="Calibri" w:cs="Calibri"/>
      <w:sz w:val="24"/>
      <w:szCs w:val="24"/>
    </w:rPr>
  </w:style>
  <w:style w:type="paragraph" w:customStyle="1" w:styleId="Textzadnsslem">
    <w:name w:val="Text zadání s číslem"/>
    <w:basedOn w:val="Odstavecseseznamem"/>
    <w:link w:val="TextzadnsslemChar"/>
    <w:qFormat/>
    <w:rsid w:val="00470C39"/>
    <w:pPr>
      <w:numPr>
        <w:numId w:val="9"/>
      </w:numPr>
      <w:jc w:val="both"/>
    </w:pPr>
    <w:rPr>
      <w:rFonts w:asciiTheme="minorHAnsi" w:eastAsia="Calibri" w:hAnsiTheme="minorHAnsi" w:cstheme="minorHAnsi"/>
    </w:rPr>
  </w:style>
  <w:style w:type="character" w:customStyle="1" w:styleId="TextzadnsodrkouChar">
    <w:name w:val="Text zadání s odrážkou Char"/>
    <w:basedOn w:val="Standardnpsmoodstavce"/>
    <w:link w:val="Textzadnsodrkou"/>
    <w:rsid w:val="00470C39"/>
    <w:rPr>
      <w:rFonts w:ascii="Calibri" w:eastAsia="Calibri" w:hAnsi="Calibri" w:cs="Calibri"/>
      <w:sz w:val="24"/>
      <w:szCs w:val="24"/>
    </w:rPr>
  </w:style>
  <w:style w:type="character" w:customStyle="1" w:styleId="TextzadnsslemChar">
    <w:name w:val="Text zadání s číslem Char"/>
    <w:basedOn w:val="OdstavecseseznamemChar"/>
    <w:link w:val="Textzadnsslem"/>
    <w:rsid w:val="00470C39"/>
    <w:rPr>
      <w:rFonts w:asciiTheme="minorHAnsi" w:eastAsia="Calibri" w:hAnsiTheme="minorHAnsi" w:cstheme="minorHAnsi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A7AC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A7AC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744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744D"/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10"/>
    <w:qFormat/>
    <w:rsid w:val="00FD744D"/>
    <w:pPr>
      <w:jc w:val="center"/>
    </w:pPr>
    <w:rPr>
      <w:b/>
      <w:sz w:val="28"/>
      <w:szCs w:val="20"/>
    </w:rPr>
  </w:style>
  <w:style w:type="character" w:customStyle="1" w:styleId="NzevChar">
    <w:name w:val="Název Char"/>
    <w:basedOn w:val="Standardnpsmoodstavce"/>
    <w:link w:val="Nzev"/>
    <w:uiPriority w:val="10"/>
    <w:rsid w:val="00FD744D"/>
    <w:rPr>
      <w:b/>
      <w:sz w:val="28"/>
    </w:rPr>
  </w:style>
  <w:style w:type="character" w:customStyle="1" w:styleId="ZpatChar">
    <w:name w:val="Zápatí Char"/>
    <w:basedOn w:val="Standardnpsmoodstavce"/>
    <w:link w:val="Zpat"/>
    <w:uiPriority w:val="99"/>
    <w:rsid w:val="007574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M\Data%20aplikac&#237;\Microsoft\&#352;ablony\DDM-Dopis-s-ob&#225;lkou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ADB9F-F7F3-47DD-A7D3-BDA210421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DDM-Dopis-s-obálkou</Template>
  <TotalTime>15</TotalTime>
  <Pages>6</Pages>
  <Words>1717</Words>
  <Characters>10136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oa</Company>
  <LinksUpToDate>false</LinksUpToDate>
  <CharactersWithSpaces>11830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Macek</dc:creator>
  <cp:lastModifiedBy>pcadm</cp:lastModifiedBy>
  <cp:revision>5</cp:revision>
  <cp:lastPrinted>2013-05-02T14:24:00Z</cp:lastPrinted>
  <dcterms:created xsi:type="dcterms:W3CDTF">2026-03-13T12:58:00Z</dcterms:created>
  <dcterms:modified xsi:type="dcterms:W3CDTF">2026-03-13T13:13:00Z</dcterms:modified>
</cp:coreProperties>
</file>