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3BD" w:rsidRPr="002643BD" w:rsidRDefault="002643BD" w:rsidP="002643BD">
      <w:pPr>
        <w:spacing w:after="240" w:line="300" w:lineRule="exact"/>
        <w:jc w:val="right"/>
        <w:rPr>
          <w:rFonts w:ascii="Tahoma" w:hAnsi="Tahoma" w:cs="Tahoma"/>
          <w:sz w:val="20"/>
          <w:szCs w:val="20"/>
        </w:rPr>
      </w:pPr>
      <w:r>
        <w:rPr>
          <w:rFonts w:ascii="Tahoma" w:hAnsi="Tahoma" w:cs="Tahoma"/>
          <w:sz w:val="20"/>
          <w:szCs w:val="20"/>
        </w:rPr>
        <w:t xml:space="preserve">ev. č. Správce: </w:t>
      </w:r>
      <w:r w:rsidRPr="002643BD">
        <w:rPr>
          <w:rFonts w:ascii="Tahoma" w:hAnsi="Tahoma" w:cs="Tahoma"/>
          <w:b/>
          <w:sz w:val="20"/>
          <w:szCs w:val="20"/>
        </w:rPr>
        <w:t>10-1</w:t>
      </w:r>
      <w:r w:rsidR="00566E67">
        <w:rPr>
          <w:rFonts w:ascii="Tahoma" w:hAnsi="Tahoma" w:cs="Tahoma"/>
          <w:b/>
          <w:sz w:val="20"/>
          <w:szCs w:val="20"/>
        </w:rPr>
        <w:t>73</w:t>
      </w:r>
      <w:r w:rsidRPr="002643BD">
        <w:rPr>
          <w:rFonts w:ascii="Tahoma" w:hAnsi="Tahoma" w:cs="Tahoma"/>
          <w:b/>
          <w:sz w:val="20"/>
          <w:szCs w:val="20"/>
        </w:rPr>
        <w:t>6/2</w:t>
      </w:r>
      <w:r w:rsidR="00566E67">
        <w:rPr>
          <w:rFonts w:ascii="Tahoma" w:hAnsi="Tahoma" w:cs="Tahoma"/>
          <w:b/>
          <w:sz w:val="20"/>
          <w:szCs w:val="20"/>
        </w:rPr>
        <w:t>6</w:t>
      </w:r>
    </w:p>
    <w:p w:rsidR="005B0078" w:rsidRPr="00812032" w:rsidRDefault="005B0078" w:rsidP="005B0078">
      <w:pPr>
        <w:spacing w:after="120" w:line="300" w:lineRule="exact"/>
        <w:jc w:val="center"/>
        <w:rPr>
          <w:rFonts w:ascii="Tahoma" w:hAnsi="Tahoma" w:cs="Tahoma"/>
          <w:b/>
          <w:sz w:val="20"/>
          <w:szCs w:val="20"/>
        </w:rPr>
      </w:pPr>
      <w:r w:rsidRPr="00812032">
        <w:rPr>
          <w:rFonts w:ascii="Tahoma" w:hAnsi="Tahoma" w:cs="Tahoma"/>
          <w:b/>
          <w:sz w:val="20"/>
          <w:szCs w:val="20"/>
        </w:rPr>
        <w:t>SMLOUVA O VÝKONU FUNKCE POVĚŘENCE PRO OCHRANU OSOBNÍCH ÚDAJŮ</w:t>
      </w:r>
    </w:p>
    <w:p w:rsidR="005B0078" w:rsidRPr="00812032" w:rsidRDefault="005B0078" w:rsidP="005B0078">
      <w:pPr>
        <w:spacing w:after="120" w:line="300" w:lineRule="exact"/>
        <w:jc w:val="center"/>
        <w:rPr>
          <w:rFonts w:ascii="Tahoma" w:hAnsi="Tahoma" w:cs="Tahoma"/>
          <w:sz w:val="20"/>
          <w:szCs w:val="20"/>
        </w:rPr>
      </w:pPr>
      <w:r w:rsidRPr="00812032">
        <w:rPr>
          <w:rFonts w:ascii="Tahoma" w:hAnsi="Tahoma" w:cs="Tahoma"/>
          <w:sz w:val="20"/>
          <w:szCs w:val="20"/>
        </w:rPr>
        <w:t>(dále jen „</w:t>
      </w:r>
      <w:r w:rsidRPr="00812032">
        <w:rPr>
          <w:rFonts w:ascii="Tahoma" w:hAnsi="Tahoma" w:cs="Tahoma"/>
          <w:b/>
          <w:sz w:val="20"/>
          <w:szCs w:val="20"/>
        </w:rPr>
        <w:t>Smlouva</w:t>
      </w:r>
      <w:r w:rsidRPr="00812032">
        <w:rPr>
          <w:rFonts w:ascii="Tahoma" w:hAnsi="Tahoma" w:cs="Tahoma"/>
          <w:sz w:val="20"/>
          <w:szCs w:val="20"/>
        </w:rPr>
        <w:t>“)</w:t>
      </w:r>
    </w:p>
    <w:p w:rsidR="005B0078" w:rsidRPr="00812032" w:rsidRDefault="005B0078" w:rsidP="005B0078">
      <w:pPr>
        <w:spacing w:after="120" w:line="300" w:lineRule="exact"/>
        <w:ind w:right="68"/>
        <w:rPr>
          <w:rFonts w:ascii="Tahoma" w:hAnsi="Tahoma" w:cs="Tahoma"/>
          <w:b/>
          <w:bCs/>
          <w:sz w:val="20"/>
          <w:szCs w:val="20"/>
        </w:rPr>
      </w:pPr>
    </w:p>
    <w:p w:rsidR="005B0078" w:rsidRPr="00812032" w:rsidRDefault="005B0078" w:rsidP="005B0078">
      <w:pPr>
        <w:spacing w:after="120" w:line="300" w:lineRule="exact"/>
        <w:ind w:right="68"/>
        <w:rPr>
          <w:rFonts w:ascii="Tahoma" w:hAnsi="Tahoma" w:cs="Tahoma"/>
          <w:sz w:val="20"/>
          <w:szCs w:val="20"/>
        </w:rPr>
      </w:pPr>
      <w:r w:rsidRPr="00812032">
        <w:rPr>
          <w:rFonts w:ascii="Tahoma" w:hAnsi="Tahoma" w:cs="Tahoma"/>
          <w:b/>
          <w:bCs/>
          <w:sz w:val="20"/>
          <w:szCs w:val="20"/>
        </w:rPr>
        <w:t xml:space="preserve">Rada &amp; Partner advokátní kancelář, s.r.o. </w:t>
      </w:r>
    </w:p>
    <w:p w:rsidR="005B0078" w:rsidRPr="00812032" w:rsidRDefault="005B0078" w:rsidP="005B0078">
      <w:pPr>
        <w:spacing w:after="120" w:line="300" w:lineRule="exact"/>
        <w:ind w:right="68"/>
        <w:rPr>
          <w:rFonts w:ascii="Tahoma" w:hAnsi="Tahoma" w:cs="Tahoma"/>
          <w:sz w:val="20"/>
          <w:szCs w:val="20"/>
        </w:rPr>
      </w:pPr>
      <w:r w:rsidRPr="00812032">
        <w:rPr>
          <w:rFonts w:ascii="Tahoma" w:hAnsi="Tahoma" w:cs="Tahoma"/>
          <w:sz w:val="20"/>
          <w:szCs w:val="20"/>
        </w:rPr>
        <w:t>IČO: 241 95 855</w:t>
      </w:r>
    </w:p>
    <w:p w:rsidR="005B0078" w:rsidRPr="00812032" w:rsidRDefault="005B0078" w:rsidP="005B0078">
      <w:pPr>
        <w:spacing w:after="120" w:line="300" w:lineRule="exact"/>
        <w:ind w:right="68"/>
        <w:rPr>
          <w:rFonts w:ascii="Tahoma" w:hAnsi="Tahoma" w:cs="Tahoma"/>
          <w:sz w:val="20"/>
          <w:szCs w:val="20"/>
        </w:rPr>
      </w:pPr>
      <w:r w:rsidRPr="00812032">
        <w:rPr>
          <w:rFonts w:ascii="Tahoma" w:hAnsi="Tahoma" w:cs="Tahoma"/>
          <w:sz w:val="20"/>
          <w:szCs w:val="20"/>
        </w:rPr>
        <w:t>se sídlem Na Pankráci 322/26, 140 00 Praha 4</w:t>
      </w:r>
    </w:p>
    <w:p w:rsidR="005B0078" w:rsidRPr="00812032" w:rsidRDefault="00BE0412" w:rsidP="005B0078">
      <w:pPr>
        <w:spacing w:after="120" w:line="300" w:lineRule="exact"/>
        <w:ind w:right="68"/>
        <w:rPr>
          <w:rFonts w:ascii="Tahoma" w:hAnsi="Tahoma" w:cs="Tahoma"/>
          <w:sz w:val="20"/>
          <w:szCs w:val="20"/>
        </w:rPr>
      </w:pPr>
      <w:r>
        <w:rPr>
          <w:rFonts w:ascii="Tahoma" w:hAnsi="Tahoma" w:cs="Tahoma"/>
          <w:sz w:val="20"/>
          <w:szCs w:val="20"/>
        </w:rPr>
        <w:t xml:space="preserve">zastoupená </w:t>
      </w:r>
      <w:proofErr w:type="spellStart"/>
      <w:r>
        <w:rPr>
          <w:rFonts w:ascii="Tahoma" w:hAnsi="Tahoma" w:cs="Tahoma"/>
          <w:sz w:val="20"/>
          <w:szCs w:val="20"/>
        </w:rPr>
        <w:t>xxx</w:t>
      </w:r>
      <w:proofErr w:type="spellEnd"/>
    </w:p>
    <w:p w:rsidR="005B0078" w:rsidRDefault="005B0078" w:rsidP="005B0078">
      <w:pPr>
        <w:spacing w:after="120" w:line="300" w:lineRule="exact"/>
        <w:ind w:right="68"/>
        <w:rPr>
          <w:rFonts w:ascii="Tahoma" w:hAnsi="Tahoma" w:cs="Tahoma"/>
          <w:sz w:val="20"/>
          <w:szCs w:val="20"/>
        </w:rPr>
      </w:pPr>
      <w:r w:rsidRPr="00812032">
        <w:rPr>
          <w:rFonts w:ascii="Tahoma" w:hAnsi="Tahoma" w:cs="Tahoma"/>
          <w:sz w:val="20"/>
          <w:szCs w:val="20"/>
        </w:rPr>
        <w:t>(dále jen „</w:t>
      </w:r>
      <w:r w:rsidRPr="00812032">
        <w:rPr>
          <w:rFonts w:ascii="Tahoma" w:hAnsi="Tahoma" w:cs="Tahoma"/>
          <w:b/>
          <w:sz w:val="20"/>
          <w:szCs w:val="20"/>
        </w:rPr>
        <w:t>Advokátní kancelář</w:t>
      </w:r>
      <w:r w:rsidRPr="00812032">
        <w:rPr>
          <w:rFonts w:ascii="Tahoma" w:hAnsi="Tahoma" w:cs="Tahoma"/>
          <w:sz w:val="20"/>
          <w:szCs w:val="20"/>
        </w:rPr>
        <w:t>“)</w:t>
      </w:r>
    </w:p>
    <w:p w:rsidR="005B0078" w:rsidRDefault="005B0078" w:rsidP="00C10FF0">
      <w:pPr>
        <w:spacing w:line="300" w:lineRule="exact"/>
        <w:rPr>
          <w:rFonts w:ascii="Tahoma" w:hAnsi="Tahoma" w:cs="Tahoma"/>
          <w:sz w:val="20"/>
          <w:szCs w:val="20"/>
        </w:rPr>
      </w:pPr>
      <w:r w:rsidRPr="00812032">
        <w:rPr>
          <w:rFonts w:ascii="Tahoma" w:hAnsi="Tahoma" w:cs="Tahoma"/>
          <w:sz w:val="20"/>
          <w:szCs w:val="20"/>
        </w:rPr>
        <w:t>a</w:t>
      </w:r>
    </w:p>
    <w:p w:rsidR="005B0078" w:rsidRPr="00812032" w:rsidRDefault="005B0078" w:rsidP="00C10FF0">
      <w:pPr>
        <w:spacing w:before="120" w:after="120" w:line="300" w:lineRule="exact"/>
        <w:ind w:right="68"/>
        <w:rPr>
          <w:rFonts w:ascii="Tahoma" w:hAnsi="Tahoma" w:cs="Tahoma"/>
          <w:b/>
          <w:sz w:val="20"/>
          <w:szCs w:val="20"/>
        </w:rPr>
      </w:pPr>
      <w:r w:rsidRPr="00812032">
        <w:rPr>
          <w:rFonts w:ascii="Tahoma" w:hAnsi="Tahoma" w:cs="Tahoma"/>
          <w:b/>
          <w:sz w:val="20"/>
          <w:szCs w:val="20"/>
        </w:rPr>
        <w:t>Povodí Odry, státní podnik</w:t>
      </w:r>
    </w:p>
    <w:p w:rsidR="005B0078" w:rsidRPr="00812032" w:rsidRDefault="005B0078" w:rsidP="005B0078">
      <w:pPr>
        <w:spacing w:after="120" w:line="300" w:lineRule="exact"/>
        <w:ind w:right="68"/>
        <w:rPr>
          <w:rFonts w:ascii="Tahoma" w:hAnsi="Tahoma" w:cs="Tahoma"/>
          <w:sz w:val="20"/>
          <w:szCs w:val="20"/>
        </w:rPr>
      </w:pPr>
      <w:r w:rsidRPr="00812032">
        <w:rPr>
          <w:rFonts w:ascii="Tahoma" w:hAnsi="Tahoma" w:cs="Tahoma"/>
          <w:sz w:val="20"/>
          <w:szCs w:val="20"/>
        </w:rPr>
        <w:t>IČO: 708 90 021</w:t>
      </w:r>
    </w:p>
    <w:p w:rsidR="00C10FF0" w:rsidRDefault="005B0078" w:rsidP="005B0078">
      <w:pPr>
        <w:spacing w:after="120" w:line="300" w:lineRule="exact"/>
        <w:ind w:right="68"/>
        <w:rPr>
          <w:rFonts w:ascii="Tahoma" w:hAnsi="Tahoma" w:cs="Tahoma"/>
          <w:sz w:val="20"/>
          <w:szCs w:val="20"/>
        </w:rPr>
      </w:pPr>
      <w:r w:rsidRPr="00812032">
        <w:rPr>
          <w:rFonts w:ascii="Tahoma" w:hAnsi="Tahoma" w:cs="Tahoma"/>
          <w:sz w:val="20"/>
          <w:szCs w:val="20"/>
        </w:rPr>
        <w:t>se sídlem Varenská 3101/49, Moravská Ostrava, 702 00 Ostrava</w:t>
      </w:r>
      <w:r w:rsidR="00C10FF0">
        <w:rPr>
          <w:rFonts w:ascii="Tahoma" w:hAnsi="Tahoma" w:cs="Tahoma"/>
          <w:sz w:val="20"/>
          <w:szCs w:val="20"/>
        </w:rPr>
        <w:t xml:space="preserve">, </w:t>
      </w:r>
      <w:r w:rsidRPr="00812032">
        <w:rPr>
          <w:rFonts w:ascii="Tahoma" w:hAnsi="Tahoma" w:cs="Tahoma"/>
          <w:sz w:val="20"/>
          <w:szCs w:val="20"/>
        </w:rPr>
        <w:t>Doručovací číslo: 701 26</w:t>
      </w:r>
      <w:r w:rsidR="00C10FF0">
        <w:rPr>
          <w:rFonts w:ascii="Tahoma" w:hAnsi="Tahoma" w:cs="Tahoma"/>
          <w:sz w:val="20"/>
          <w:szCs w:val="20"/>
        </w:rPr>
        <w:t xml:space="preserve"> </w:t>
      </w:r>
    </w:p>
    <w:p w:rsidR="005B0078" w:rsidRPr="00812032" w:rsidRDefault="00C10FF0" w:rsidP="005B0078">
      <w:pPr>
        <w:spacing w:after="120" w:line="300" w:lineRule="exact"/>
        <w:ind w:right="68"/>
        <w:rPr>
          <w:rFonts w:ascii="Tahoma" w:hAnsi="Tahoma" w:cs="Tahoma"/>
          <w:sz w:val="20"/>
          <w:szCs w:val="20"/>
        </w:rPr>
      </w:pPr>
      <w:r>
        <w:rPr>
          <w:rFonts w:ascii="Tahoma" w:hAnsi="Tahoma" w:cs="Tahoma"/>
          <w:sz w:val="20"/>
          <w:szCs w:val="20"/>
        </w:rPr>
        <w:t xml:space="preserve">Zápis v OR Krajského soudu v Ostravě, odd. A XIV., </w:t>
      </w:r>
      <w:proofErr w:type="spellStart"/>
      <w:r>
        <w:rPr>
          <w:rFonts w:ascii="Tahoma" w:hAnsi="Tahoma" w:cs="Tahoma"/>
          <w:sz w:val="20"/>
          <w:szCs w:val="20"/>
        </w:rPr>
        <w:t>vl</w:t>
      </w:r>
      <w:proofErr w:type="spellEnd"/>
      <w:r>
        <w:rPr>
          <w:rFonts w:ascii="Tahoma" w:hAnsi="Tahoma" w:cs="Tahoma"/>
          <w:sz w:val="20"/>
          <w:szCs w:val="20"/>
        </w:rPr>
        <w:t>. 584</w:t>
      </w:r>
    </w:p>
    <w:p w:rsidR="005B0078" w:rsidRPr="00812032" w:rsidRDefault="002643BD" w:rsidP="005B0078">
      <w:pPr>
        <w:spacing w:after="120" w:line="300" w:lineRule="exact"/>
        <w:ind w:right="68"/>
        <w:rPr>
          <w:rFonts w:ascii="Tahoma" w:hAnsi="Tahoma" w:cs="Tahoma"/>
          <w:sz w:val="20"/>
          <w:szCs w:val="20"/>
        </w:rPr>
      </w:pPr>
      <w:r>
        <w:rPr>
          <w:rFonts w:ascii="Tahoma" w:hAnsi="Tahoma" w:cs="Tahoma"/>
          <w:sz w:val="20"/>
          <w:szCs w:val="20"/>
        </w:rPr>
        <w:t xml:space="preserve">zastoupený </w:t>
      </w:r>
      <w:proofErr w:type="spellStart"/>
      <w:r w:rsidR="00566E67">
        <w:rPr>
          <w:rFonts w:ascii="Tahoma" w:hAnsi="Tahoma" w:cs="Tahoma"/>
          <w:sz w:val="20"/>
          <w:szCs w:val="20"/>
        </w:rPr>
        <w:t>xxx</w:t>
      </w:r>
      <w:proofErr w:type="spellEnd"/>
    </w:p>
    <w:p w:rsidR="005B0078" w:rsidRPr="00812032" w:rsidRDefault="005B0078" w:rsidP="005B0078">
      <w:pPr>
        <w:spacing w:after="120" w:line="300" w:lineRule="exact"/>
        <w:rPr>
          <w:rFonts w:ascii="Tahoma" w:hAnsi="Tahoma" w:cs="Tahoma"/>
          <w:sz w:val="20"/>
          <w:szCs w:val="20"/>
        </w:rPr>
      </w:pPr>
      <w:r w:rsidRPr="00812032">
        <w:rPr>
          <w:rFonts w:ascii="Tahoma" w:hAnsi="Tahoma" w:cs="Tahoma"/>
          <w:sz w:val="20"/>
          <w:szCs w:val="20"/>
        </w:rPr>
        <w:t>(dále jen „</w:t>
      </w:r>
      <w:r w:rsidRPr="00812032">
        <w:rPr>
          <w:rFonts w:ascii="Tahoma" w:hAnsi="Tahoma" w:cs="Tahoma"/>
          <w:b/>
          <w:sz w:val="20"/>
          <w:szCs w:val="20"/>
        </w:rPr>
        <w:t>Správce</w:t>
      </w:r>
      <w:r w:rsidRPr="00812032">
        <w:rPr>
          <w:rFonts w:ascii="Tahoma" w:hAnsi="Tahoma" w:cs="Tahoma"/>
          <w:sz w:val="20"/>
          <w:szCs w:val="20"/>
        </w:rPr>
        <w:t xml:space="preserve">“) </w:t>
      </w:r>
    </w:p>
    <w:p w:rsidR="005B0078" w:rsidRPr="00812032" w:rsidRDefault="005B0078" w:rsidP="005B0078">
      <w:pPr>
        <w:spacing w:after="120" w:line="300" w:lineRule="exact"/>
        <w:rPr>
          <w:rFonts w:ascii="Tahoma" w:hAnsi="Tahoma" w:cs="Tahoma"/>
          <w:sz w:val="20"/>
          <w:szCs w:val="20"/>
        </w:rPr>
      </w:pPr>
    </w:p>
    <w:p w:rsidR="005B0078" w:rsidRPr="00812032" w:rsidRDefault="005B0078" w:rsidP="005B0078">
      <w:pPr>
        <w:spacing w:after="120" w:line="300" w:lineRule="exact"/>
        <w:rPr>
          <w:rFonts w:ascii="Tahoma" w:hAnsi="Tahoma" w:cs="Tahoma"/>
          <w:sz w:val="20"/>
          <w:szCs w:val="20"/>
        </w:rPr>
      </w:pPr>
      <w:r w:rsidRPr="00812032">
        <w:rPr>
          <w:rFonts w:ascii="Tahoma" w:hAnsi="Tahoma" w:cs="Tahoma"/>
          <w:sz w:val="20"/>
          <w:szCs w:val="20"/>
        </w:rPr>
        <w:t>(</w:t>
      </w:r>
      <w:r w:rsidR="00BA1548" w:rsidRPr="00812032">
        <w:rPr>
          <w:rFonts w:ascii="Tahoma" w:hAnsi="Tahoma" w:cs="Tahoma"/>
          <w:sz w:val="20"/>
          <w:szCs w:val="20"/>
        </w:rPr>
        <w:t xml:space="preserve">Advokátní kancelář </w:t>
      </w:r>
      <w:r w:rsidRPr="00812032">
        <w:rPr>
          <w:rFonts w:ascii="Tahoma" w:hAnsi="Tahoma" w:cs="Tahoma"/>
          <w:sz w:val="20"/>
          <w:szCs w:val="20"/>
        </w:rPr>
        <w:t>a Správce dále také „</w:t>
      </w:r>
      <w:r w:rsidRPr="00812032">
        <w:rPr>
          <w:rFonts w:ascii="Tahoma" w:hAnsi="Tahoma" w:cs="Tahoma"/>
          <w:b/>
          <w:sz w:val="20"/>
          <w:szCs w:val="20"/>
        </w:rPr>
        <w:t>Smluvní strany</w:t>
      </w:r>
      <w:r w:rsidRPr="00812032">
        <w:rPr>
          <w:rFonts w:ascii="Tahoma" w:hAnsi="Tahoma" w:cs="Tahoma"/>
          <w:sz w:val="20"/>
          <w:szCs w:val="20"/>
        </w:rPr>
        <w:t>“)</w:t>
      </w:r>
    </w:p>
    <w:p w:rsidR="005B0078" w:rsidRPr="00812032" w:rsidRDefault="005B0078" w:rsidP="005B0078">
      <w:pPr>
        <w:spacing w:after="120" w:line="300" w:lineRule="exact"/>
        <w:rPr>
          <w:rFonts w:ascii="Tahoma" w:hAnsi="Tahoma" w:cs="Tahoma"/>
          <w:sz w:val="20"/>
          <w:szCs w:val="20"/>
        </w:rPr>
      </w:pPr>
    </w:p>
    <w:p w:rsidR="005B0078" w:rsidRPr="00812032" w:rsidRDefault="005B0078" w:rsidP="005B0078">
      <w:pPr>
        <w:spacing w:after="120" w:line="300" w:lineRule="exact"/>
        <w:jc w:val="center"/>
        <w:rPr>
          <w:rFonts w:ascii="Tahoma" w:hAnsi="Tahoma" w:cs="Tahoma"/>
          <w:sz w:val="20"/>
          <w:szCs w:val="20"/>
        </w:rPr>
      </w:pPr>
      <w:r w:rsidRPr="00812032">
        <w:rPr>
          <w:rFonts w:ascii="Tahoma" w:hAnsi="Tahoma" w:cs="Tahoma"/>
          <w:sz w:val="20"/>
          <w:szCs w:val="20"/>
        </w:rPr>
        <w:t>Smluvní strany uzavřely níže uvedeného dne v souladu se zákonem č. 89/2012 Sb., občanský zákoník, ve znění pozdějších předpisů, tuto</w:t>
      </w:r>
    </w:p>
    <w:p w:rsidR="005B0078" w:rsidRPr="00812032" w:rsidRDefault="005B0078" w:rsidP="005B0078">
      <w:pPr>
        <w:spacing w:after="120" w:line="300" w:lineRule="exact"/>
        <w:rPr>
          <w:rFonts w:ascii="Tahoma" w:hAnsi="Tahoma" w:cs="Tahoma"/>
          <w:sz w:val="20"/>
          <w:szCs w:val="20"/>
        </w:rPr>
      </w:pPr>
    </w:p>
    <w:p w:rsidR="00092CBD" w:rsidRPr="00812032" w:rsidRDefault="005B0078" w:rsidP="005B0078">
      <w:pPr>
        <w:spacing w:after="120" w:line="300" w:lineRule="exact"/>
        <w:jc w:val="center"/>
        <w:rPr>
          <w:rFonts w:ascii="Tahoma" w:hAnsi="Tahoma" w:cs="Tahoma"/>
          <w:sz w:val="20"/>
          <w:szCs w:val="20"/>
        </w:rPr>
      </w:pPr>
      <w:r w:rsidRPr="00812032">
        <w:rPr>
          <w:rFonts w:ascii="Tahoma" w:hAnsi="Tahoma" w:cs="Tahoma"/>
          <w:b/>
          <w:sz w:val="20"/>
          <w:szCs w:val="20"/>
        </w:rPr>
        <w:t>Smlouvu o výkonu funkce pověřence pro ochranu osobních údajů</w:t>
      </w:r>
    </w:p>
    <w:p w:rsidR="005B0078" w:rsidRPr="00812032" w:rsidRDefault="005B0078" w:rsidP="005B0078">
      <w:pPr>
        <w:spacing w:after="120" w:line="300" w:lineRule="exact"/>
        <w:jc w:val="center"/>
        <w:rPr>
          <w:rFonts w:ascii="Tahoma" w:hAnsi="Tahoma" w:cs="Tahoma"/>
          <w:b/>
          <w:sz w:val="20"/>
          <w:szCs w:val="20"/>
        </w:rPr>
      </w:pPr>
    </w:p>
    <w:p w:rsidR="00156296" w:rsidRDefault="00156296" w:rsidP="005B0078">
      <w:pPr>
        <w:spacing w:after="120" w:line="300" w:lineRule="exact"/>
        <w:jc w:val="center"/>
        <w:rPr>
          <w:rFonts w:ascii="Tahoma" w:hAnsi="Tahoma" w:cs="Tahoma"/>
          <w:b/>
          <w:sz w:val="20"/>
          <w:szCs w:val="20"/>
        </w:rPr>
      </w:pPr>
      <w:r>
        <w:rPr>
          <w:rFonts w:ascii="Tahoma" w:hAnsi="Tahoma" w:cs="Tahoma"/>
          <w:b/>
          <w:sz w:val="20"/>
          <w:szCs w:val="20"/>
        </w:rPr>
        <w:br w:type="page"/>
      </w:r>
    </w:p>
    <w:p w:rsidR="005B0078" w:rsidRPr="00812032" w:rsidRDefault="005B0078" w:rsidP="005B0078">
      <w:pPr>
        <w:spacing w:after="120" w:line="300" w:lineRule="exact"/>
        <w:jc w:val="center"/>
        <w:rPr>
          <w:rFonts w:ascii="Tahoma" w:hAnsi="Tahoma" w:cs="Tahoma"/>
          <w:b/>
          <w:sz w:val="20"/>
          <w:szCs w:val="20"/>
        </w:rPr>
      </w:pPr>
      <w:r w:rsidRPr="00812032">
        <w:rPr>
          <w:rFonts w:ascii="Tahoma" w:hAnsi="Tahoma" w:cs="Tahoma"/>
          <w:b/>
          <w:sz w:val="20"/>
          <w:szCs w:val="20"/>
        </w:rPr>
        <w:lastRenderedPageBreak/>
        <w:t xml:space="preserve">Čl. I. </w:t>
      </w:r>
    </w:p>
    <w:p w:rsidR="005B0078" w:rsidRPr="00812032" w:rsidRDefault="005B0078" w:rsidP="005B0078">
      <w:pPr>
        <w:spacing w:after="120" w:line="300" w:lineRule="exact"/>
        <w:jc w:val="center"/>
        <w:rPr>
          <w:rFonts w:ascii="Tahoma" w:hAnsi="Tahoma" w:cs="Tahoma"/>
          <w:b/>
          <w:sz w:val="20"/>
          <w:szCs w:val="20"/>
        </w:rPr>
      </w:pPr>
      <w:r w:rsidRPr="00812032">
        <w:rPr>
          <w:rFonts w:ascii="Tahoma" w:hAnsi="Tahoma" w:cs="Tahoma"/>
          <w:b/>
          <w:sz w:val="20"/>
          <w:szCs w:val="20"/>
        </w:rPr>
        <w:t>Předmět Smlouvy</w:t>
      </w:r>
    </w:p>
    <w:p w:rsidR="005B0078" w:rsidRPr="00812032" w:rsidRDefault="005B0078" w:rsidP="005B0078">
      <w:pPr>
        <w:suppressAutoHyphens/>
        <w:spacing w:after="120" w:line="300" w:lineRule="exact"/>
        <w:jc w:val="both"/>
        <w:rPr>
          <w:rFonts w:ascii="Tahoma" w:hAnsi="Tahoma" w:cs="Tahoma"/>
          <w:sz w:val="20"/>
          <w:szCs w:val="20"/>
        </w:rPr>
      </w:pPr>
      <w:r w:rsidRPr="00812032">
        <w:rPr>
          <w:rFonts w:ascii="Tahoma" w:hAnsi="Tahoma" w:cs="Tahoma"/>
          <w:sz w:val="20"/>
          <w:szCs w:val="20"/>
        </w:rPr>
        <w:t>Předmětem této Smlouvy je výkon funkce pověřence pro ochranu osobních údajů ve smyslu čl. 37 a násl. nařízení Evropského parlamentu a Rady (EU) 2016/679 o ochraně fyzických osob v souvislosti se zpracováním osobních údajů a o volném pohybu těchto údajů a o zrušení směrnice 95/46/ES (dále jen „</w:t>
      </w:r>
      <w:r w:rsidRPr="00812032">
        <w:rPr>
          <w:rFonts w:ascii="Tahoma" w:hAnsi="Tahoma" w:cs="Tahoma"/>
          <w:b/>
          <w:sz w:val="20"/>
          <w:szCs w:val="20"/>
        </w:rPr>
        <w:t>Nařízení</w:t>
      </w:r>
      <w:r w:rsidRPr="00812032">
        <w:rPr>
          <w:rFonts w:ascii="Tahoma" w:hAnsi="Tahoma" w:cs="Tahoma"/>
          <w:sz w:val="20"/>
          <w:szCs w:val="20"/>
        </w:rPr>
        <w:t xml:space="preserve">“) Advokátní kanceláří pro Správce. </w:t>
      </w:r>
    </w:p>
    <w:p w:rsidR="005B0078" w:rsidRDefault="005B0078" w:rsidP="005B0078">
      <w:pPr>
        <w:suppressAutoHyphens/>
        <w:spacing w:after="120" w:line="300" w:lineRule="exact"/>
        <w:ind w:left="714"/>
        <w:jc w:val="both"/>
        <w:rPr>
          <w:rFonts w:ascii="Tahoma" w:hAnsi="Tahoma" w:cs="Tahoma"/>
          <w:sz w:val="20"/>
          <w:szCs w:val="20"/>
        </w:rPr>
      </w:pPr>
    </w:p>
    <w:p w:rsidR="00BE0412" w:rsidRPr="00812032" w:rsidRDefault="00BE0412" w:rsidP="005B0078">
      <w:pPr>
        <w:suppressAutoHyphens/>
        <w:spacing w:after="120" w:line="300" w:lineRule="exact"/>
        <w:ind w:left="714"/>
        <w:jc w:val="both"/>
        <w:rPr>
          <w:rFonts w:ascii="Tahoma" w:hAnsi="Tahoma" w:cs="Tahoma"/>
          <w:sz w:val="20"/>
          <w:szCs w:val="20"/>
        </w:rPr>
      </w:pPr>
    </w:p>
    <w:p w:rsidR="005B0078" w:rsidRPr="00812032" w:rsidRDefault="005B0078" w:rsidP="005B0078">
      <w:pPr>
        <w:spacing w:after="120" w:line="300" w:lineRule="exact"/>
        <w:jc w:val="center"/>
        <w:rPr>
          <w:rFonts w:ascii="Tahoma" w:hAnsi="Tahoma" w:cs="Tahoma"/>
          <w:b/>
          <w:sz w:val="20"/>
          <w:szCs w:val="20"/>
        </w:rPr>
      </w:pPr>
      <w:r w:rsidRPr="00812032">
        <w:rPr>
          <w:rFonts w:ascii="Tahoma" w:hAnsi="Tahoma" w:cs="Tahoma"/>
          <w:b/>
          <w:sz w:val="20"/>
          <w:szCs w:val="20"/>
        </w:rPr>
        <w:t xml:space="preserve">Čl. II. </w:t>
      </w:r>
    </w:p>
    <w:p w:rsidR="005B0078" w:rsidRPr="00812032" w:rsidRDefault="005B0078" w:rsidP="005B0078">
      <w:pPr>
        <w:spacing w:after="120" w:line="300" w:lineRule="exact"/>
        <w:jc w:val="center"/>
        <w:rPr>
          <w:rFonts w:ascii="Tahoma" w:hAnsi="Tahoma" w:cs="Tahoma"/>
          <w:b/>
          <w:sz w:val="20"/>
          <w:szCs w:val="20"/>
        </w:rPr>
      </w:pPr>
      <w:r w:rsidRPr="00812032">
        <w:rPr>
          <w:rFonts w:ascii="Tahoma" w:hAnsi="Tahoma" w:cs="Tahoma"/>
          <w:b/>
          <w:sz w:val="20"/>
          <w:szCs w:val="20"/>
        </w:rPr>
        <w:t>Odpovědná osoba pověřence</w:t>
      </w:r>
    </w:p>
    <w:p w:rsidR="005B0078" w:rsidRPr="00812032" w:rsidRDefault="005B0078" w:rsidP="005B0078">
      <w:pPr>
        <w:numPr>
          <w:ilvl w:val="0"/>
          <w:numId w:val="7"/>
        </w:numPr>
        <w:suppressAutoHyphens/>
        <w:spacing w:after="120" w:line="300" w:lineRule="exact"/>
        <w:jc w:val="both"/>
        <w:rPr>
          <w:rFonts w:ascii="Tahoma" w:hAnsi="Tahoma" w:cs="Tahoma"/>
          <w:sz w:val="20"/>
          <w:szCs w:val="20"/>
        </w:rPr>
      </w:pPr>
      <w:r w:rsidRPr="00812032">
        <w:rPr>
          <w:rFonts w:ascii="Tahoma" w:hAnsi="Tahoma" w:cs="Tahoma"/>
          <w:sz w:val="20"/>
          <w:szCs w:val="20"/>
        </w:rPr>
        <w:t>Odpovědnou osobou, která bude funkci pověřence pro ochranu osobních údajů za Advokátní kancelář pro Správce vyk</w:t>
      </w:r>
      <w:r w:rsidR="00BE0412">
        <w:rPr>
          <w:rFonts w:ascii="Tahoma" w:hAnsi="Tahoma" w:cs="Tahoma"/>
          <w:sz w:val="20"/>
          <w:szCs w:val="20"/>
        </w:rPr>
        <w:t xml:space="preserve">onávat, je </w:t>
      </w:r>
      <w:proofErr w:type="spellStart"/>
      <w:r w:rsidR="00BE0412">
        <w:rPr>
          <w:rFonts w:ascii="Tahoma" w:hAnsi="Tahoma" w:cs="Tahoma"/>
          <w:sz w:val="20"/>
          <w:szCs w:val="20"/>
        </w:rPr>
        <w:t>xxx</w:t>
      </w:r>
      <w:proofErr w:type="spellEnd"/>
      <w:r w:rsidR="00BE0412">
        <w:rPr>
          <w:rFonts w:ascii="Tahoma" w:hAnsi="Tahoma" w:cs="Tahoma"/>
          <w:sz w:val="20"/>
          <w:szCs w:val="20"/>
        </w:rPr>
        <w:t xml:space="preserve">, tel.: </w:t>
      </w:r>
      <w:proofErr w:type="spellStart"/>
      <w:r w:rsidR="00BE0412">
        <w:rPr>
          <w:rFonts w:ascii="Tahoma" w:hAnsi="Tahoma" w:cs="Tahoma"/>
          <w:sz w:val="20"/>
          <w:szCs w:val="20"/>
        </w:rPr>
        <w:t>xxx</w:t>
      </w:r>
      <w:proofErr w:type="spellEnd"/>
      <w:r w:rsidRPr="00812032">
        <w:rPr>
          <w:rFonts w:ascii="Tahoma" w:hAnsi="Tahoma" w:cs="Tahoma"/>
          <w:sz w:val="20"/>
          <w:szCs w:val="20"/>
        </w:rPr>
        <w:t xml:space="preserve">, email: </w:t>
      </w:r>
      <w:proofErr w:type="spellStart"/>
      <w:r w:rsidR="00BE0412">
        <w:rPr>
          <w:rFonts w:ascii="Tahoma" w:hAnsi="Tahoma" w:cs="Tahoma"/>
          <w:sz w:val="20"/>
          <w:szCs w:val="20"/>
        </w:rPr>
        <w:t>xxx</w:t>
      </w:r>
      <w:proofErr w:type="spellEnd"/>
      <w:r w:rsidRPr="00812032">
        <w:rPr>
          <w:rFonts w:ascii="Tahoma" w:hAnsi="Tahoma" w:cs="Tahoma"/>
          <w:sz w:val="20"/>
          <w:szCs w:val="20"/>
        </w:rPr>
        <w:t xml:space="preserve">. </w:t>
      </w:r>
      <w:r w:rsidR="00D8172B" w:rsidRPr="00812032">
        <w:rPr>
          <w:rFonts w:ascii="Tahoma" w:hAnsi="Tahoma" w:cs="Tahoma"/>
          <w:sz w:val="20"/>
          <w:szCs w:val="20"/>
        </w:rPr>
        <w:t xml:space="preserve">Zástupcem odpovědné osoby pro případ její nepřítomnosti bude </w:t>
      </w:r>
      <w:proofErr w:type="spellStart"/>
      <w:r w:rsidR="00BE0412">
        <w:rPr>
          <w:rFonts w:ascii="Tahoma" w:hAnsi="Tahoma" w:cs="Tahoma"/>
          <w:sz w:val="20"/>
          <w:szCs w:val="20"/>
        </w:rPr>
        <w:t>xxx</w:t>
      </w:r>
      <w:proofErr w:type="spellEnd"/>
      <w:r w:rsidR="00D8172B" w:rsidRPr="00812032">
        <w:rPr>
          <w:rFonts w:ascii="Tahoma" w:hAnsi="Tahoma" w:cs="Tahoma"/>
          <w:sz w:val="20"/>
          <w:szCs w:val="20"/>
        </w:rPr>
        <w:t xml:space="preserve">, tel.: </w:t>
      </w:r>
      <w:proofErr w:type="spellStart"/>
      <w:r w:rsidR="00BE0412">
        <w:rPr>
          <w:rFonts w:ascii="Tahoma" w:hAnsi="Tahoma" w:cs="Tahoma"/>
          <w:sz w:val="20"/>
          <w:szCs w:val="20"/>
        </w:rPr>
        <w:t>xxx</w:t>
      </w:r>
      <w:proofErr w:type="spellEnd"/>
      <w:r w:rsidR="00D8172B" w:rsidRPr="00812032">
        <w:rPr>
          <w:rFonts w:ascii="Tahoma" w:hAnsi="Tahoma" w:cs="Tahoma"/>
          <w:sz w:val="20"/>
          <w:szCs w:val="20"/>
        </w:rPr>
        <w:t>.</w:t>
      </w:r>
    </w:p>
    <w:p w:rsidR="005B0078" w:rsidRPr="00812032" w:rsidRDefault="005B0078" w:rsidP="005B0078">
      <w:pPr>
        <w:numPr>
          <w:ilvl w:val="0"/>
          <w:numId w:val="7"/>
        </w:numPr>
        <w:suppressAutoHyphens/>
        <w:spacing w:after="120" w:line="300" w:lineRule="exact"/>
        <w:jc w:val="both"/>
        <w:rPr>
          <w:rFonts w:ascii="Tahoma" w:hAnsi="Tahoma" w:cs="Tahoma"/>
          <w:sz w:val="20"/>
          <w:szCs w:val="20"/>
        </w:rPr>
      </w:pPr>
      <w:r w:rsidRPr="00812032">
        <w:rPr>
          <w:rFonts w:ascii="Tahoma" w:hAnsi="Tahoma" w:cs="Tahoma"/>
          <w:sz w:val="20"/>
          <w:szCs w:val="20"/>
        </w:rPr>
        <w:t>Shora uvedená odpovědná osoba bude i hlavní kontaktní osobou pro subjekty osobních údajů a dozorový úřad. Správce je oprávněn zveřejnit jméno, příjmení a kontaktní údaje na odpovědnou osobu na svých webových stránkách a informačních tabulkách o monitorování prostoru kamerovým systémem, případně i jiným vhodným způsobem.</w:t>
      </w:r>
    </w:p>
    <w:p w:rsidR="005B0078" w:rsidRPr="00812032" w:rsidRDefault="005B0078" w:rsidP="005B0078">
      <w:pPr>
        <w:spacing w:after="120" w:line="300" w:lineRule="exact"/>
        <w:jc w:val="both"/>
        <w:rPr>
          <w:rFonts w:ascii="Tahoma" w:hAnsi="Tahoma" w:cs="Tahoma"/>
          <w:sz w:val="20"/>
          <w:szCs w:val="20"/>
        </w:rPr>
      </w:pPr>
    </w:p>
    <w:p w:rsidR="005B0078" w:rsidRPr="00812032" w:rsidRDefault="005B0078" w:rsidP="005B0078">
      <w:pPr>
        <w:spacing w:after="120" w:line="300" w:lineRule="exact"/>
        <w:jc w:val="center"/>
        <w:rPr>
          <w:rFonts w:ascii="Tahoma" w:hAnsi="Tahoma" w:cs="Tahoma"/>
          <w:b/>
          <w:sz w:val="20"/>
          <w:szCs w:val="20"/>
        </w:rPr>
      </w:pPr>
      <w:r w:rsidRPr="00812032">
        <w:rPr>
          <w:rFonts w:ascii="Tahoma" w:hAnsi="Tahoma" w:cs="Tahoma"/>
          <w:b/>
          <w:sz w:val="20"/>
          <w:szCs w:val="20"/>
        </w:rPr>
        <w:t xml:space="preserve">Čl. III. </w:t>
      </w:r>
    </w:p>
    <w:p w:rsidR="005B0078" w:rsidRPr="00812032" w:rsidRDefault="005B0078" w:rsidP="005B0078">
      <w:pPr>
        <w:spacing w:after="120" w:line="300" w:lineRule="exact"/>
        <w:jc w:val="center"/>
        <w:rPr>
          <w:rFonts w:ascii="Tahoma" w:hAnsi="Tahoma" w:cs="Tahoma"/>
          <w:b/>
          <w:sz w:val="20"/>
          <w:szCs w:val="20"/>
        </w:rPr>
      </w:pPr>
      <w:r w:rsidRPr="00812032">
        <w:rPr>
          <w:rFonts w:ascii="Tahoma" w:hAnsi="Tahoma" w:cs="Tahoma"/>
          <w:b/>
          <w:sz w:val="20"/>
          <w:szCs w:val="20"/>
        </w:rPr>
        <w:t>Odměna Advokátní kanceláře</w:t>
      </w:r>
      <w:r w:rsidRPr="00812032">
        <w:rPr>
          <w:rFonts w:ascii="Tahoma" w:hAnsi="Tahoma" w:cs="Tahoma"/>
          <w:sz w:val="20"/>
          <w:szCs w:val="20"/>
        </w:rPr>
        <w:t xml:space="preserve"> </w:t>
      </w:r>
    </w:p>
    <w:p w:rsidR="005B0078" w:rsidRPr="00812032" w:rsidRDefault="005B0078" w:rsidP="005B0078">
      <w:pPr>
        <w:numPr>
          <w:ilvl w:val="0"/>
          <w:numId w:val="6"/>
        </w:numPr>
        <w:suppressAutoHyphens/>
        <w:spacing w:after="120" w:line="300" w:lineRule="exact"/>
        <w:jc w:val="both"/>
        <w:rPr>
          <w:rFonts w:ascii="Tahoma" w:hAnsi="Tahoma" w:cs="Tahoma"/>
          <w:sz w:val="20"/>
          <w:szCs w:val="20"/>
        </w:rPr>
      </w:pPr>
      <w:r w:rsidRPr="00812032">
        <w:rPr>
          <w:rFonts w:ascii="Tahoma" w:hAnsi="Tahoma" w:cs="Tahoma"/>
          <w:sz w:val="20"/>
          <w:szCs w:val="20"/>
        </w:rPr>
        <w:t>Smluvní strany se dohodly na této smluvní odměně Advokátní kanceláře:</w:t>
      </w:r>
    </w:p>
    <w:p w:rsidR="005B0078" w:rsidRPr="00812032" w:rsidRDefault="005B0078" w:rsidP="005B0078">
      <w:pPr>
        <w:numPr>
          <w:ilvl w:val="0"/>
          <w:numId w:val="8"/>
        </w:numPr>
        <w:spacing w:after="120" w:line="300" w:lineRule="exact"/>
        <w:jc w:val="both"/>
        <w:rPr>
          <w:rFonts w:ascii="Tahoma" w:hAnsi="Tahoma" w:cs="Tahoma"/>
          <w:sz w:val="20"/>
          <w:szCs w:val="20"/>
        </w:rPr>
      </w:pPr>
      <w:r w:rsidRPr="00812032">
        <w:rPr>
          <w:rFonts w:ascii="Tahoma" w:hAnsi="Tahoma" w:cs="Tahoma"/>
          <w:sz w:val="20"/>
          <w:szCs w:val="20"/>
        </w:rPr>
        <w:t xml:space="preserve">paušální odměna ve </w:t>
      </w:r>
      <w:r w:rsidRPr="00216444">
        <w:rPr>
          <w:rFonts w:ascii="Tahoma" w:hAnsi="Tahoma" w:cs="Tahoma"/>
          <w:sz w:val="20"/>
          <w:szCs w:val="20"/>
        </w:rPr>
        <w:t xml:space="preserve">výši </w:t>
      </w:r>
      <w:r w:rsidRPr="00216444">
        <w:rPr>
          <w:rFonts w:ascii="Tahoma" w:hAnsi="Tahoma" w:cs="Tahoma"/>
          <w:b/>
          <w:sz w:val="20"/>
          <w:szCs w:val="20"/>
        </w:rPr>
        <w:t>1</w:t>
      </w:r>
      <w:r w:rsidR="00812032" w:rsidRPr="00216444">
        <w:rPr>
          <w:rFonts w:ascii="Tahoma" w:hAnsi="Tahoma" w:cs="Tahoma"/>
          <w:b/>
          <w:sz w:val="20"/>
          <w:szCs w:val="20"/>
        </w:rPr>
        <w:t>3</w:t>
      </w:r>
      <w:r w:rsidRPr="00216444">
        <w:rPr>
          <w:rFonts w:ascii="Tahoma" w:hAnsi="Tahoma" w:cs="Tahoma"/>
          <w:b/>
          <w:sz w:val="20"/>
          <w:szCs w:val="20"/>
        </w:rPr>
        <w:t>.000, - Kč (bez DPH</w:t>
      </w:r>
      <w:r w:rsidRPr="00812032">
        <w:rPr>
          <w:rFonts w:ascii="Tahoma" w:hAnsi="Tahoma" w:cs="Tahoma"/>
          <w:b/>
          <w:sz w:val="20"/>
          <w:szCs w:val="20"/>
        </w:rPr>
        <w:t xml:space="preserve">) měsíčně; </w:t>
      </w:r>
      <w:r w:rsidRPr="00812032">
        <w:rPr>
          <w:rFonts w:ascii="Tahoma" w:hAnsi="Tahoma" w:cs="Tahoma"/>
          <w:sz w:val="20"/>
          <w:szCs w:val="20"/>
        </w:rPr>
        <w:t>paušální odměna zahrnuje poskytování služeb pověřence pro ochranu osobních údajů, včetně přítomnosti odpovědné osoby v sídle Správce</w:t>
      </w:r>
      <w:r w:rsidR="00F71B38" w:rsidRPr="00812032">
        <w:rPr>
          <w:rFonts w:ascii="Tahoma" w:hAnsi="Tahoma" w:cs="Tahoma"/>
          <w:sz w:val="20"/>
          <w:szCs w:val="20"/>
        </w:rPr>
        <w:t>, v jeho provozovnách či u zpracovatelů</w:t>
      </w:r>
      <w:r w:rsidR="00300204" w:rsidRPr="00812032">
        <w:rPr>
          <w:rFonts w:ascii="Tahoma" w:hAnsi="Tahoma" w:cs="Tahoma"/>
          <w:sz w:val="20"/>
          <w:szCs w:val="20"/>
        </w:rPr>
        <w:t>, bude-li to účelné,</w:t>
      </w:r>
      <w:r w:rsidRPr="00812032">
        <w:rPr>
          <w:rFonts w:ascii="Tahoma" w:hAnsi="Tahoma" w:cs="Tahoma"/>
          <w:sz w:val="20"/>
          <w:szCs w:val="20"/>
        </w:rPr>
        <w:t xml:space="preserve"> </w:t>
      </w:r>
      <w:r w:rsidR="00F01785" w:rsidRPr="00812032">
        <w:rPr>
          <w:rFonts w:ascii="Tahoma" w:hAnsi="Tahoma" w:cs="Tahoma"/>
          <w:sz w:val="20"/>
          <w:szCs w:val="20"/>
        </w:rPr>
        <w:t xml:space="preserve">max. </w:t>
      </w:r>
      <w:r w:rsidR="00300204" w:rsidRPr="00812032">
        <w:rPr>
          <w:rFonts w:ascii="Tahoma" w:hAnsi="Tahoma" w:cs="Tahoma"/>
          <w:sz w:val="20"/>
          <w:szCs w:val="20"/>
        </w:rPr>
        <w:t xml:space="preserve">však </w:t>
      </w:r>
      <w:r w:rsidR="00F01785" w:rsidRPr="00812032">
        <w:rPr>
          <w:rFonts w:ascii="Tahoma" w:hAnsi="Tahoma" w:cs="Tahoma"/>
          <w:sz w:val="20"/>
          <w:szCs w:val="20"/>
        </w:rPr>
        <w:t xml:space="preserve">1 x měsíčně </w:t>
      </w:r>
      <w:r w:rsidRPr="00812032">
        <w:rPr>
          <w:rFonts w:ascii="Tahoma" w:hAnsi="Tahoma" w:cs="Tahoma"/>
          <w:sz w:val="20"/>
          <w:szCs w:val="20"/>
        </w:rPr>
        <w:t xml:space="preserve">po dobu max. </w:t>
      </w:r>
      <w:r w:rsidR="00F71B38" w:rsidRPr="00812032">
        <w:rPr>
          <w:rFonts w:ascii="Tahoma" w:hAnsi="Tahoma" w:cs="Tahoma"/>
          <w:sz w:val="20"/>
          <w:szCs w:val="20"/>
        </w:rPr>
        <w:t>5</w:t>
      </w:r>
      <w:r w:rsidRPr="00812032">
        <w:rPr>
          <w:rFonts w:ascii="Tahoma" w:hAnsi="Tahoma" w:cs="Tahoma"/>
          <w:sz w:val="20"/>
          <w:szCs w:val="20"/>
        </w:rPr>
        <w:t xml:space="preserve"> hodin a náhradu za zmeškaný čas při cestě do a ze sídla Správce.</w:t>
      </w:r>
    </w:p>
    <w:p w:rsidR="005B0078" w:rsidRPr="00812032" w:rsidRDefault="005B0078" w:rsidP="005B0078">
      <w:pPr>
        <w:numPr>
          <w:ilvl w:val="0"/>
          <w:numId w:val="6"/>
        </w:numPr>
        <w:spacing w:after="120" w:line="300" w:lineRule="exact"/>
        <w:jc w:val="both"/>
        <w:rPr>
          <w:rFonts w:ascii="Tahoma" w:eastAsia="SimSun" w:hAnsi="Tahoma" w:cs="Tahoma"/>
          <w:kern w:val="1"/>
          <w:sz w:val="20"/>
          <w:szCs w:val="20"/>
          <w:lang w:val="x-none" w:eastAsia="ar-SA"/>
        </w:rPr>
      </w:pPr>
      <w:r w:rsidRPr="00812032">
        <w:rPr>
          <w:rFonts w:ascii="Tahoma" w:eastAsia="SimSun" w:hAnsi="Tahoma" w:cs="Tahoma"/>
          <w:kern w:val="1"/>
          <w:sz w:val="20"/>
          <w:szCs w:val="20"/>
          <w:lang w:val="x-none" w:eastAsia="ar-SA"/>
        </w:rPr>
        <w:t xml:space="preserve">Služby Advokátní kanceláře budou účtovány měsíčně. Odměna je splatná 20. dne kalendářního měsíce následujícího po měsíci, v němž byla služba poskytnuta. Správce uhradí odměnu na základě vystaveného daňového dokladu v hotovosti či převodem na účet č. 2107042453/2700, vedený u </w:t>
      </w:r>
      <w:proofErr w:type="spellStart"/>
      <w:r w:rsidRPr="00812032">
        <w:rPr>
          <w:rFonts w:ascii="Tahoma" w:eastAsia="SimSun" w:hAnsi="Tahoma" w:cs="Tahoma"/>
          <w:kern w:val="1"/>
          <w:sz w:val="20"/>
          <w:szCs w:val="20"/>
          <w:lang w:val="x-none" w:eastAsia="ar-SA"/>
        </w:rPr>
        <w:t>UniCredit</w:t>
      </w:r>
      <w:proofErr w:type="spellEnd"/>
      <w:r w:rsidRPr="00812032">
        <w:rPr>
          <w:rFonts w:ascii="Tahoma" w:eastAsia="SimSun" w:hAnsi="Tahoma" w:cs="Tahoma"/>
          <w:kern w:val="1"/>
          <w:sz w:val="20"/>
          <w:szCs w:val="20"/>
          <w:lang w:val="x-none" w:eastAsia="ar-SA"/>
        </w:rPr>
        <w:t xml:space="preserve"> Bank Czech Republic and Slovakia, a.s.</w:t>
      </w:r>
    </w:p>
    <w:p w:rsidR="005B0078" w:rsidRPr="00812032" w:rsidRDefault="005B0078" w:rsidP="005B0078">
      <w:pPr>
        <w:numPr>
          <w:ilvl w:val="0"/>
          <w:numId w:val="6"/>
        </w:numPr>
        <w:spacing w:after="120" w:line="300" w:lineRule="exact"/>
        <w:jc w:val="both"/>
        <w:rPr>
          <w:rFonts w:ascii="Tahoma" w:eastAsia="SimSun" w:hAnsi="Tahoma" w:cs="Tahoma"/>
          <w:kern w:val="1"/>
          <w:sz w:val="20"/>
          <w:szCs w:val="20"/>
          <w:lang w:val="x-none" w:eastAsia="ar-SA"/>
        </w:rPr>
      </w:pPr>
      <w:r w:rsidRPr="00812032">
        <w:rPr>
          <w:rFonts w:ascii="Tahoma" w:eastAsia="SimSun" w:hAnsi="Tahoma" w:cs="Tahoma"/>
          <w:kern w:val="1"/>
          <w:sz w:val="20"/>
          <w:szCs w:val="20"/>
          <w:lang w:val="x-none" w:eastAsia="ar-SA"/>
        </w:rPr>
        <w:t xml:space="preserve">K dohodnuté odměně dle čl. III. odst. 1 této Smlouvy se připočte </w:t>
      </w:r>
      <w:r w:rsidRPr="00812032">
        <w:rPr>
          <w:rFonts w:ascii="Tahoma" w:eastAsia="SimSun" w:hAnsi="Tahoma" w:cs="Tahoma"/>
          <w:b/>
          <w:kern w:val="1"/>
          <w:sz w:val="20"/>
          <w:szCs w:val="20"/>
          <w:lang w:val="x-none" w:eastAsia="ar-SA"/>
        </w:rPr>
        <w:t>daň z přidané hodnoty dle aktuální zákonné sazby</w:t>
      </w:r>
      <w:r w:rsidRPr="00812032">
        <w:rPr>
          <w:rFonts w:ascii="Tahoma" w:eastAsia="SimSun" w:hAnsi="Tahoma" w:cs="Tahoma"/>
          <w:kern w:val="1"/>
          <w:sz w:val="20"/>
          <w:szCs w:val="20"/>
          <w:lang w:val="x-none" w:eastAsia="ar-SA"/>
        </w:rPr>
        <w:t xml:space="preserve"> (v právními předpisy stanovených případech). K dohodnuté odměně (vč. daně z přidané hodnoty) se připočtou vynaložené hotové výdaje (např. kolky, soudní a správní poplatky, apod.) a výdaje spojené s poskytováním služeb pověřence pro ochranu osobních údajů (např. telefon, telefax, kopie, e-mailový provoz, administrativní činnost sekretariátu). Výdaje spojené s poskytováním právních služeb představují paušální částku ve výši 5 % z odměny vyúčtované za kalendářní měsíc.</w:t>
      </w:r>
    </w:p>
    <w:p w:rsidR="005B0078" w:rsidRPr="00812032" w:rsidRDefault="005B0078" w:rsidP="005B0078">
      <w:pPr>
        <w:numPr>
          <w:ilvl w:val="0"/>
          <w:numId w:val="6"/>
        </w:numPr>
        <w:spacing w:after="120" w:line="300" w:lineRule="exact"/>
        <w:jc w:val="both"/>
        <w:rPr>
          <w:rFonts w:ascii="Tahoma" w:eastAsia="SimSun" w:hAnsi="Tahoma" w:cs="Tahoma"/>
          <w:kern w:val="1"/>
          <w:sz w:val="20"/>
          <w:szCs w:val="20"/>
          <w:lang w:val="x-none" w:eastAsia="ar-SA"/>
        </w:rPr>
      </w:pPr>
      <w:r w:rsidRPr="00812032">
        <w:rPr>
          <w:rFonts w:ascii="Tahoma" w:eastAsia="SimSun" w:hAnsi="Tahoma" w:cs="Tahoma"/>
          <w:kern w:val="1"/>
          <w:sz w:val="20"/>
          <w:szCs w:val="20"/>
          <w:lang w:val="x-none" w:eastAsia="ar-SA"/>
        </w:rPr>
        <w:lastRenderedPageBreak/>
        <w:t xml:space="preserve">K dohodnuté odměně dle čl. III. odst. 1 této Smlouvy se dále připočte náhrada cestovních výdajů, jejíž výše bude vypočtena v souladu s vyhláškou Ministerstva spravedlnosti č. 177/1996 Sb., advokátní tarif, ve znění pozdějších předpisů, ve spojení se zák. č. 262/2006 Sb., zákoník práce, ve znění pozdějších předpisů, a příslušnými podzákonnými předpisy.  </w:t>
      </w:r>
    </w:p>
    <w:p w:rsidR="005B0078" w:rsidRPr="00812032" w:rsidRDefault="005B0078" w:rsidP="005B0078">
      <w:pPr>
        <w:spacing w:after="120" w:line="300" w:lineRule="exact"/>
        <w:jc w:val="center"/>
        <w:rPr>
          <w:rFonts w:ascii="Tahoma" w:hAnsi="Tahoma" w:cs="Tahoma"/>
          <w:b/>
          <w:sz w:val="20"/>
          <w:szCs w:val="20"/>
        </w:rPr>
      </w:pPr>
    </w:p>
    <w:p w:rsidR="005B0078" w:rsidRPr="00812032" w:rsidRDefault="005B0078" w:rsidP="005B0078">
      <w:pPr>
        <w:spacing w:after="120" w:line="300" w:lineRule="exact"/>
        <w:jc w:val="center"/>
        <w:rPr>
          <w:rFonts w:ascii="Tahoma" w:hAnsi="Tahoma" w:cs="Tahoma"/>
          <w:b/>
          <w:sz w:val="20"/>
          <w:szCs w:val="20"/>
        </w:rPr>
      </w:pPr>
      <w:r w:rsidRPr="00812032">
        <w:rPr>
          <w:rFonts w:ascii="Tahoma" w:hAnsi="Tahoma" w:cs="Tahoma"/>
          <w:b/>
          <w:sz w:val="20"/>
          <w:szCs w:val="20"/>
        </w:rPr>
        <w:t>Čl. IV.</w:t>
      </w:r>
    </w:p>
    <w:p w:rsidR="005B0078" w:rsidRPr="00812032" w:rsidRDefault="005B0078" w:rsidP="005B0078">
      <w:pPr>
        <w:spacing w:after="120" w:line="300" w:lineRule="exact"/>
        <w:jc w:val="center"/>
        <w:rPr>
          <w:rFonts w:ascii="Tahoma" w:hAnsi="Tahoma" w:cs="Tahoma"/>
          <w:b/>
          <w:sz w:val="20"/>
          <w:szCs w:val="20"/>
        </w:rPr>
      </w:pPr>
      <w:r w:rsidRPr="00812032">
        <w:rPr>
          <w:rFonts w:ascii="Tahoma" w:hAnsi="Tahoma" w:cs="Tahoma"/>
          <w:b/>
          <w:sz w:val="20"/>
          <w:szCs w:val="20"/>
        </w:rPr>
        <w:t>Komunikační prostředky</w:t>
      </w:r>
    </w:p>
    <w:p w:rsidR="005B0078" w:rsidRPr="00812032" w:rsidRDefault="005B0078" w:rsidP="005B0078">
      <w:pPr>
        <w:numPr>
          <w:ilvl w:val="0"/>
          <w:numId w:val="9"/>
        </w:numPr>
        <w:spacing w:after="120" w:line="300" w:lineRule="exact"/>
        <w:jc w:val="both"/>
        <w:rPr>
          <w:rFonts w:ascii="Tahoma" w:hAnsi="Tahoma" w:cs="Tahoma"/>
          <w:sz w:val="20"/>
          <w:szCs w:val="20"/>
        </w:rPr>
      </w:pPr>
      <w:r w:rsidRPr="00812032">
        <w:rPr>
          <w:rFonts w:ascii="Tahoma" w:hAnsi="Tahoma" w:cs="Tahoma"/>
          <w:sz w:val="20"/>
          <w:szCs w:val="20"/>
        </w:rPr>
        <w:t>Správce souhlasí, že Advokátní kancelář může použít všechny důvodné a vhodné komunikační prostředky za účelem komunikace se Správcem, nebo s dalšími osobami během výkonu funkce pověřence pro ochranu osobních údajů, tj. osobní kontakt, telefonické hovory prováděné přes pevnou linku nebo mobilní telefon, emaily a další elektronickou komunikaci, poštovní služby, SMS, zásilkové služby (např. PPL).</w:t>
      </w:r>
    </w:p>
    <w:p w:rsidR="005B0078" w:rsidRPr="00812032" w:rsidRDefault="005B0078" w:rsidP="005B0078">
      <w:pPr>
        <w:numPr>
          <w:ilvl w:val="0"/>
          <w:numId w:val="9"/>
        </w:numPr>
        <w:spacing w:after="120" w:line="300" w:lineRule="exact"/>
        <w:jc w:val="both"/>
        <w:rPr>
          <w:rFonts w:ascii="Tahoma" w:hAnsi="Tahoma" w:cs="Tahoma"/>
          <w:sz w:val="20"/>
          <w:szCs w:val="20"/>
        </w:rPr>
      </w:pPr>
      <w:r w:rsidRPr="00812032">
        <w:rPr>
          <w:rFonts w:ascii="Tahoma" w:hAnsi="Tahoma" w:cs="Tahoma"/>
          <w:sz w:val="20"/>
          <w:szCs w:val="20"/>
        </w:rPr>
        <w:t xml:space="preserve">Správce si je všeobecně vědom nákladů, výhod, nevýhod a nedílné míry rizika, které jsou spjaty s užitím všech výše uvedených komunikačních prostředků. Správce je oprávněn informovat Advokátní kancelář, že nechce využívat některý z výše uvedených prostředků ke sdělování či zasílání určitých specifických informací, podkladů a písemností, a určit, které komunikační prostředky v těchto případech mohou být používány. </w:t>
      </w:r>
    </w:p>
    <w:p w:rsidR="005B0078" w:rsidRPr="00812032" w:rsidRDefault="005B0078" w:rsidP="005B0078">
      <w:pPr>
        <w:spacing w:after="120" w:line="300" w:lineRule="exact"/>
        <w:ind w:left="660"/>
        <w:jc w:val="both"/>
        <w:rPr>
          <w:rFonts w:ascii="Tahoma" w:hAnsi="Tahoma" w:cs="Tahoma"/>
          <w:sz w:val="20"/>
          <w:szCs w:val="20"/>
        </w:rPr>
      </w:pPr>
    </w:p>
    <w:p w:rsidR="005B0078" w:rsidRPr="00812032" w:rsidRDefault="005B0078" w:rsidP="005B0078">
      <w:pPr>
        <w:spacing w:after="120" w:line="300" w:lineRule="exact"/>
        <w:jc w:val="center"/>
        <w:rPr>
          <w:rFonts w:ascii="Tahoma" w:hAnsi="Tahoma" w:cs="Tahoma"/>
          <w:b/>
          <w:sz w:val="20"/>
          <w:szCs w:val="20"/>
        </w:rPr>
      </w:pPr>
      <w:r w:rsidRPr="00812032">
        <w:rPr>
          <w:rFonts w:ascii="Tahoma" w:hAnsi="Tahoma" w:cs="Tahoma"/>
          <w:b/>
          <w:sz w:val="20"/>
          <w:szCs w:val="20"/>
        </w:rPr>
        <w:t>Čl. V.</w:t>
      </w:r>
    </w:p>
    <w:p w:rsidR="005B0078" w:rsidRPr="00812032" w:rsidRDefault="005B0078" w:rsidP="005B0078">
      <w:pPr>
        <w:spacing w:after="120" w:line="300" w:lineRule="exact"/>
        <w:jc w:val="center"/>
        <w:rPr>
          <w:rFonts w:ascii="Tahoma" w:hAnsi="Tahoma" w:cs="Tahoma"/>
          <w:b/>
          <w:sz w:val="20"/>
          <w:szCs w:val="20"/>
        </w:rPr>
      </w:pPr>
      <w:r w:rsidRPr="00812032">
        <w:rPr>
          <w:rFonts w:ascii="Tahoma" w:hAnsi="Tahoma" w:cs="Tahoma"/>
          <w:b/>
          <w:sz w:val="20"/>
          <w:szCs w:val="20"/>
        </w:rPr>
        <w:t>Povinnosti Advokátní kanceláře a odpovědné osoby</w:t>
      </w:r>
    </w:p>
    <w:p w:rsidR="005B0078" w:rsidRPr="00812032" w:rsidRDefault="005B0078" w:rsidP="005B0078">
      <w:pPr>
        <w:numPr>
          <w:ilvl w:val="0"/>
          <w:numId w:val="13"/>
        </w:numPr>
        <w:suppressAutoHyphens/>
        <w:spacing w:after="120" w:line="300" w:lineRule="exact"/>
        <w:jc w:val="both"/>
        <w:rPr>
          <w:rFonts w:ascii="Tahoma" w:hAnsi="Tahoma" w:cs="Tahoma"/>
          <w:sz w:val="20"/>
          <w:szCs w:val="20"/>
        </w:rPr>
      </w:pPr>
      <w:r w:rsidRPr="00812032">
        <w:rPr>
          <w:rFonts w:ascii="Tahoma" w:hAnsi="Tahoma" w:cs="Tahoma"/>
          <w:sz w:val="20"/>
          <w:szCs w:val="20"/>
        </w:rPr>
        <w:t>Advokátní kancelář prohlašuje, že jí vybraná odpovědná osoba disponuje potřebnými odbornými znalostmi a schopnostmi pro výkon funkce pověřence pro ochranu osobních údajů a zavazuje se, že bude řádně vykonávat svoji funkci.</w:t>
      </w:r>
    </w:p>
    <w:p w:rsidR="005B0078" w:rsidRPr="00812032" w:rsidRDefault="005B0078" w:rsidP="005B0078">
      <w:pPr>
        <w:numPr>
          <w:ilvl w:val="0"/>
          <w:numId w:val="13"/>
        </w:numPr>
        <w:suppressAutoHyphens/>
        <w:spacing w:after="120" w:line="300" w:lineRule="exact"/>
        <w:jc w:val="both"/>
        <w:rPr>
          <w:rFonts w:ascii="Tahoma" w:hAnsi="Tahoma" w:cs="Tahoma"/>
          <w:sz w:val="20"/>
          <w:szCs w:val="20"/>
        </w:rPr>
      </w:pPr>
      <w:r w:rsidRPr="00812032">
        <w:rPr>
          <w:rFonts w:ascii="Tahoma" w:hAnsi="Tahoma" w:cs="Tahoma"/>
          <w:sz w:val="20"/>
          <w:szCs w:val="20"/>
        </w:rPr>
        <w:t>Odpovědná osoba je zejména povinna:</w:t>
      </w:r>
    </w:p>
    <w:p w:rsidR="005B0078" w:rsidRPr="00812032" w:rsidRDefault="005B0078" w:rsidP="005B0078">
      <w:pPr>
        <w:numPr>
          <w:ilvl w:val="0"/>
          <w:numId w:val="8"/>
        </w:numPr>
        <w:suppressAutoHyphens/>
        <w:spacing w:after="120" w:line="300" w:lineRule="exact"/>
        <w:jc w:val="both"/>
        <w:rPr>
          <w:rFonts w:ascii="Tahoma" w:hAnsi="Tahoma" w:cs="Tahoma"/>
          <w:sz w:val="20"/>
          <w:szCs w:val="20"/>
        </w:rPr>
      </w:pPr>
      <w:r w:rsidRPr="00812032">
        <w:rPr>
          <w:rFonts w:ascii="Tahoma" w:hAnsi="Tahoma" w:cs="Tahoma"/>
          <w:sz w:val="20"/>
          <w:szCs w:val="20"/>
        </w:rPr>
        <w:t>poskytovat informace a poradenství Správci a jeho zaměstnancům, kteří provádějí zpracování osobních údajů, ohledně jejich povinností dle Nařízení a dalších právních předpisů v oblasti ochrany osobních údajů;</w:t>
      </w:r>
    </w:p>
    <w:p w:rsidR="005B0078" w:rsidRPr="00812032" w:rsidRDefault="005B0078" w:rsidP="005B0078">
      <w:pPr>
        <w:numPr>
          <w:ilvl w:val="0"/>
          <w:numId w:val="8"/>
        </w:numPr>
        <w:suppressAutoHyphens/>
        <w:spacing w:after="120" w:line="300" w:lineRule="exact"/>
        <w:jc w:val="both"/>
        <w:rPr>
          <w:rFonts w:ascii="Tahoma" w:hAnsi="Tahoma" w:cs="Tahoma"/>
          <w:sz w:val="20"/>
          <w:szCs w:val="20"/>
        </w:rPr>
      </w:pPr>
      <w:r w:rsidRPr="00812032">
        <w:rPr>
          <w:rFonts w:ascii="Tahoma" w:hAnsi="Tahoma" w:cs="Tahoma"/>
          <w:sz w:val="20"/>
          <w:szCs w:val="20"/>
        </w:rPr>
        <w:t>monitorovat soulad zpracování osobních údajů Správcem s Nařízením a dalšími právními předpisy v oblasti ochrany osobních údajů;</w:t>
      </w:r>
    </w:p>
    <w:p w:rsidR="005B0078" w:rsidRPr="00812032" w:rsidRDefault="005B0078" w:rsidP="005B0078">
      <w:pPr>
        <w:numPr>
          <w:ilvl w:val="0"/>
          <w:numId w:val="8"/>
        </w:numPr>
        <w:suppressAutoHyphens/>
        <w:spacing w:after="120" w:line="300" w:lineRule="exact"/>
        <w:jc w:val="both"/>
        <w:rPr>
          <w:rFonts w:ascii="Tahoma" w:hAnsi="Tahoma" w:cs="Tahoma"/>
          <w:sz w:val="20"/>
          <w:szCs w:val="20"/>
        </w:rPr>
      </w:pPr>
      <w:r w:rsidRPr="00812032">
        <w:rPr>
          <w:rFonts w:ascii="Tahoma" w:hAnsi="Tahoma" w:cs="Tahoma"/>
          <w:sz w:val="20"/>
          <w:szCs w:val="20"/>
        </w:rPr>
        <w:t>poskytovat součinnost dozorovému úřadu a působit jako kontaktní místo pro dozorový úřad;</w:t>
      </w:r>
    </w:p>
    <w:p w:rsidR="005B0078" w:rsidRPr="00812032" w:rsidRDefault="005B0078" w:rsidP="005B0078">
      <w:pPr>
        <w:numPr>
          <w:ilvl w:val="0"/>
          <w:numId w:val="8"/>
        </w:numPr>
        <w:suppressAutoHyphens/>
        <w:spacing w:after="120" w:line="300" w:lineRule="exact"/>
        <w:jc w:val="both"/>
        <w:rPr>
          <w:rFonts w:ascii="Tahoma" w:hAnsi="Tahoma" w:cs="Tahoma"/>
          <w:sz w:val="20"/>
          <w:szCs w:val="20"/>
        </w:rPr>
      </w:pPr>
      <w:r w:rsidRPr="00812032">
        <w:rPr>
          <w:rFonts w:ascii="Tahoma" w:hAnsi="Tahoma" w:cs="Tahoma"/>
          <w:sz w:val="20"/>
          <w:szCs w:val="20"/>
        </w:rPr>
        <w:t>ve spolupráci se zaměstnanci Správce vyhodnocovat rizika jednotlivých zpracování pro práva a svobody subjektů;</w:t>
      </w:r>
    </w:p>
    <w:p w:rsidR="005B0078" w:rsidRPr="00812032" w:rsidRDefault="005B0078" w:rsidP="005B0078">
      <w:pPr>
        <w:numPr>
          <w:ilvl w:val="0"/>
          <w:numId w:val="8"/>
        </w:numPr>
        <w:suppressAutoHyphens/>
        <w:spacing w:after="120" w:line="300" w:lineRule="exact"/>
        <w:jc w:val="both"/>
        <w:rPr>
          <w:rFonts w:ascii="Tahoma" w:hAnsi="Tahoma" w:cs="Tahoma"/>
          <w:sz w:val="20"/>
          <w:szCs w:val="20"/>
        </w:rPr>
      </w:pPr>
      <w:r w:rsidRPr="00812032">
        <w:rPr>
          <w:rFonts w:ascii="Tahoma" w:hAnsi="Tahoma" w:cs="Tahoma"/>
          <w:sz w:val="20"/>
          <w:szCs w:val="20"/>
        </w:rPr>
        <w:t xml:space="preserve">ve spolupráci se zaměstnanci Správce rozvíjet znalosti a metodicky vést vzdělávání zaměstnanců Správce v oblasti ochrany osobních údajů; </w:t>
      </w:r>
    </w:p>
    <w:p w:rsidR="005B0078" w:rsidRPr="00812032" w:rsidRDefault="005B0078" w:rsidP="005B0078">
      <w:pPr>
        <w:numPr>
          <w:ilvl w:val="0"/>
          <w:numId w:val="8"/>
        </w:numPr>
        <w:suppressAutoHyphens/>
        <w:spacing w:after="120" w:line="300" w:lineRule="exact"/>
        <w:jc w:val="both"/>
        <w:rPr>
          <w:rFonts w:ascii="Tahoma" w:hAnsi="Tahoma" w:cs="Tahoma"/>
          <w:sz w:val="20"/>
          <w:szCs w:val="20"/>
        </w:rPr>
      </w:pPr>
      <w:r w:rsidRPr="00812032">
        <w:rPr>
          <w:rFonts w:ascii="Tahoma" w:hAnsi="Tahoma" w:cs="Tahoma"/>
          <w:sz w:val="20"/>
          <w:szCs w:val="20"/>
        </w:rPr>
        <w:t>ve spolupráci se zaměstnanci Správce kontrolovat vedení dokumentace v souladu s čl. 33 odst. 5) Nařízení</w:t>
      </w:r>
      <w:r w:rsidR="00812032">
        <w:rPr>
          <w:rFonts w:ascii="Tahoma" w:hAnsi="Tahoma" w:cs="Tahoma"/>
          <w:sz w:val="20"/>
          <w:szCs w:val="20"/>
        </w:rPr>
        <w:t xml:space="preserve"> a případně vznášet podněty či připomínky</w:t>
      </w:r>
      <w:r w:rsidRPr="00812032">
        <w:rPr>
          <w:rFonts w:ascii="Tahoma" w:hAnsi="Tahoma" w:cs="Tahoma"/>
          <w:sz w:val="20"/>
          <w:szCs w:val="20"/>
        </w:rPr>
        <w:t>;</w:t>
      </w:r>
    </w:p>
    <w:p w:rsidR="005B0078" w:rsidRPr="00812032" w:rsidRDefault="005B0078" w:rsidP="005B0078">
      <w:pPr>
        <w:numPr>
          <w:ilvl w:val="0"/>
          <w:numId w:val="8"/>
        </w:numPr>
        <w:suppressAutoHyphens/>
        <w:spacing w:after="120" w:line="300" w:lineRule="exact"/>
        <w:jc w:val="both"/>
        <w:rPr>
          <w:rFonts w:ascii="Tahoma" w:hAnsi="Tahoma" w:cs="Tahoma"/>
          <w:sz w:val="20"/>
          <w:szCs w:val="20"/>
        </w:rPr>
      </w:pPr>
      <w:r w:rsidRPr="00812032">
        <w:rPr>
          <w:rFonts w:ascii="Tahoma" w:hAnsi="Tahoma" w:cs="Tahoma"/>
          <w:sz w:val="20"/>
          <w:szCs w:val="20"/>
        </w:rPr>
        <w:lastRenderedPageBreak/>
        <w:t xml:space="preserve">ve spolupráci se zaměstnanci Správce hodnotit efektivnost a účinnost Správcem zavedených </w:t>
      </w:r>
      <w:proofErr w:type="spellStart"/>
      <w:r w:rsidRPr="00812032">
        <w:rPr>
          <w:rFonts w:ascii="Tahoma" w:hAnsi="Tahoma" w:cs="Tahoma"/>
          <w:sz w:val="20"/>
          <w:szCs w:val="20"/>
        </w:rPr>
        <w:t>technicko-organizačních</w:t>
      </w:r>
      <w:proofErr w:type="spellEnd"/>
      <w:r w:rsidRPr="00812032">
        <w:rPr>
          <w:rFonts w:ascii="Tahoma" w:hAnsi="Tahoma" w:cs="Tahoma"/>
          <w:sz w:val="20"/>
          <w:szCs w:val="20"/>
        </w:rPr>
        <w:t xml:space="preserve"> opatření a případně navrhnout jejich změny.</w:t>
      </w:r>
    </w:p>
    <w:p w:rsidR="005B0078" w:rsidRPr="00812032" w:rsidRDefault="005B0078" w:rsidP="005B0078">
      <w:pPr>
        <w:numPr>
          <w:ilvl w:val="0"/>
          <w:numId w:val="13"/>
        </w:numPr>
        <w:suppressAutoHyphens/>
        <w:spacing w:after="120" w:line="300" w:lineRule="exact"/>
        <w:jc w:val="both"/>
        <w:rPr>
          <w:rFonts w:ascii="Tahoma" w:hAnsi="Tahoma" w:cs="Tahoma"/>
          <w:sz w:val="20"/>
          <w:szCs w:val="20"/>
        </w:rPr>
      </w:pPr>
      <w:r w:rsidRPr="00812032">
        <w:rPr>
          <w:rFonts w:ascii="Tahoma" w:hAnsi="Tahoma" w:cs="Tahoma"/>
          <w:sz w:val="20"/>
          <w:szCs w:val="20"/>
        </w:rPr>
        <w:t>Advokátní kancelář, její zaměstnanci a odpovědná osoba jsou povinni zachovávat mlčenlivost o skutečnostech, o kterých se v souvislosti s výkonem funkce pověřence pro ochranu osobních údajů dozví. Povinnost mlčenlivosti trvá i po skončení této smlouvy.</w:t>
      </w:r>
    </w:p>
    <w:p w:rsidR="005B0078" w:rsidRPr="00812032" w:rsidRDefault="005B0078" w:rsidP="005B0078">
      <w:pPr>
        <w:numPr>
          <w:ilvl w:val="0"/>
          <w:numId w:val="13"/>
        </w:numPr>
        <w:suppressAutoHyphens/>
        <w:spacing w:after="120" w:line="300" w:lineRule="exact"/>
        <w:jc w:val="both"/>
        <w:rPr>
          <w:rFonts w:ascii="Tahoma" w:hAnsi="Tahoma" w:cs="Tahoma"/>
          <w:sz w:val="20"/>
          <w:szCs w:val="20"/>
        </w:rPr>
      </w:pPr>
      <w:r w:rsidRPr="00812032">
        <w:rPr>
          <w:rFonts w:ascii="Tahoma" w:hAnsi="Tahoma" w:cs="Tahoma"/>
          <w:sz w:val="20"/>
          <w:szCs w:val="20"/>
        </w:rPr>
        <w:t>Advokátní kancelář je povinna neprodleně informovat Správce o ztrátě předpokladů pro výkon funkce pověřence pro ochranu osobních údajů.</w:t>
      </w:r>
    </w:p>
    <w:p w:rsidR="005B0078" w:rsidRPr="00812032" w:rsidRDefault="005B0078" w:rsidP="005B0078">
      <w:pPr>
        <w:suppressAutoHyphens/>
        <w:spacing w:after="120" w:line="300" w:lineRule="exact"/>
        <w:jc w:val="center"/>
        <w:rPr>
          <w:rFonts w:ascii="Tahoma" w:hAnsi="Tahoma" w:cs="Tahoma"/>
          <w:b/>
          <w:sz w:val="20"/>
          <w:szCs w:val="20"/>
        </w:rPr>
      </w:pPr>
    </w:p>
    <w:p w:rsidR="005B0078" w:rsidRPr="00812032" w:rsidRDefault="005B0078" w:rsidP="005B0078">
      <w:pPr>
        <w:suppressAutoHyphens/>
        <w:spacing w:after="120" w:line="300" w:lineRule="exact"/>
        <w:jc w:val="center"/>
        <w:rPr>
          <w:rFonts w:ascii="Tahoma" w:hAnsi="Tahoma" w:cs="Tahoma"/>
          <w:b/>
          <w:sz w:val="20"/>
          <w:szCs w:val="20"/>
        </w:rPr>
      </w:pPr>
      <w:r w:rsidRPr="00812032">
        <w:rPr>
          <w:rFonts w:ascii="Tahoma" w:hAnsi="Tahoma" w:cs="Tahoma"/>
          <w:b/>
          <w:sz w:val="20"/>
          <w:szCs w:val="20"/>
        </w:rPr>
        <w:t>Čl. VI.</w:t>
      </w:r>
    </w:p>
    <w:p w:rsidR="005B0078" w:rsidRPr="00812032" w:rsidRDefault="005B0078" w:rsidP="005B0078">
      <w:pPr>
        <w:suppressAutoHyphens/>
        <w:spacing w:after="120" w:line="300" w:lineRule="exact"/>
        <w:jc w:val="center"/>
        <w:rPr>
          <w:rFonts w:ascii="Tahoma" w:hAnsi="Tahoma" w:cs="Tahoma"/>
          <w:b/>
          <w:sz w:val="20"/>
          <w:szCs w:val="20"/>
        </w:rPr>
      </w:pPr>
      <w:r w:rsidRPr="00812032">
        <w:rPr>
          <w:rFonts w:ascii="Tahoma" w:hAnsi="Tahoma" w:cs="Tahoma"/>
          <w:b/>
          <w:sz w:val="20"/>
          <w:szCs w:val="20"/>
        </w:rPr>
        <w:t>Povinnosti Správce</w:t>
      </w:r>
    </w:p>
    <w:p w:rsidR="005B0078" w:rsidRPr="00812032" w:rsidRDefault="005B0078" w:rsidP="005B0078">
      <w:pPr>
        <w:numPr>
          <w:ilvl w:val="0"/>
          <w:numId w:val="14"/>
        </w:numPr>
        <w:suppressAutoHyphens/>
        <w:spacing w:after="120" w:line="300" w:lineRule="exact"/>
        <w:jc w:val="both"/>
        <w:rPr>
          <w:rFonts w:ascii="Tahoma" w:hAnsi="Tahoma" w:cs="Tahoma"/>
          <w:sz w:val="20"/>
          <w:szCs w:val="20"/>
        </w:rPr>
      </w:pPr>
      <w:r w:rsidRPr="00812032">
        <w:rPr>
          <w:rFonts w:ascii="Tahoma" w:hAnsi="Tahoma" w:cs="Tahoma"/>
          <w:sz w:val="20"/>
          <w:szCs w:val="20"/>
        </w:rPr>
        <w:t>Správce je zejména povinen:</w:t>
      </w:r>
    </w:p>
    <w:p w:rsidR="005B0078" w:rsidRPr="00812032" w:rsidRDefault="005B0078" w:rsidP="005B0078">
      <w:pPr>
        <w:numPr>
          <w:ilvl w:val="0"/>
          <w:numId w:val="8"/>
        </w:numPr>
        <w:suppressAutoHyphens/>
        <w:spacing w:after="120" w:line="300" w:lineRule="exact"/>
        <w:jc w:val="both"/>
        <w:rPr>
          <w:rFonts w:ascii="Tahoma" w:hAnsi="Tahoma" w:cs="Tahoma"/>
          <w:sz w:val="20"/>
          <w:szCs w:val="20"/>
        </w:rPr>
      </w:pPr>
      <w:r w:rsidRPr="00812032">
        <w:rPr>
          <w:rFonts w:ascii="Tahoma" w:hAnsi="Tahoma" w:cs="Tahoma"/>
          <w:sz w:val="20"/>
          <w:szCs w:val="20"/>
        </w:rPr>
        <w:t>Advokátní kanceláři a zejména odpovědné osobě poskytnout všechna dostupná data a informace nezbytné k řádnému plnění předmětu této Smlouvy a poskytnout jim nezbytnou součinnost;</w:t>
      </w:r>
    </w:p>
    <w:p w:rsidR="005B0078" w:rsidRPr="00812032" w:rsidRDefault="005B0078" w:rsidP="005B0078">
      <w:pPr>
        <w:numPr>
          <w:ilvl w:val="0"/>
          <w:numId w:val="8"/>
        </w:numPr>
        <w:suppressAutoHyphens/>
        <w:spacing w:after="120" w:line="300" w:lineRule="exact"/>
        <w:jc w:val="both"/>
        <w:rPr>
          <w:rFonts w:ascii="Tahoma" w:hAnsi="Tahoma" w:cs="Tahoma"/>
          <w:sz w:val="20"/>
          <w:szCs w:val="20"/>
        </w:rPr>
      </w:pPr>
      <w:r w:rsidRPr="00812032">
        <w:rPr>
          <w:rFonts w:ascii="Tahoma" w:hAnsi="Tahoma" w:cs="Tahoma"/>
          <w:sz w:val="20"/>
          <w:szCs w:val="20"/>
        </w:rPr>
        <w:t>informovat odpovědnou osobu o všech důležitých skutečnostech a změnách, které by mohly mít vliv na ochranu osobních údajů;</w:t>
      </w:r>
    </w:p>
    <w:p w:rsidR="005B0078" w:rsidRPr="00812032" w:rsidRDefault="005B0078" w:rsidP="005B0078">
      <w:pPr>
        <w:numPr>
          <w:ilvl w:val="0"/>
          <w:numId w:val="8"/>
        </w:numPr>
        <w:suppressAutoHyphens/>
        <w:spacing w:after="120" w:line="300" w:lineRule="exact"/>
        <w:jc w:val="both"/>
        <w:rPr>
          <w:rFonts w:ascii="Tahoma" w:hAnsi="Tahoma" w:cs="Tahoma"/>
          <w:sz w:val="20"/>
          <w:szCs w:val="20"/>
        </w:rPr>
      </w:pPr>
      <w:r w:rsidRPr="00812032">
        <w:rPr>
          <w:rFonts w:ascii="Tahoma" w:hAnsi="Tahoma" w:cs="Tahoma"/>
          <w:sz w:val="20"/>
          <w:szCs w:val="20"/>
        </w:rPr>
        <w:t>zajistit podporu odpovědné osoby při plnění jeho úkolů, a to zejména úkolů stanovených v čl. 39 Nařízení;</w:t>
      </w:r>
    </w:p>
    <w:p w:rsidR="005B0078" w:rsidRPr="00812032" w:rsidRDefault="005B0078" w:rsidP="005B0078">
      <w:pPr>
        <w:numPr>
          <w:ilvl w:val="0"/>
          <w:numId w:val="8"/>
        </w:numPr>
        <w:suppressAutoHyphens/>
        <w:spacing w:after="120" w:line="300" w:lineRule="exact"/>
        <w:jc w:val="both"/>
        <w:rPr>
          <w:rFonts w:ascii="Tahoma" w:hAnsi="Tahoma" w:cs="Tahoma"/>
          <w:sz w:val="20"/>
          <w:szCs w:val="20"/>
        </w:rPr>
      </w:pPr>
      <w:r w:rsidRPr="00812032">
        <w:rPr>
          <w:rFonts w:ascii="Tahoma" w:hAnsi="Tahoma" w:cs="Tahoma"/>
          <w:sz w:val="20"/>
          <w:szCs w:val="20"/>
        </w:rPr>
        <w:t>informovat odpovědnou osobu o implementaci jejích doporučení;</w:t>
      </w:r>
    </w:p>
    <w:p w:rsidR="005B0078" w:rsidRPr="00812032" w:rsidRDefault="005B0078" w:rsidP="005B0078">
      <w:pPr>
        <w:numPr>
          <w:ilvl w:val="0"/>
          <w:numId w:val="8"/>
        </w:numPr>
        <w:suppressAutoHyphens/>
        <w:spacing w:after="120" w:line="300" w:lineRule="exact"/>
        <w:jc w:val="both"/>
        <w:rPr>
          <w:rFonts w:ascii="Tahoma" w:hAnsi="Tahoma" w:cs="Tahoma"/>
          <w:sz w:val="20"/>
          <w:szCs w:val="20"/>
        </w:rPr>
      </w:pPr>
      <w:r w:rsidRPr="00812032">
        <w:rPr>
          <w:rFonts w:ascii="Tahoma" w:hAnsi="Tahoma" w:cs="Tahoma"/>
          <w:sz w:val="20"/>
          <w:szCs w:val="20"/>
        </w:rPr>
        <w:t>zajistit, aby Advokátní kancelář a zejména odpovědná osoba nedostávaly žádné pokyny týkající se úkolů pověřence pro ochranu osobních údajů, a to zejména úkolů stanovených v čl. 39 Nařízení</w:t>
      </w:r>
      <w:r w:rsidR="003542A1" w:rsidRPr="00812032">
        <w:rPr>
          <w:rFonts w:ascii="Tahoma" w:hAnsi="Tahoma" w:cs="Tahoma"/>
          <w:sz w:val="20"/>
          <w:szCs w:val="20"/>
        </w:rPr>
        <w:t>;</w:t>
      </w:r>
    </w:p>
    <w:p w:rsidR="003542A1" w:rsidRPr="00812032" w:rsidRDefault="003542A1" w:rsidP="005B0078">
      <w:pPr>
        <w:numPr>
          <w:ilvl w:val="0"/>
          <w:numId w:val="8"/>
        </w:numPr>
        <w:suppressAutoHyphens/>
        <w:spacing w:after="120" w:line="300" w:lineRule="exact"/>
        <w:jc w:val="both"/>
        <w:rPr>
          <w:rFonts w:ascii="Tahoma" w:hAnsi="Tahoma" w:cs="Tahoma"/>
          <w:sz w:val="20"/>
          <w:szCs w:val="20"/>
        </w:rPr>
      </w:pPr>
      <w:r w:rsidRPr="00812032">
        <w:rPr>
          <w:rFonts w:ascii="Tahoma" w:hAnsi="Tahoma" w:cs="Tahoma"/>
          <w:sz w:val="20"/>
          <w:szCs w:val="20"/>
        </w:rPr>
        <w:t>zajistit odpovědné osobě veškeré finanční, personální a technické zdroje pro výkon funkce pověřence</w:t>
      </w:r>
      <w:r w:rsidR="00363DFA" w:rsidRPr="00812032">
        <w:rPr>
          <w:rFonts w:ascii="Tahoma" w:hAnsi="Tahoma" w:cs="Tahoma"/>
          <w:sz w:val="20"/>
          <w:szCs w:val="20"/>
        </w:rPr>
        <w:t>;</w:t>
      </w:r>
    </w:p>
    <w:p w:rsidR="00363DFA" w:rsidRPr="00812032" w:rsidRDefault="00363DFA" w:rsidP="005B0078">
      <w:pPr>
        <w:numPr>
          <w:ilvl w:val="0"/>
          <w:numId w:val="8"/>
        </w:numPr>
        <w:suppressAutoHyphens/>
        <w:spacing w:after="120" w:line="300" w:lineRule="exact"/>
        <w:jc w:val="both"/>
        <w:rPr>
          <w:rFonts w:ascii="Tahoma" w:hAnsi="Tahoma" w:cs="Tahoma"/>
          <w:sz w:val="20"/>
          <w:szCs w:val="20"/>
        </w:rPr>
      </w:pPr>
      <w:r w:rsidRPr="00812032">
        <w:rPr>
          <w:rFonts w:ascii="Tahoma" w:hAnsi="Tahoma" w:cs="Tahoma"/>
          <w:sz w:val="20"/>
          <w:szCs w:val="20"/>
        </w:rPr>
        <w:t>plnit povinnosti na úseku kybernetické bezpečnosti a zabezpečení osobních údajů zpracovávaných prostřednictvím informačních technologií zaměstnanci interního IT oddělení Správce a zajistit spolupráci zaměstnanců IT oddělení s odpovědnou osobou.</w:t>
      </w:r>
    </w:p>
    <w:p w:rsidR="003542A1" w:rsidRPr="00812032" w:rsidRDefault="003542A1" w:rsidP="005B0078">
      <w:pPr>
        <w:numPr>
          <w:ilvl w:val="0"/>
          <w:numId w:val="14"/>
        </w:numPr>
        <w:suppressAutoHyphens/>
        <w:spacing w:after="120" w:line="300" w:lineRule="exact"/>
        <w:jc w:val="both"/>
        <w:rPr>
          <w:rFonts w:ascii="Tahoma" w:hAnsi="Tahoma" w:cs="Tahoma"/>
          <w:sz w:val="20"/>
          <w:szCs w:val="20"/>
        </w:rPr>
      </w:pPr>
      <w:r w:rsidRPr="00812032">
        <w:rPr>
          <w:rFonts w:ascii="Tahoma" w:hAnsi="Tahoma" w:cs="Tahoma"/>
          <w:sz w:val="20"/>
          <w:szCs w:val="20"/>
        </w:rPr>
        <w:t>U Správce působí zaměstnanec na pozici „Výkonný správce“, který je trvale nápomocen Advokátní kanceláři a odpovědné osobě při plnění úkolů pověřence pro ochranu osobních údajů.</w:t>
      </w:r>
    </w:p>
    <w:p w:rsidR="005B0078" w:rsidRPr="00812032" w:rsidRDefault="005B0078" w:rsidP="005B0078">
      <w:pPr>
        <w:numPr>
          <w:ilvl w:val="0"/>
          <w:numId w:val="14"/>
        </w:numPr>
        <w:suppressAutoHyphens/>
        <w:spacing w:after="120" w:line="300" w:lineRule="exact"/>
        <w:jc w:val="both"/>
        <w:rPr>
          <w:rFonts w:ascii="Tahoma" w:hAnsi="Tahoma" w:cs="Tahoma"/>
          <w:sz w:val="20"/>
          <w:szCs w:val="20"/>
        </w:rPr>
      </w:pPr>
      <w:r w:rsidRPr="00812032">
        <w:rPr>
          <w:rFonts w:ascii="Tahoma" w:hAnsi="Tahoma" w:cs="Tahoma"/>
          <w:sz w:val="20"/>
          <w:szCs w:val="20"/>
        </w:rPr>
        <w:t xml:space="preserve">Výčet povinností a kompetencí Advokátní kanceláře jako pověřence pro ochranu osobních údajů a povinností zaměstnanců Správce vůči Advokátní kanceláři je stanoven ve Směrnici správce o ochraně osobních údajů ze dne </w:t>
      </w:r>
      <w:proofErr w:type="gramStart"/>
      <w:r w:rsidR="00566113">
        <w:rPr>
          <w:rFonts w:ascii="Tahoma" w:hAnsi="Tahoma" w:cs="Tahoma"/>
          <w:sz w:val="20"/>
          <w:szCs w:val="20"/>
        </w:rPr>
        <w:t>1.</w:t>
      </w:r>
      <w:r w:rsidR="00566E67">
        <w:rPr>
          <w:rFonts w:ascii="Tahoma" w:hAnsi="Tahoma" w:cs="Tahoma"/>
          <w:sz w:val="20"/>
          <w:szCs w:val="20"/>
        </w:rPr>
        <w:t>12</w:t>
      </w:r>
      <w:r w:rsidR="00566113">
        <w:rPr>
          <w:rFonts w:ascii="Tahoma" w:hAnsi="Tahoma" w:cs="Tahoma"/>
          <w:sz w:val="20"/>
          <w:szCs w:val="20"/>
        </w:rPr>
        <w:t>.202</w:t>
      </w:r>
      <w:r w:rsidR="00566E67">
        <w:rPr>
          <w:rFonts w:ascii="Tahoma" w:hAnsi="Tahoma" w:cs="Tahoma"/>
          <w:sz w:val="20"/>
          <w:szCs w:val="20"/>
        </w:rPr>
        <w:t>5</w:t>
      </w:r>
      <w:proofErr w:type="gramEnd"/>
      <w:r w:rsidRPr="00812032">
        <w:rPr>
          <w:rFonts w:ascii="Tahoma" w:hAnsi="Tahoma" w:cs="Tahoma"/>
          <w:sz w:val="20"/>
          <w:szCs w:val="20"/>
        </w:rPr>
        <w:t>, s jejímž textem se Advokátní kancelář, včetně odpovědné osoby, seznámila. Správce i Advokátní kancelář se zavazují dodržovat povinnosti ve Směrnici uvedené.</w:t>
      </w:r>
    </w:p>
    <w:p w:rsidR="005B0078" w:rsidRPr="00812032" w:rsidRDefault="005B0078" w:rsidP="005B0078">
      <w:pPr>
        <w:suppressAutoHyphens/>
        <w:spacing w:after="120" w:line="300" w:lineRule="exact"/>
        <w:jc w:val="center"/>
        <w:rPr>
          <w:rFonts w:ascii="Tahoma" w:hAnsi="Tahoma" w:cs="Tahoma"/>
          <w:b/>
          <w:sz w:val="20"/>
          <w:szCs w:val="20"/>
        </w:rPr>
      </w:pPr>
    </w:p>
    <w:p w:rsidR="005B0078" w:rsidRPr="00812032" w:rsidRDefault="00156296" w:rsidP="005B0078">
      <w:pPr>
        <w:spacing w:after="120" w:line="300" w:lineRule="exact"/>
        <w:jc w:val="center"/>
        <w:rPr>
          <w:rFonts w:ascii="Tahoma" w:hAnsi="Tahoma" w:cs="Tahoma"/>
          <w:b/>
          <w:sz w:val="20"/>
          <w:szCs w:val="20"/>
        </w:rPr>
      </w:pPr>
      <w:r>
        <w:rPr>
          <w:rFonts w:ascii="Tahoma" w:hAnsi="Tahoma" w:cs="Tahoma"/>
          <w:b/>
          <w:sz w:val="20"/>
          <w:szCs w:val="20"/>
        </w:rPr>
        <w:br w:type="page"/>
      </w:r>
      <w:r w:rsidR="005B0078" w:rsidRPr="00812032">
        <w:rPr>
          <w:rFonts w:ascii="Tahoma" w:hAnsi="Tahoma" w:cs="Tahoma"/>
          <w:b/>
          <w:sz w:val="20"/>
          <w:szCs w:val="20"/>
        </w:rPr>
        <w:lastRenderedPageBreak/>
        <w:t xml:space="preserve">Čl. VII. </w:t>
      </w:r>
    </w:p>
    <w:p w:rsidR="005B0078" w:rsidRPr="00812032" w:rsidRDefault="005B0078" w:rsidP="005B0078">
      <w:pPr>
        <w:spacing w:after="120"/>
        <w:jc w:val="center"/>
        <w:rPr>
          <w:rFonts w:ascii="Tahoma" w:eastAsia="Calibri" w:hAnsi="Tahoma" w:cs="Tahoma"/>
          <w:b/>
          <w:bCs/>
          <w:sz w:val="20"/>
          <w:szCs w:val="20"/>
        </w:rPr>
      </w:pPr>
      <w:r w:rsidRPr="00812032">
        <w:rPr>
          <w:rFonts w:ascii="Tahoma" w:eastAsia="Calibri" w:hAnsi="Tahoma" w:cs="Tahoma"/>
          <w:b/>
          <w:bCs/>
          <w:sz w:val="20"/>
          <w:szCs w:val="20"/>
        </w:rPr>
        <w:t>Trvání a ukončení Smlouvy</w:t>
      </w:r>
    </w:p>
    <w:p w:rsidR="005B0078" w:rsidRPr="00812032" w:rsidRDefault="005B0078" w:rsidP="005B0078">
      <w:pPr>
        <w:numPr>
          <w:ilvl w:val="0"/>
          <w:numId w:val="12"/>
        </w:numPr>
        <w:spacing w:after="120" w:line="300" w:lineRule="exact"/>
        <w:ind w:left="714" w:hanging="357"/>
        <w:jc w:val="both"/>
        <w:rPr>
          <w:rFonts w:ascii="Tahoma" w:eastAsia="Calibri" w:hAnsi="Tahoma" w:cs="Tahoma"/>
          <w:sz w:val="20"/>
          <w:szCs w:val="20"/>
        </w:rPr>
      </w:pPr>
      <w:r w:rsidRPr="00812032">
        <w:rPr>
          <w:rFonts w:ascii="Tahoma" w:eastAsia="Calibri" w:hAnsi="Tahoma" w:cs="Tahoma"/>
          <w:sz w:val="20"/>
          <w:szCs w:val="20"/>
        </w:rPr>
        <w:t xml:space="preserve">Tato Smlouva se uzavírá na dobu </w:t>
      </w:r>
      <w:r w:rsidRPr="00216444">
        <w:rPr>
          <w:rFonts w:ascii="Tahoma" w:eastAsia="Calibri" w:hAnsi="Tahoma" w:cs="Tahoma"/>
          <w:sz w:val="20"/>
          <w:szCs w:val="20"/>
        </w:rPr>
        <w:t xml:space="preserve">od </w:t>
      </w:r>
      <w:proofErr w:type="gramStart"/>
      <w:r w:rsidRPr="00216444">
        <w:rPr>
          <w:rFonts w:ascii="Tahoma" w:eastAsia="Calibri" w:hAnsi="Tahoma" w:cs="Tahoma"/>
          <w:sz w:val="20"/>
          <w:szCs w:val="20"/>
        </w:rPr>
        <w:t>1.</w:t>
      </w:r>
      <w:r w:rsidR="002C6251">
        <w:rPr>
          <w:rFonts w:ascii="Tahoma" w:eastAsia="Calibri" w:hAnsi="Tahoma" w:cs="Tahoma"/>
          <w:sz w:val="20"/>
          <w:szCs w:val="20"/>
        </w:rPr>
        <w:t>6</w:t>
      </w:r>
      <w:r w:rsidRPr="00216444">
        <w:rPr>
          <w:rFonts w:ascii="Tahoma" w:eastAsia="Calibri" w:hAnsi="Tahoma" w:cs="Tahoma"/>
          <w:sz w:val="20"/>
          <w:szCs w:val="20"/>
        </w:rPr>
        <w:t>.202</w:t>
      </w:r>
      <w:r w:rsidR="00566E67">
        <w:rPr>
          <w:rFonts w:ascii="Tahoma" w:eastAsia="Calibri" w:hAnsi="Tahoma" w:cs="Tahoma"/>
          <w:sz w:val="20"/>
          <w:szCs w:val="20"/>
        </w:rPr>
        <w:t>6</w:t>
      </w:r>
      <w:proofErr w:type="gramEnd"/>
      <w:r w:rsidR="002C6251">
        <w:rPr>
          <w:rFonts w:ascii="Tahoma" w:eastAsia="Calibri" w:hAnsi="Tahoma" w:cs="Tahoma"/>
          <w:sz w:val="20"/>
          <w:szCs w:val="20"/>
        </w:rPr>
        <w:t xml:space="preserve"> do 31.5</w:t>
      </w:r>
      <w:r w:rsidRPr="00216444">
        <w:rPr>
          <w:rFonts w:ascii="Tahoma" w:eastAsia="Calibri" w:hAnsi="Tahoma" w:cs="Tahoma"/>
          <w:sz w:val="20"/>
          <w:szCs w:val="20"/>
        </w:rPr>
        <w:t>.202</w:t>
      </w:r>
      <w:r w:rsidR="00566E67">
        <w:rPr>
          <w:rFonts w:ascii="Tahoma" w:eastAsia="Calibri" w:hAnsi="Tahoma" w:cs="Tahoma"/>
          <w:sz w:val="20"/>
          <w:szCs w:val="20"/>
        </w:rPr>
        <w:t>7</w:t>
      </w:r>
      <w:r w:rsidRPr="00216444">
        <w:rPr>
          <w:rFonts w:ascii="Tahoma" w:eastAsia="Calibri" w:hAnsi="Tahoma" w:cs="Tahoma"/>
          <w:sz w:val="20"/>
          <w:szCs w:val="20"/>
        </w:rPr>
        <w:t>.</w:t>
      </w:r>
    </w:p>
    <w:p w:rsidR="005B0078" w:rsidRPr="00812032" w:rsidRDefault="005B0078" w:rsidP="005B0078">
      <w:pPr>
        <w:numPr>
          <w:ilvl w:val="0"/>
          <w:numId w:val="12"/>
        </w:numPr>
        <w:spacing w:after="120" w:line="300" w:lineRule="exact"/>
        <w:ind w:left="714" w:hanging="357"/>
        <w:jc w:val="both"/>
        <w:rPr>
          <w:rFonts w:ascii="Tahoma" w:hAnsi="Tahoma" w:cs="Tahoma"/>
          <w:b/>
          <w:sz w:val="20"/>
          <w:szCs w:val="20"/>
        </w:rPr>
      </w:pPr>
      <w:r w:rsidRPr="00812032">
        <w:rPr>
          <w:rFonts w:ascii="Tahoma" w:eastAsia="Calibri" w:hAnsi="Tahoma" w:cs="Tahoma"/>
          <w:sz w:val="20"/>
          <w:szCs w:val="20"/>
        </w:rPr>
        <w:t xml:space="preserve">Tuto Smlouvu je možné ukončit písemnou dohodou Smluvních stran či výpovědí podle odst. 3) tohoto článku. </w:t>
      </w:r>
      <w:r w:rsidRPr="00812032">
        <w:rPr>
          <w:rFonts w:ascii="Tahoma" w:hAnsi="Tahoma" w:cs="Tahoma"/>
          <w:sz w:val="20"/>
          <w:szCs w:val="20"/>
        </w:rPr>
        <w:t xml:space="preserve">Výpověď Smlouvy musí mít písemnou formu a musí být doručena druhé Smluvní straně; výpověď je možné doručovat i formou e-mailové zprávy. </w:t>
      </w:r>
    </w:p>
    <w:p w:rsidR="005B0078" w:rsidRPr="00812032" w:rsidRDefault="005B0078" w:rsidP="005B0078">
      <w:pPr>
        <w:numPr>
          <w:ilvl w:val="0"/>
          <w:numId w:val="12"/>
        </w:numPr>
        <w:spacing w:after="120" w:line="300" w:lineRule="exact"/>
        <w:ind w:left="714" w:hanging="357"/>
        <w:jc w:val="both"/>
        <w:rPr>
          <w:rFonts w:ascii="Tahoma" w:hAnsi="Tahoma" w:cs="Tahoma"/>
          <w:b/>
          <w:sz w:val="20"/>
          <w:szCs w:val="20"/>
        </w:rPr>
      </w:pPr>
      <w:r w:rsidRPr="00812032">
        <w:rPr>
          <w:rFonts w:ascii="Tahoma" w:eastAsia="Calibri" w:hAnsi="Tahoma" w:cs="Tahoma"/>
          <w:sz w:val="20"/>
          <w:szCs w:val="20"/>
        </w:rPr>
        <w:t xml:space="preserve">Advokátní kancelář i Správce jsou oprávněni vypovědět Smlouvu kdykoli bez udání důvodu. </w:t>
      </w:r>
      <w:r w:rsidRPr="00812032">
        <w:rPr>
          <w:rFonts w:ascii="Tahoma" w:hAnsi="Tahoma" w:cs="Tahoma"/>
          <w:sz w:val="20"/>
          <w:szCs w:val="20"/>
        </w:rPr>
        <w:t>Výpovědní doba se nesjednává, výpověď je účinná v okamžiku, kdy dojde k jejímu doručení druhé Smluvní straně. Advokátní kancelář je povinna po dobu 15 dnů ode dne, kdy Smlouva na základě výpovědi podle tohoto článku zanikne, činit veškeré neodkladné úkony tak, aby Správce neutrpěl na svých právech nebo oprávněných zájmech újmu. To neplatí, pokud Správce Advokátní kanceláři sdělí, že na splnění této povinnosti netrvá.</w:t>
      </w:r>
    </w:p>
    <w:p w:rsidR="005B0078" w:rsidRPr="00812032" w:rsidRDefault="005B0078" w:rsidP="005B0078">
      <w:pPr>
        <w:numPr>
          <w:ilvl w:val="0"/>
          <w:numId w:val="12"/>
        </w:numPr>
        <w:spacing w:after="120" w:line="300" w:lineRule="exact"/>
        <w:ind w:left="714" w:hanging="357"/>
        <w:jc w:val="both"/>
        <w:rPr>
          <w:rFonts w:ascii="Tahoma" w:hAnsi="Tahoma" w:cs="Tahoma"/>
          <w:sz w:val="20"/>
          <w:szCs w:val="20"/>
        </w:rPr>
      </w:pPr>
      <w:r w:rsidRPr="00812032">
        <w:rPr>
          <w:rFonts w:ascii="Tahoma" w:hAnsi="Tahoma" w:cs="Tahoma"/>
          <w:sz w:val="20"/>
          <w:szCs w:val="20"/>
        </w:rPr>
        <w:t xml:space="preserve">Smlouva nabývá účinnosti </w:t>
      </w:r>
      <w:r w:rsidRPr="00216444">
        <w:rPr>
          <w:rFonts w:ascii="Tahoma" w:hAnsi="Tahoma" w:cs="Tahoma"/>
          <w:sz w:val="20"/>
          <w:szCs w:val="20"/>
        </w:rPr>
        <w:t xml:space="preserve">dnem </w:t>
      </w:r>
      <w:proofErr w:type="gramStart"/>
      <w:r w:rsidRPr="00216444">
        <w:rPr>
          <w:rFonts w:ascii="Tahoma" w:hAnsi="Tahoma" w:cs="Tahoma"/>
          <w:sz w:val="20"/>
          <w:szCs w:val="20"/>
        </w:rPr>
        <w:t>1.</w:t>
      </w:r>
      <w:r w:rsidR="002643BD">
        <w:rPr>
          <w:rFonts w:ascii="Tahoma" w:hAnsi="Tahoma" w:cs="Tahoma"/>
          <w:sz w:val="20"/>
          <w:szCs w:val="20"/>
        </w:rPr>
        <w:t>6</w:t>
      </w:r>
      <w:r w:rsidRPr="00216444">
        <w:rPr>
          <w:rFonts w:ascii="Tahoma" w:hAnsi="Tahoma" w:cs="Tahoma"/>
          <w:sz w:val="20"/>
          <w:szCs w:val="20"/>
        </w:rPr>
        <w:t>.202</w:t>
      </w:r>
      <w:r w:rsidR="00566E67">
        <w:rPr>
          <w:rFonts w:ascii="Tahoma" w:hAnsi="Tahoma" w:cs="Tahoma"/>
          <w:sz w:val="20"/>
          <w:szCs w:val="20"/>
        </w:rPr>
        <w:t>6</w:t>
      </w:r>
      <w:proofErr w:type="gramEnd"/>
      <w:r w:rsidRPr="00812032">
        <w:rPr>
          <w:rFonts w:ascii="Tahoma" w:hAnsi="Tahoma" w:cs="Tahoma"/>
          <w:sz w:val="20"/>
          <w:szCs w:val="20"/>
        </w:rPr>
        <w:t xml:space="preserve"> za předpokladu, že byla uveřejněna před tímto datem v registru smluv zřízeného dle zákona č. 340/2015 Sb., o zvláštních podmínkách účinnosti některých smluv, uveřejňování těchto smluv a o registru smluv.</w:t>
      </w:r>
    </w:p>
    <w:p w:rsidR="005B0078" w:rsidRPr="00812032" w:rsidRDefault="005B0078" w:rsidP="005B0078">
      <w:pPr>
        <w:numPr>
          <w:ilvl w:val="0"/>
          <w:numId w:val="12"/>
        </w:numPr>
        <w:spacing w:after="120" w:line="300" w:lineRule="exact"/>
        <w:ind w:left="714" w:hanging="357"/>
        <w:jc w:val="both"/>
        <w:rPr>
          <w:rFonts w:ascii="Tahoma" w:hAnsi="Tahoma" w:cs="Tahoma"/>
          <w:sz w:val="20"/>
          <w:szCs w:val="20"/>
        </w:rPr>
      </w:pPr>
      <w:r w:rsidRPr="00812032">
        <w:rPr>
          <w:rFonts w:ascii="Tahoma" w:hAnsi="Tahoma" w:cs="Tahoma"/>
          <w:sz w:val="20"/>
          <w:szCs w:val="20"/>
        </w:rPr>
        <w:t>Tuto Smlouvu se zavazuje zveřejnit v registru smluv Správce, a to nejpozději do 30 dnů od jejího uzavření. Smluvní strany nepovažují žádné ustanovení této Smlouvy za obchodní tajemství.</w:t>
      </w:r>
    </w:p>
    <w:p w:rsidR="005B0078" w:rsidRPr="00812032" w:rsidRDefault="005B0078" w:rsidP="005B0078">
      <w:pPr>
        <w:spacing w:after="120" w:line="300" w:lineRule="exact"/>
        <w:jc w:val="center"/>
        <w:rPr>
          <w:rFonts w:ascii="Tahoma" w:hAnsi="Tahoma" w:cs="Tahoma"/>
          <w:b/>
          <w:sz w:val="20"/>
          <w:szCs w:val="20"/>
        </w:rPr>
      </w:pPr>
    </w:p>
    <w:p w:rsidR="005B0078" w:rsidRPr="00812032" w:rsidRDefault="005B0078" w:rsidP="005B0078">
      <w:pPr>
        <w:spacing w:after="120" w:line="300" w:lineRule="exact"/>
        <w:jc w:val="center"/>
        <w:rPr>
          <w:rFonts w:ascii="Tahoma" w:hAnsi="Tahoma" w:cs="Tahoma"/>
          <w:b/>
          <w:sz w:val="20"/>
          <w:szCs w:val="20"/>
        </w:rPr>
      </w:pPr>
      <w:r w:rsidRPr="00812032">
        <w:rPr>
          <w:rFonts w:ascii="Tahoma" w:hAnsi="Tahoma" w:cs="Tahoma"/>
          <w:b/>
          <w:sz w:val="20"/>
          <w:szCs w:val="20"/>
        </w:rPr>
        <w:t xml:space="preserve">Čl. VIII. </w:t>
      </w:r>
    </w:p>
    <w:p w:rsidR="005B0078" w:rsidRPr="00812032" w:rsidRDefault="005B0078" w:rsidP="005B0078">
      <w:pPr>
        <w:spacing w:after="120" w:line="300" w:lineRule="exact"/>
        <w:jc w:val="center"/>
        <w:rPr>
          <w:rFonts w:ascii="Tahoma" w:hAnsi="Tahoma" w:cs="Tahoma"/>
          <w:b/>
          <w:sz w:val="20"/>
          <w:szCs w:val="20"/>
        </w:rPr>
      </w:pPr>
      <w:r w:rsidRPr="00812032">
        <w:rPr>
          <w:rFonts w:ascii="Tahoma" w:hAnsi="Tahoma" w:cs="Tahoma"/>
          <w:b/>
          <w:sz w:val="20"/>
          <w:szCs w:val="20"/>
        </w:rPr>
        <w:t>Závěrečná ustanovení</w:t>
      </w:r>
    </w:p>
    <w:p w:rsidR="005B0078" w:rsidRPr="00812032" w:rsidRDefault="005B0078" w:rsidP="005B0078">
      <w:pPr>
        <w:numPr>
          <w:ilvl w:val="0"/>
          <w:numId w:val="10"/>
        </w:numPr>
        <w:suppressAutoHyphens/>
        <w:spacing w:after="120" w:line="300" w:lineRule="exact"/>
        <w:jc w:val="both"/>
        <w:rPr>
          <w:rFonts w:ascii="Tahoma" w:hAnsi="Tahoma" w:cs="Tahoma"/>
          <w:sz w:val="20"/>
          <w:szCs w:val="20"/>
        </w:rPr>
      </w:pPr>
      <w:r w:rsidRPr="00812032">
        <w:rPr>
          <w:rFonts w:ascii="Tahoma" w:hAnsi="Tahoma" w:cs="Tahoma"/>
          <w:sz w:val="20"/>
          <w:szCs w:val="20"/>
        </w:rPr>
        <w:t>Tato Smlouva je vyhotovena ve dvou stejnopisech, z nichž každá Smluvní strana obdrží jeden.</w:t>
      </w:r>
    </w:p>
    <w:p w:rsidR="005B0078" w:rsidRPr="00812032" w:rsidRDefault="005B0078" w:rsidP="005B0078">
      <w:pPr>
        <w:numPr>
          <w:ilvl w:val="0"/>
          <w:numId w:val="10"/>
        </w:numPr>
        <w:suppressAutoHyphens/>
        <w:spacing w:after="120" w:line="300" w:lineRule="exact"/>
        <w:jc w:val="both"/>
        <w:rPr>
          <w:rFonts w:ascii="Tahoma" w:hAnsi="Tahoma" w:cs="Tahoma"/>
          <w:sz w:val="20"/>
          <w:szCs w:val="20"/>
        </w:rPr>
      </w:pPr>
      <w:r w:rsidRPr="00812032">
        <w:rPr>
          <w:rFonts w:ascii="Tahoma" w:hAnsi="Tahoma" w:cs="Tahoma"/>
          <w:sz w:val="20"/>
          <w:szCs w:val="20"/>
        </w:rPr>
        <w:t xml:space="preserve">Tato Smlouva je uzavírána podle platného práva České republiky a v případě sporů bude rozhodným právem české právo. </w:t>
      </w:r>
    </w:p>
    <w:p w:rsidR="005B0078" w:rsidRPr="00812032" w:rsidRDefault="005B0078" w:rsidP="005B0078">
      <w:pPr>
        <w:numPr>
          <w:ilvl w:val="0"/>
          <w:numId w:val="10"/>
        </w:numPr>
        <w:suppressAutoHyphens/>
        <w:spacing w:after="120" w:line="300" w:lineRule="exact"/>
        <w:jc w:val="both"/>
        <w:rPr>
          <w:rFonts w:ascii="Tahoma" w:hAnsi="Tahoma" w:cs="Tahoma"/>
          <w:sz w:val="20"/>
          <w:szCs w:val="20"/>
        </w:rPr>
      </w:pPr>
      <w:r w:rsidRPr="00812032">
        <w:rPr>
          <w:rFonts w:ascii="Tahoma" w:hAnsi="Tahoma" w:cs="Tahoma"/>
          <w:sz w:val="20"/>
          <w:szCs w:val="20"/>
        </w:rPr>
        <w:t>Veškeré změny a dodatky této Smlouvy musí mít písemnou formu.</w:t>
      </w:r>
    </w:p>
    <w:p w:rsidR="005B0078" w:rsidRPr="00812032" w:rsidRDefault="005B0078" w:rsidP="005B0078">
      <w:pPr>
        <w:spacing w:after="120" w:line="300" w:lineRule="exact"/>
        <w:rPr>
          <w:rFonts w:ascii="Tahoma" w:hAnsi="Tahoma" w:cs="Tahoma"/>
          <w:sz w:val="20"/>
          <w:szCs w:val="20"/>
        </w:rPr>
      </w:pPr>
    </w:p>
    <w:tbl>
      <w:tblPr>
        <w:tblW w:w="0" w:type="auto"/>
        <w:tblLook w:val="04A0" w:firstRow="1" w:lastRow="0" w:firstColumn="1" w:lastColumn="0" w:noHBand="0" w:noVBand="1"/>
      </w:tblPr>
      <w:tblGrid>
        <w:gridCol w:w="4535"/>
        <w:gridCol w:w="4535"/>
      </w:tblGrid>
      <w:tr w:rsidR="005B0078" w:rsidRPr="00812032">
        <w:tc>
          <w:tcPr>
            <w:tcW w:w="4889" w:type="dxa"/>
            <w:shd w:val="clear" w:color="auto" w:fill="auto"/>
          </w:tcPr>
          <w:p w:rsidR="005B0078" w:rsidRPr="00812032" w:rsidRDefault="005B0078" w:rsidP="00566E67">
            <w:pPr>
              <w:spacing w:after="120" w:line="300" w:lineRule="exact"/>
              <w:jc w:val="center"/>
              <w:rPr>
                <w:rFonts w:ascii="Tahoma" w:hAnsi="Tahoma" w:cs="Tahoma"/>
                <w:sz w:val="20"/>
                <w:szCs w:val="20"/>
              </w:rPr>
            </w:pPr>
            <w:r w:rsidRPr="00812032">
              <w:rPr>
                <w:rFonts w:ascii="Tahoma" w:hAnsi="Tahoma" w:cs="Tahoma"/>
                <w:sz w:val="20"/>
                <w:szCs w:val="20"/>
              </w:rPr>
              <w:t>V</w:t>
            </w:r>
            <w:r w:rsidR="00BE0412">
              <w:rPr>
                <w:rFonts w:ascii="Tahoma" w:hAnsi="Tahoma" w:cs="Tahoma"/>
                <w:sz w:val="20"/>
                <w:szCs w:val="20"/>
              </w:rPr>
              <w:t xml:space="preserve"> </w:t>
            </w:r>
            <w:r w:rsidR="00566E67">
              <w:rPr>
                <w:rFonts w:ascii="Tahoma" w:hAnsi="Tahoma" w:cs="Tahoma"/>
                <w:sz w:val="20"/>
                <w:szCs w:val="20"/>
              </w:rPr>
              <w:t>Praze</w:t>
            </w:r>
            <w:r w:rsidRPr="00812032">
              <w:rPr>
                <w:rFonts w:ascii="Tahoma" w:hAnsi="Tahoma" w:cs="Tahoma"/>
                <w:sz w:val="20"/>
                <w:szCs w:val="20"/>
              </w:rPr>
              <w:t xml:space="preserve"> dne </w:t>
            </w:r>
            <w:proofErr w:type="gramStart"/>
            <w:r w:rsidR="00BE0412">
              <w:rPr>
                <w:rFonts w:ascii="Tahoma" w:hAnsi="Tahoma" w:cs="Tahoma"/>
                <w:sz w:val="20"/>
                <w:szCs w:val="20"/>
              </w:rPr>
              <w:t>2</w:t>
            </w:r>
            <w:r w:rsidR="00566E67">
              <w:rPr>
                <w:rFonts w:ascii="Tahoma" w:hAnsi="Tahoma" w:cs="Tahoma"/>
                <w:sz w:val="20"/>
                <w:szCs w:val="20"/>
              </w:rPr>
              <w:t>0</w:t>
            </w:r>
            <w:r w:rsidR="00BE0412">
              <w:rPr>
                <w:rFonts w:ascii="Tahoma" w:hAnsi="Tahoma" w:cs="Tahoma"/>
                <w:sz w:val="20"/>
                <w:szCs w:val="20"/>
              </w:rPr>
              <w:t>.</w:t>
            </w:r>
            <w:r w:rsidR="00566E67">
              <w:rPr>
                <w:rFonts w:ascii="Tahoma" w:hAnsi="Tahoma" w:cs="Tahoma"/>
                <w:sz w:val="20"/>
                <w:szCs w:val="20"/>
              </w:rPr>
              <w:t>4</w:t>
            </w:r>
            <w:r w:rsidR="00BE0412">
              <w:rPr>
                <w:rFonts w:ascii="Tahoma" w:hAnsi="Tahoma" w:cs="Tahoma"/>
                <w:sz w:val="20"/>
                <w:szCs w:val="20"/>
              </w:rPr>
              <w:t>.202</w:t>
            </w:r>
            <w:r w:rsidR="00566E67">
              <w:rPr>
                <w:rFonts w:ascii="Tahoma" w:hAnsi="Tahoma" w:cs="Tahoma"/>
                <w:sz w:val="20"/>
                <w:szCs w:val="20"/>
              </w:rPr>
              <w:t>6</w:t>
            </w:r>
            <w:proofErr w:type="gramEnd"/>
          </w:p>
        </w:tc>
        <w:tc>
          <w:tcPr>
            <w:tcW w:w="4889" w:type="dxa"/>
            <w:shd w:val="clear" w:color="auto" w:fill="auto"/>
          </w:tcPr>
          <w:p w:rsidR="005B0078" w:rsidRPr="00812032" w:rsidRDefault="005B0078" w:rsidP="00566E67">
            <w:pPr>
              <w:spacing w:after="120" w:line="300" w:lineRule="exact"/>
              <w:jc w:val="center"/>
              <w:rPr>
                <w:rFonts w:ascii="Tahoma" w:hAnsi="Tahoma" w:cs="Tahoma"/>
                <w:sz w:val="20"/>
                <w:szCs w:val="20"/>
              </w:rPr>
            </w:pPr>
            <w:r w:rsidRPr="00812032">
              <w:rPr>
                <w:rFonts w:ascii="Tahoma" w:hAnsi="Tahoma" w:cs="Tahoma"/>
                <w:sz w:val="20"/>
                <w:szCs w:val="20"/>
              </w:rPr>
              <w:t>V </w:t>
            </w:r>
            <w:r w:rsidR="002643BD">
              <w:rPr>
                <w:rFonts w:ascii="Tahoma" w:hAnsi="Tahoma" w:cs="Tahoma"/>
                <w:sz w:val="20"/>
                <w:szCs w:val="20"/>
              </w:rPr>
              <w:t>Ostravě</w:t>
            </w:r>
            <w:r w:rsidRPr="00812032">
              <w:rPr>
                <w:rFonts w:ascii="Tahoma" w:hAnsi="Tahoma" w:cs="Tahoma"/>
                <w:sz w:val="20"/>
                <w:szCs w:val="20"/>
              </w:rPr>
              <w:t xml:space="preserve"> dne</w:t>
            </w:r>
            <w:r w:rsidR="00BE0412">
              <w:rPr>
                <w:rFonts w:ascii="Tahoma" w:hAnsi="Tahoma" w:cs="Tahoma"/>
                <w:sz w:val="20"/>
                <w:szCs w:val="20"/>
              </w:rPr>
              <w:t xml:space="preserve"> </w:t>
            </w:r>
            <w:proofErr w:type="gramStart"/>
            <w:r w:rsidR="00566E67">
              <w:rPr>
                <w:rFonts w:ascii="Tahoma" w:hAnsi="Tahoma" w:cs="Tahoma"/>
                <w:sz w:val="20"/>
                <w:szCs w:val="20"/>
              </w:rPr>
              <w:t>1</w:t>
            </w:r>
            <w:r w:rsidR="00BE0412">
              <w:rPr>
                <w:rFonts w:ascii="Tahoma" w:hAnsi="Tahoma" w:cs="Tahoma"/>
                <w:sz w:val="20"/>
                <w:szCs w:val="20"/>
              </w:rPr>
              <w:t>.</w:t>
            </w:r>
            <w:r w:rsidR="00566E67">
              <w:rPr>
                <w:rFonts w:ascii="Tahoma" w:hAnsi="Tahoma" w:cs="Tahoma"/>
                <w:sz w:val="20"/>
                <w:szCs w:val="20"/>
              </w:rPr>
              <w:t>4</w:t>
            </w:r>
            <w:r w:rsidR="00BE0412">
              <w:rPr>
                <w:rFonts w:ascii="Tahoma" w:hAnsi="Tahoma" w:cs="Tahoma"/>
                <w:sz w:val="20"/>
                <w:szCs w:val="20"/>
              </w:rPr>
              <w:t>.202</w:t>
            </w:r>
            <w:r w:rsidR="00566E67">
              <w:rPr>
                <w:rFonts w:ascii="Tahoma" w:hAnsi="Tahoma" w:cs="Tahoma"/>
                <w:sz w:val="20"/>
                <w:szCs w:val="20"/>
              </w:rPr>
              <w:t>6</w:t>
            </w:r>
            <w:proofErr w:type="gramEnd"/>
          </w:p>
        </w:tc>
      </w:tr>
      <w:tr w:rsidR="005B0078" w:rsidRPr="00812032">
        <w:tc>
          <w:tcPr>
            <w:tcW w:w="4889" w:type="dxa"/>
            <w:shd w:val="clear" w:color="auto" w:fill="auto"/>
          </w:tcPr>
          <w:p w:rsidR="005B0078" w:rsidRPr="00812032" w:rsidRDefault="005B0078">
            <w:pPr>
              <w:spacing w:after="120" w:line="300" w:lineRule="exact"/>
              <w:jc w:val="center"/>
              <w:rPr>
                <w:rFonts w:ascii="Tahoma" w:hAnsi="Tahoma" w:cs="Tahoma"/>
                <w:sz w:val="20"/>
                <w:szCs w:val="20"/>
              </w:rPr>
            </w:pPr>
          </w:p>
          <w:p w:rsidR="005B0078" w:rsidRPr="00812032" w:rsidRDefault="00BE0412">
            <w:pPr>
              <w:spacing w:after="120" w:line="300" w:lineRule="exact"/>
              <w:jc w:val="center"/>
              <w:rPr>
                <w:rFonts w:ascii="Tahoma" w:hAnsi="Tahoma" w:cs="Tahoma"/>
                <w:sz w:val="20"/>
                <w:szCs w:val="20"/>
              </w:rPr>
            </w:pPr>
            <w:proofErr w:type="spellStart"/>
            <w:r>
              <w:rPr>
                <w:rFonts w:ascii="Tahoma" w:hAnsi="Tahoma" w:cs="Tahoma"/>
                <w:sz w:val="20"/>
                <w:szCs w:val="20"/>
              </w:rPr>
              <w:t>xxx</w:t>
            </w:r>
            <w:proofErr w:type="spellEnd"/>
          </w:p>
        </w:tc>
        <w:tc>
          <w:tcPr>
            <w:tcW w:w="4889" w:type="dxa"/>
            <w:shd w:val="clear" w:color="auto" w:fill="auto"/>
          </w:tcPr>
          <w:p w:rsidR="005B0078" w:rsidRDefault="005B0078">
            <w:pPr>
              <w:spacing w:after="120" w:line="300" w:lineRule="exact"/>
              <w:jc w:val="center"/>
              <w:rPr>
                <w:rFonts w:ascii="Tahoma" w:hAnsi="Tahoma" w:cs="Tahoma"/>
                <w:sz w:val="20"/>
                <w:szCs w:val="20"/>
              </w:rPr>
            </w:pPr>
          </w:p>
          <w:p w:rsidR="00BE0412" w:rsidRPr="00812032" w:rsidRDefault="00BE0412">
            <w:pPr>
              <w:spacing w:after="120" w:line="300" w:lineRule="exact"/>
              <w:jc w:val="center"/>
              <w:rPr>
                <w:rFonts w:ascii="Tahoma" w:hAnsi="Tahoma" w:cs="Tahoma"/>
                <w:sz w:val="20"/>
                <w:szCs w:val="20"/>
              </w:rPr>
            </w:pPr>
            <w:proofErr w:type="spellStart"/>
            <w:r>
              <w:rPr>
                <w:rFonts w:ascii="Tahoma" w:hAnsi="Tahoma" w:cs="Tahoma"/>
                <w:sz w:val="20"/>
                <w:szCs w:val="20"/>
              </w:rPr>
              <w:t>xxx</w:t>
            </w:r>
            <w:proofErr w:type="spellEnd"/>
          </w:p>
        </w:tc>
      </w:tr>
      <w:tr w:rsidR="005B0078" w:rsidRPr="00812032">
        <w:tc>
          <w:tcPr>
            <w:tcW w:w="4889" w:type="dxa"/>
            <w:shd w:val="clear" w:color="auto" w:fill="auto"/>
          </w:tcPr>
          <w:p w:rsidR="005B0078" w:rsidRPr="00812032" w:rsidRDefault="005B0078">
            <w:pPr>
              <w:spacing w:after="120" w:line="300" w:lineRule="exact"/>
              <w:jc w:val="center"/>
              <w:rPr>
                <w:rFonts w:ascii="Tahoma" w:hAnsi="Tahoma" w:cs="Tahoma"/>
                <w:sz w:val="20"/>
                <w:szCs w:val="20"/>
              </w:rPr>
            </w:pPr>
            <w:r w:rsidRPr="00812032">
              <w:rPr>
                <w:rFonts w:ascii="Tahoma" w:hAnsi="Tahoma" w:cs="Tahoma"/>
                <w:sz w:val="20"/>
                <w:szCs w:val="20"/>
              </w:rPr>
              <w:t>_____________________________________</w:t>
            </w:r>
          </w:p>
        </w:tc>
        <w:tc>
          <w:tcPr>
            <w:tcW w:w="4889" w:type="dxa"/>
            <w:shd w:val="clear" w:color="auto" w:fill="auto"/>
          </w:tcPr>
          <w:p w:rsidR="005B0078" w:rsidRPr="00812032" w:rsidRDefault="005B0078">
            <w:pPr>
              <w:spacing w:after="120" w:line="300" w:lineRule="exact"/>
              <w:jc w:val="center"/>
              <w:rPr>
                <w:rFonts w:ascii="Tahoma" w:hAnsi="Tahoma" w:cs="Tahoma"/>
                <w:sz w:val="20"/>
                <w:szCs w:val="20"/>
              </w:rPr>
            </w:pPr>
            <w:r w:rsidRPr="00812032">
              <w:rPr>
                <w:rFonts w:ascii="Tahoma" w:hAnsi="Tahoma" w:cs="Tahoma"/>
                <w:sz w:val="20"/>
                <w:szCs w:val="20"/>
              </w:rPr>
              <w:t>_____________________________________</w:t>
            </w:r>
          </w:p>
        </w:tc>
      </w:tr>
      <w:tr w:rsidR="005B0078" w:rsidRPr="00812032">
        <w:tc>
          <w:tcPr>
            <w:tcW w:w="4889" w:type="dxa"/>
            <w:shd w:val="clear" w:color="auto" w:fill="auto"/>
          </w:tcPr>
          <w:p w:rsidR="005B0078" w:rsidRPr="00812032" w:rsidRDefault="005B0078">
            <w:pPr>
              <w:spacing w:after="120" w:line="300" w:lineRule="exact"/>
              <w:jc w:val="center"/>
              <w:rPr>
                <w:rFonts w:ascii="Tahoma" w:hAnsi="Tahoma" w:cs="Tahoma"/>
                <w:b/>
                <w:sz w:val="20"/>
                <w:szCs w:val="20"/>
              </w:rPr>
            </w:pPr>
            <w:r w:rsidRPr="00812032">
              <w:rPr>
                <w:rFonts w:ascii="Tahoma" w:hAnsi="Tahoma" w:cs="Tahoma"/>
                <w:b/>
                <w:sz w:val="20"/>
                <w:szCs w:val="20"/>
              </w:rPr>
              <w:t>Rada &amp; Partner advokátní kancelář, s.r.o.</w:t>
            </w:r>
          </w:p>
          <w:p w:rsidR="005B0078" w:rsidRPr="00812032" w:rsidRDefault="00BE0412">
            <w:pPr>
              <w:spacing w:after="120" w:line="300" w:lineRule="exact"/>
              <w:jc w:val="center"/>
              <w:rPr>
                <w:rFonts w:ascii="Tahoma" w:hAnsi="Tahoma" w:cs="Tahoma"/>
                <w:sz w:val="20"/>
                <w:szCs w:val="20"/>
              </w:rPr>
            </w:pPr>
            <w:proofErr w:type="spellStart"/>
            <w:r>
              <w:rPr>
                <w:rFonts w:ascii="Tahoma" w:hAnsi="Tahoma" w:cs="Tahoma"/>
                <w:sz w:val="20"/>
                <w:szCs w:val="20"/>
              </w:rPr>
              <w:t>xxx</w:t>
            </w:r>
            <w:proofErr w:type="spellEnd"/>
          </w:p>
          <w:p w:rsidR="005B0078" w:rsidRPr="00812032" w:rsidRDefault="005B0078">
            <w:pPr>
              <w:spacing w:after="120" w:line="300" w:lineRule="exact"/>
              <w:jc w:val="center"/>
              <w:rPr>
                <w:rFonts w:ascii="Tahoma" w:hAnsi="Tahoma" w:cs="Tahoma"/>
                <w:sz w:val="20"/>
                <w:szCs w:val="20"/>
              </w:rPr>
            </w:pPr>
          </w:p>
        </w:tc>
        <w:tc>
          <w:tcPr>
            <w:tcW w:w="4889" w:type="dxa"/>
            <w:shd w:val="clear" w:color="auto" w:fill="auto"/>
          </w:tcPr>
          <w:p w:rsidR="005B0078" w:rsidRPr="00812032" w:rsidRDefault="005B0078">
            <w:pPr>
              <w:spacing w:after="120" w:line="300" w:lineRule="exact"/>
              <w:ind w:right="68"/>
              <w:jc w:val="center"/>
              <w:rPr>
                <w:rFonts w:ascii="Tahoma" w:hAnsi="Tahoma" w:cs="Tahoma"/>
                <w:b/>
                <w:sz w:val="20"/>
                <w:szCs w:val="20"/>
              </w:rPr>
            </w:pPr>
            <w:r w:rsidRPr="00812032">
              <w:rPr>
                <w:rFonts w:ascii="Tahoma" w:hAnsi="Tahoma" w:cs="Tahoma"/>
                <w:b/>
                <w:sz w:val="20"/>
                <w:szCs w:val="20"/>
              </w:rPr>
              <w:t>Povodí Odry, státní podnik</w:t>
            </w:r>
          </w:p>
          <w:p w:rsidR="005B0078" w:rsidRPr="00812032" w:rsidRDefault="00566E67">
            <w:pPr>
              <w:spacing w:after="120" w:line="300" w:lineRule="exact"/>
              <w:jc w:val="center"/>
              <w:rPr>
                <w:rFonts w:ascii="Tahoma" w:hAnsi="Tahoma" w:cs="Tahoma"/>
                <w:sz w:val="20"/>
                <w:szCs w:val="20"/>
              </w:rPr>
            </w:pPr>
            <w:r>
              <w:rPr>
                <w:rFonts w:ascii="Tahoma" w:hAnsi="Tahoma" w:cs="Tahoma"/>
                <w:sz w:val="20"/>
                <w:szCs w:val="20"/>
              </w:rPr>
              <w:t>xxx</w:t>
            </w:r>
            <w:bookmarkStart w:id="0" w:name="_GoBack"/>
            <w:bookmarkEnd w:id="0"/>
          </w:p>
        </w:tc>
      </w:tr>
    </w:tbl>
    <w:p w:rsidR="00A05F11" w:rsidRPr="00812032" w:rsidRDefault="00A05F11" w:rsidP="00080463">
      <w:pPr>
        <w:spacing w:after="120" w:line="300" w:lineRule="exact"/>
        <w:rPr>
          <w:rFonts w:ascii="Tahoma" w:hAnsi="Tahoma" w:cs="Tahoma"/>
          <w:sz w:val="20"/>
          <w:szCs w:val="20"/>
        </w:rPr>
        <w:sectPr w:rsidR="00A05F11" w:rsidRPr="00812032" w:rsidSect="005B0078">
          <w:footerReference w:type="default" r:id="rId7"/>
          <w:headerReference w:type="first" r:id="rId8"/>
          <w:footerReference w:type="first" r:id="rId9"/>
          <w:pgSz w:w="11906" w:h="16838"/>
          <w:pgMar w:top="1276" w:right="1418" w:bottom="2268" w:left="1418" w:header="709" w:footer="709" w:gutter="0"/>
          <w:cols w:space="708"/>
          <w:titlePg/>
          <w:docGrid w:linePitch="360"/>
        </w:sectPr>
      </w:pPr>
    </w:p>
    <w:p w:rsidR="00080463" w:rsidRPr="00812032" w:rsidRDefault="00080463" w:rsidP="00A05F11">
      <w:pPr>
        <w:tabs>
          <w:tab w:val="left" w:pos="6372"/>
        </w:tabs>
        <w:rPr>
          <w:rFonts w:ascii="Tahoma" w:hAnsi="Tahoma" w:cs="Tahoma"/>
          <w:sz w:val="20"/>
          <w:szCs w:val="20"/>
        </w:rPr>
      </w:pPr>
    </w:p>
    <w:sectPr w:rsidR="00080463" w:rsidRPr="00812032" w:rsidSect="0073715F">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7E4" w:rsidRDefault="00E527E4">
      <w:r>
        <w:separator/>
      </w:r>
    </w:p>
  </w:endnote>
  <w:endnote w:type="continuationSeparator" w:id="0">
    <w:p w:rsidR="00E527E4" w:rsidRDefault="00E52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iveau Grotesk Light">
    <w:panose1 w:val="00000000000000000000"/>
    <w:charset w:val="00"/>
    <w:family w:val="modern"/>
    <w:notTrueType/>
    <w:pitch w:val="variable"/>
    <w:sig w:usb0="A00000AF" w:usb1="5000207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A6F" w:rsidRPr="00255A6F" w:rsidRDefault="00255A6F" w:rsidP="00AC0C41">
    <w:pPr>
      <w:pStyle w:val="Zpat"/>
      <w:jc w:val="right"/>
      <w:rPr>
        <w:rFonts w:ascii="Arial" w:hAnsi="Arial" w:cs="Arial"/>
        <w:sz w:val="20"/>
        <w:szCs w:val="20"/>
      </w:rPr>
    </w:pPr>
    <w:r w:rsidRPr="00255A6F">
      <w:rPr>
        <w:rFonts w:ascii="Arial" w:hAnsi="Arial" w:cs="Arial"/>
        <w:sz w:val="20"/>
        <w:szCs w:val="20"/>
      </w:rPr>
      <w:fldChar w:fldCharType="begin"/>
    </w:r>
    <w:r w:rsidRPr="00255A6F">
      <w:rPr>
        <w:rFonts w:ascii="Arial" w:hAnsi="Arial" w:cs="Arial"/>
        <w:sz w:val="20"/>
        <w:szCs w:val="20"/>
      </w:rPr>
      <w:instrText>PAGE   \* MERGEFORMAT</w:instrText>
    </w:r>
    <w:r w:rsidRPr="00255A6F">
      <w:rPr>
        <w:rFonts w:ascii="Arial" w:hAnsi="Arial" w:cs="Arial"/>
        <w:sz w:val="20"/>
        <w:szCs w:val="20"/>
      </w:rPr>
      <w:fldChar w:fldCharType="separate"/>
    </w:r>
    <w:r w:rsidR="00566E67">
      <w:rPr>
        <w:rFonts w:ascii="Arial" w:hAnsi="Arial" w:cs="Arial"/>
        <w:noProof/>
        <w:sz w:val="20"/>
        <w:szCs w:val="20"/>
      </w:rPr>
      <w:t>5</w:t>
    </w:r>
    <w:r w:rsidRPr="00255A6F">
      <w:rPr>
        <w:rFonts w:ascii="Arial" w:hAnsi="Arial" w:cs="Arial"/>
        <w:sz w:val="20"/>
        <w:szCs w:val="20"/>
      </w:rPr>
      <w:fldChar w:fldCharType="end"/>
    </w:r>
  </w:p>
  <w:p w:rsidR="00255A6F" w:rsidRDefault="00255A6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AE2" w:rsidRDefault="002643BD" w:rsidP="00583AE2">
    <w:pPr>
      <w:pStyle w:val="Zpat"/>
      <w:tabs>
        <w:tab w:val="clear" w:pos="4536"/>
        <w:tab w:val="clear" w:pos="9072"/>
        <w:tab w:val="left" w:pos="2850"/>
      </w:tabs>
    </w:pPr>
    <w:r>
      <w:rPr>
        <w:noProof/>
      </w:rPr>
      <w:drawing>
        <wp:anchor distT="0" distB="0" distL="114300" distR="114300" simplePos="0" relativeHeight="251658240" behindDoc="1" locked="0" layoutInCell="1" allowOverlap="1">
          <wp:simplePos x="0" y="0"/>
          <wp:positionH relativeFrom="column">
            <wp:posOffset>-925830</wp:posOffset>
          </wp:positionH>
          <wp:positionV relativeFrom="paragraph">
            <wp:posOffset>-1257300</wp:posOffset>
          </wp:positionV>
          <wp:extent cx="7610475" cy="1885950"/>
          <wp:effectExtent l="0" t="0" r="0" b="0"/>
          <wp:wrapNone/>
          <wp:docPr id="4"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0475" cy="18859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7E4" w:rsidRDefault="00E527E4">
      <w:r>
        <w:separator/>
      </w:r>
    </w:p>
  </w:footnote>
  <w:footnote w:type="continuationSeparator" w:id="0">
    <w:p w:rsidR="00E527E4" w:rsidRDefault="00E52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C9E" w:rsidRDefault="002643BD">
    <w:pPr>
      <w:pStyle w:val="Zhlav"/>
    </w:pPr>
    <w:r>
      <w:rPr>
        <w:noProof/>
      </w:rPr>
      <w:drawing>
        <wp:anchor distT="0" distB="0" distL="114300" distR="114300" simplePos="0" relativeHeight="251657216" behindDoc="1" locked="1" layoutInCell="1" allowOverlap="0">
          <wp:simplePos x="0" y="0"/>
          <wp:positionH relativeFrom="page">
            <wp:posOffset>-6350</wp:posOffset>
          </wp:positionH>
          <wp:positionV relativeFrom="page">
            <wp:posOffset>0</wp:posOffset>
          </wp:positionV>
          <wp:extent cx="7567295" cy="1785620"/>
          <wp:effectExtent l="0" t="0" r="0" b="0"/>
          <wp:wrapTopAndBottom/>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95" cy="1785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E67A6"/>
    <w:multiLevelType w:val="hybridMultilevel"/>
    <w:tmpl w:val="D1240216"/>
    <w:lvl w:ilvl="0" w:tplc="34A04F70">
      <w:start w:val="110"/>
      <w:numFmt w:val="bullet"/>
      <w:lvlText w:val="-"/>
      <w:lvlJc w:val="left"/>
      <w:pPr>
        <w:ind w:left="720" w:hanging="360"/>
      </w:pPr>
      <w:rPr>
        <w:rFonts w:ascii="Niveau Grotesk Light" w:eastAsia="Times New Roman" w:hAnsi="Niveau Grotesk Light"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D5E5F23"/>
    <w:multiLevelType w:val="hybridMultilevel"/>
    <w:tmpl w:val="08AE782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20F21AA"/>
    <w:multiLevelType w:val="hybridMultilevel"/>
    <w:tmpl w:val="7B7E253C"/>
    <w:styleLink w:val="ImportedStyle6"/>
    <w:lvl w:ilvl="0" w:tplc="CADCCE58">
      <w:start w:val="1"/>
      <w:numFmt w:val="decimal"/>
      <w:lvlText w:val="%1)"/>
      <w:lvlJc w:val="left"/>
      <w:pPr>
        <w:ind w:left="6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39AEBFE">
      <w:start w:val="1"/>
      <w:numFmt w:val="lowerLetter"/>
      <w:lvlText w:val="%2."/>
      <w:lvlJc w:val="left"/>
      <w:pPr>
        <w:ind w:left="13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0C674B6">
      <w:start w:val="1"/>
      <w:numFmt w:val="lowerRoman"/>
      <w:lvlText w:val="%3."/>
      <w:lvlJc w:val="left"/>
      <w:pPr>
        <w:ind w:left="210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852195C">
      <w:start w:val="1"/>
      <w:numFmt w:val="decimal"/>
      <w:lvlText w:val="%4."/>
      <w:lvlJc w:val="left"/>
      <w:pPr>
        <w:ind w:left="28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33ECFAE">
      <w:start w:val="1"/>
      <w:numFmt w:val="lowerLetter"/>
      <w:lvlText w:val="%5."/>
      <w:lvlJc w:val="left"/>
      <w:pPr>
        <w:ind w:left="35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FA04C26">
      <w:start w:val="1"/>
      <w:numFmt w:val="lowerRoman"/>
      <w:lvlText w:val="%6."/>
      <w:lvlJc w:val="left"/>
      <w:pPr>
        <w:ind w:left="4248" w:hanging="2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308979A">
      <w:start w:val="1"/>
      <w:numFmt w:val="decimal"/>
      <w:lvlText w:val="%7."/>
      <w:lvlJc w:val="left"/>
      <w:pPr>
        <w:ind w:left="4956" w:hanging="3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B85178">
      <w:start w:val="1"/>
      <w:numFmt w:val="lowerLetter"/>
      <w:lvlText w:val="%8."/>
      <w:lvlJc w:val="left"/>
      <w:pPr>
        <w:ind w:left="5664" w:hanging="3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A8FA98">
      <w:start w:val="1"/>
      <w:numFmt w:val="lowerRoman"/>
      <w:lvlText w:val="%9."/>
      <w:lvlJc w:val="left"/>
      <w:pPr>
        <w:ind w:left="6372" w:hanging="2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321B779B"/>
    <w:multiLevelType w:val="hybridMultilevel"/>
    <w:tmpl w:val="8A845EB4"/>
    <w:lvl w:ilvl="0" w:tplc="8F148D06">
      <w:start w:val="110"/>
      <w:numFmt w:val="bullet"/>
      <w:lvlText w:val="-"/>
      <w:lvlJc w:val="left"/>
      <w:pPr>
        <w:ind w:left="720" w:hanging="360"/>
      </w:pPr>
      <w:rPr>
        <w:rFonts w:ascii="Niveau Grotesk Light" w:eastAsia="Times New Roman" w:hAnsi="Niveau Grotesk Light"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66447AC"/>
    <w:multiLevelType w:val="hybridMultilevel"/>
    <w:tmpl w:val="216C94AA"/>
    <w:lvl w:ilvl="0" w:tplc="4E625C9C">
      <w:start w:val="1"/>
      <w:numFmt w:val="decimal"/>
      <w:lvlText w:val="%1)"/>
      <w:lvlJc w:val="left"/>
      <w:pPr>
        <w:ind w:left="660" w:hanging="360"/>
      </w:pPr>
      <w:rPr>
        <w:rFonts w:hint="default"/>
      </w:rPr>
    </w:lvl>
    <w:lvl w:ilvl="1" w:tplc="04050019" w:tentative="1">
      <w:start w:val="1"/>
      <w:numFmt w:val="lowerLetter"/>
      <w:lvlText w:val="%2."/>
      <w:lvlJc w:val="left"/>
      <w:pPr>
        <w:ind w:left="1380" w:hanging="360"/>
      </w:pPr>
    </w:lvl>
    <w:lvl w:ilvl="2" w:tplc="0405001B" w:tentative="1">
      <w:start w:val="1"/>
      <w:numFmt w:val="lowerRoman"/>
      <w:lvlText w:val="%3."/>
      <w:lvlJc w:val="right"/>
      <w:pPr>
        <w:ind w:left="2100" w:hanging="180"/>
      </w:pPr>
    </w:lvl>
    <w:lvl w:ilvl="3" w:tplc="0405000F" w:tentative="1">
      <w:start w:val="1"/>
      <w:numFmt w:val="decimal"/>
      <w:lvlText w:val="%4."/>
      <w:lvlJc w:val="left"/>
      <w:pPr>
        <w:ind w:left="2820" w:hanging="360"/>
      </w:pPr>
    </w:lvl>
    <w:lvl w:ilvl="4" w:tplc="04050019" w:tentative="1">
      <w:start w:val="1"/>
      <w:numFmt w:val="lowerLetter"/>
      <w:lvlText w:val="%5."/>
      <w:lvlJc w:val="left"/>
      <w:pPr>
        <w:ind w:left="3540" w:hanging="360"/>
      </w:pPr>
    </w:lvl>
    <w:lvl w:ilvl="5" w:tplc="0405001B" w:tentative="1">
      <w:start w:val="1"/>
      <w:numFmt w:val="lowerRoman"/>
      <w:lvlText w:val="%6."/>
      <w:lvlJc w:val="right"/>
      <w:pPr>
        <w:ind w:left="4260" w:hanging="180"/>
      </w:pPr>
    </w:lvl>
    <w:lvl w:ilvl="6" w:tplc="0405000F" w:tentative="1">
      <w:start w:val="1"/>
      <w:numFmt w:val="decimal"/>
      <w:lvlText w:val="%7."/>
      <w:lvlJc w:val="left"/>
      <w:pPr>
        <w:ind w:left="4980" w:hanging="360"/>
      </w:pPr>
    </w:lvl>
    <w:lvl w:ilvl="7" w:tplc="04050019" w:tentative="1">
      <w:start w:val="1"/>
      <w:numFmt w:val="lowerLetter"/>
      <w:lvlText w:val="%8."/>
      <w:lvlJc w:val="left"/>
      <w:pPr>
        <w:ind w:left="5700" w:hanging="360"/>
      </w:pPr>
    </w:lvl>
    <w:lvl w:ilvl="8" w:tplc="0405001B" w:tentative="1">
      <w:start w:val="1"/>
      <w:numFmt w:val="lowerRoman"/>
      <w:lvlText w:val="%9."/>
      <w:lvlJc w:val="right"/>
      <w:pPr>
        <w:ind w:left="6420" w:hanging="180"/>
      </w:pPr>
    </w:lvl>
  </w:abstractNum>
  <w:abstractNum w:abstractNumId="5" w15:restartNumberingAfterBreak="0">
    <w:nsid w:val="3B392841"/>
    <w:multiLevelType w:val="hybridMultilevel"/>
    <w:tmpl w:val="7B7E253C"/>
    <w:numStyleLink w:val="ImportedStyle6"/>
  </w:abstractNum>
  <w:abstractNum w:abstractNumId="6" w15:restartNumberingAfterBreak="0">
    <w:nsid w:val="48080B9F"/>
    <w:multiLevelType w:val="hybridMultilevel"/>
    <w:tmpl w:val="6860B02A"/>
    <w:lvl w:ilvl="0" w:tplc="04070011">
      <w:start w:val="1"/>
      <w:numFmt w:val="decimal"/>
      <w:lvlText w:val="%1)"/>
      <w:lvlJc w:val="left"/>
      <w:pPr>
        <w:ind w:left="644" w:hanging="360"/>
      </w:pPr>
      <w:rPr>
        <w:rFonts w:hint="default"/>
      </w:rPr>
    </w:lvl>
    <w:lvl w:ilvl="1" w:tplc="04070019" w:tentative="1">
      <w:start w:val="1"/>
      <w:numFmt w:val="lowerLetter"/>
      <w:lvlText w:val="%2."/>
      <w:lvlJc w:val="left"/>
      <w:pPr>
        <w:ind w:left="1221" w:hanging="360"/>
      </w:pPr>
    </w:lvl>
    <w:lvl w:ilvl="2" w:tplc="0407001B" w:tentative="1">
      <w:start w:val="1"/>
      <w:numFmt w:val="lowerRoman"/>
      <w:lvlText w:val="%3."/>
      <w:lvlJc w:val="right"/>
      <w:pPr>
        <w:ind w:left="1941" w:hanging="180"/>
      </w:pPr>
    </w:lvl>
    <w:lvl w:ilvl="3" w:tplc="0407000F" w:tentative="1">
      <w:start w:val="1"/>
      <w:numFmt w:val="decimal"/>
      <w:lvlText w:val="%4."/>
      <w:lvlJc w:val="left"/>
      <w:pPr>
        <w:ind w:left="2661" w:hanging="360"/>
      </w:pPr>
    </w:lvl>
    <w:lvl w:ilvl="4" w:tplc="04070019" w:tentative="1">
      <w:start w:val="1"/>
      <w:numFmt w:val="lowerLetter"/>
      <w:lvlText w:val="%5."/>
      <w:lvlJc w:val="left"/>
      <w:pPr>
        <w:ind w:left="3381" w:hanging="360"/>
      </w:pPr>
    </w:lvl>
    <w:lvl w:ilvl="5" w:tplc="0407001B" w:tentative="1">
      <w:start w:val="1"/>
      <w:numFmt w:val="lowerRoman"/>
      <w:lvlText w:val="%6."/>
      <w:lvlJc w:val="right"/>
      <w:pPr>
        <w:ind w:left="4101" w:hanging="180"/>
      </w:pPr>
    </w:lvl>
    <w:lvl w:ilvl="6" w:tplc="0407000F" w:tentative="1">
      <w:start w:val="1"/>
      <w:numFmt w:val="decimal"/>
      <w:lvlText w:val="%7."/>
      <w:lvlJc w:val="left"/>
      <w:pPr>
        <w:ind w:left="4821" w:hanging="360"/>
      </w:pPr>
    </w:lvl>
    <w:lvl w:ilvl="7" w:tplc="04070019" w:tentative="1">
      <w:start w:val="1"/>
      <w:numFmt w:val="lowerLetter"/>
      <w:lvlText w:val="%8."/>
      <w:lvlJc w:val="left"/>
      <w:pPr>
        <w:ind w:left="5541" w:hanging="360"/>
      </w:pPr>
    </w:lvl>
    <w:lvl w:ilvl="8" w:tplc="0407001B" w:tentative="1">
      <w:start w:val="1"/>
      <w:numFmt w:val="lowerRoman"/>
      <w:lvlText w:val="%9."/>
      <w:lvlJc w:val="right"/>
      <w:pPr>
        <w:ind w:left="6261" w:hanging="180"/>
      </w:pPr>
    </w:lvl>
  </w:abstractNum>
  <w:abstractNum w:abstractNumId="7" w15:restartNumberingAfterBreak="0">
    <w:nsid w:val="4EB536C6"/>
    <w:multiLevelType w:val="hybridMultilevel"/>
    <w:tmpl w:val="204A1EEC"/>
    <w:lvl w:ilvl="0" w:tplc="EDC674F4">
      <w:start w:val="110"/>
      <w:numFmt w:val="bullet"/>
      <w:lvlText w:val="-"/>
      <w:lvlJc w:val="left"/>
      <w:pPr>
        <w:ind w:left="720" w:hanging="360"/>
      </w:pPr>
      <w:rPr>
        <w:rFonts w:ascii="Niveau Grotesk Light" w:eastAsia="Times New Roman" w:hAnsi="Niveau Grotesk Light"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E5F35B4"/>
    <w:multiLevelType w:val="hybridMultilevel"/>
    <w:tmpl w:val="A0F674B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1B0726E"/>
    <w:multiLevelType w:val="hybridMultilevel"/>
    <w:tmpl w:val="7C00ADEA"/>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581" w:hanging="360"/>
      </w:pPr>
    </w:lvl>
    <w:lvl w:ilvl="2" w:tplc="0407001B" w:tentative="1">
      <w:start w:val="1"/>
      <w:numFmt w:val="lowerRoman"/>
      <w:lvlText w:val="%3."/>
      <w:lvlJc w:val="right"/>
      <w:pPr>
        <w:ind w:left="2301" w:hanging="180"/>
      </w:pPr>
    </w:lvl>
    <w:lvl w:ilvl="3" w:tplc="0407000F" w:tentative="1">
      <w:start w:val="1"/>
      <w:numFmt w:val="decimal"/>
      <w:lvlText w:val="%4."/>
      <w:lvlJc w:val="left"/>
      <w:pPr>
        <w:ind w:left="3021" w:hanging="360"/>
      </w:pPr>
    </w:lvl>
    <w:lvl w:ilvl="4" w:tplc="04070019" w:tentative="1">
      <w:start w:val="1"/>
      <w:numFmt w:val="lowerLetter"/>
      <w:lvlText w:val="%5."/>
      <w:lvlJc w:val="left"/>
      <w:pPr>
        <w:ind w:left="3741" w:hanging="360"/>
      </w:pPr>
    </w:lvl>
    <w:lvl w:ilvl="5" w:tplc="0407001B" w:tentative="1">
      <w:start w:val="1"/>
      <w:numFmt w:val="lowerRoman"/>
      <w:lvlText w:val="%6."/>
      <w:lvlJc w:val="right"/>
      <w:pPr>
        <w:ind w:left="4461" w:hanging="180"/>
      </w:pPr>
    </w:lvl>
    <w:lvl w:ilvl="6" w:tplc="0407000F" w:tentative="1">
      <w:start w:val="1"/>
      <w:numFmt w:val="decimal"/>
      <w:lvlText w:val="%7."/>
      <w:lvlJc w:val="left"/>
      <w:pPr>
        <w:ind w:left="5181" w:hanging="360"/>
      </w:pPr>
    </w:lvl>
    <w:lvl w:ilvl="7" w:tplc="04070019" w:tentative="1">
      <w:start w:val="1"/>
      <w:numFmt w:val="lowerLetter"/>
      <w:lvlText w:val="%8."/>
      <w:lvlJc w:val="left"/>
      <w:pPr>
        <w:ind w:left="5901" w:hanging="360"/>
      </w:pPr>
    </w:lvl>
    <w:lvl w:ilvl="8" w:tplc="0407001B" w:tentative="1">
      <w:start w:val="1"/>
      <w:numFmt w:val="lowerRoman"/>
      <w:lvlText w:val="%9."/>
      <w:lvlJc w:val="right"/>
      <w:pPr>
        <w:ind w:left="6621" w:hanging="180"/>
      </w:pPr>
    </w:lvl>
  </w:abstractNum>
  <w:abstractNum w:abstractNumId="10" w15:restartNumberingAfterBreak="0">
    <w:nsid w:val="644B68D5"/>
    <w:multiLevelType w:val="hybridMultilevel"/>
    <w:tmpl w:val="44A6EDE2"/>
    <w:lvl w:ilvl="0" w:tplc="04050011">
      <w:start w:val="1"/>
      <w:numFmt w:val="decimal"/>
      <w:lvlText w:val="%1)"/>
      <w:lvlJc w:val="left"/>
      <w:pPr>
        <w:ind w:left="660" w:hanging="360"/>
      </w:pPr>
    </w:lvl>
    <w:lvl w:ilvl="1" w:tplc="04070019" w:tentative="1">
      <w:start w:val="1"/>
      <w:numFmt w:val="lowerLetter"/>
      <w:lvlText w:val="%2."/>
      <w:lvlJc w:val="left"/>
      <w:pPr>
        <w:ind w:left="1380" w:hanging="360"/>
      </w:pPr>
    </w:lvl>
    <w:lvl w:ilvl="2" w:tplc="0407001B" w:tentative="1">
      <w:start w:val="1"/>
      <w:numFmt w:val="lowerRoman"/>
      <w:lvlText w:val="%3."/>
      <w:lvlJc w:val="right"/>
      <w:pPr>
        <w:ind w:left="2100" w:hanging="180"/>
      </w:pPr>
    </w:lvl>
    <w:lvl w:ilvl="3" w:tplc="0407000F" w:tentative="1">
      <w:start w:val="1"/>
      <w:numFmt w:val="decimal"/>
      <w:lvlText w:val="%4."/>
      <w:lvlJc w:val="left"/>
      <w:pPr>
        <w:ind w:left="2820" w:hanging="360"/>
      </w:pPr>
    </w:lvl>
    <w:lvl w:ilvl="4" w:tplc="04070019" w:tentative="1">
      <w:start w:val="1"/>
      <w:numFmt w:val="lowerLetter"/>
      <w:lvlText w:val="%5."/>
      <w:lvlJc w:val="left"/>
      <w:pPr>
        <w:ind w:left="3540" w:hanging="360"/>
      </w:pPr>
    </w:lvl>
    <w:lvl w:ilvl="5" w:tplc="0407001B" w:tentative="1">
      <w:start w:val="1"/>
      <w:numFmt w:val="lowerRoman"/>
      <w:lvlText w:val="%6."/>
      <w:lvlJc w:val="right"/>
      <w:pPr>
        <w:ind w:left="4260" w:hanging="180"/>
      </w:pPr>
    </w:lvl>
    <w:lvl w:ilvl="6" w:tplc="0407000F" w:tentative="1">
      <w:start w:val="1"/>
      <w:numFmt w:val="decimal"/>
      <w:lvlText w:val="%7."/>
      <w:lvlJc w:val="left"/>
      <w:pPr>
        <w:ind w:left="4980" w:hanging="360"/>
      </w:pPr>
    </w:lvl>
    <w:lvl w:ilvl="7" w:tplc="04070019" w:tentative="1">
      <w:start w:val="1"/>
      <w:numFmt w:val="lowerLetter"/>
      <w:lvlText w:val="%8."/>
      <w:lvlJc w:val="left"/>
      <w:pPr>
        <w:ind w:left="5700" w:hanging="360"/>
      </w:pPr>
    </w:lvl>
    <w:lvl w:ilvl="8" w:tplc="0407001B" w:tentative="1">
      <w:start w:val="1"/>
      <w:numFmt w:val="lowerRoman"/>
      <w:lvlText w:val="%9."/>
      <w:lvlJc w:val="right"/>
      <w:pPr>
        <w:ind w:left="6420" w:hanging="180"/>
      </w:pPr>
    </w:lvl>
  </w:abstractNum>
  <w:abstractNum w:abstractNumId="11" w15:restartNumberingAfterBreak="0">
    <w:nsid w:val="689C775E"/>
    <w:multiLevelType w:val="hybridMultilevel"/>
    <w:tmpl w:val="3D02FF7A"/>
    <w:lvl w:ilvl="0" w:tplc="72E2D00A">
      <w:start w:val="4"/>
      <w:numFmt w:val="bullet"/>
      <w:lvlText w:val="-"/>
      <w:lvlJc w:val="left"/>
      <w:pPr>
        <w:ind w:left="1429" w:hanging="360"/>
      </w:pPr>
      <w:rPr>
        <w:rFonts w:ascii="Times New Roman" w:eastAsia="Times New Roman"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2" w15:restartNumberingAfterBreak="0">
    <w:nsid w:val="7DCD7007"/>
    <w:multiLevelType w:val="hybridMultilevel"/>
    <w:tmpl w:val="8ABE26B8"/>
    <w:lvl w:ilvl="0" w:tplc="EA38F892">
      <w:start w:val="10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E025B76"/>
    <w:multiLevelType w:val="hybridMultilevel"/>
    <w:tmpl w:val="9822B8EC"/>
    <w:lvl w:ilvl="0" w:tplc="BA0CE414">
      <w:start w:val="10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0"/>
  </w:num>
  <w:num w:numId="4">
    <w:abstractNumId w:val="7"/>
  </w:num>
  <w:num w:numId="5">
    <w:abstractNumId w:val="3"/>
  </w:num>
  <w:num w:numId="6">
    <w:abstractNumId w:val="6"/>
  </w:num>
  <w:num w:numId="7">
    <w:abstractNumId w:val="9"/>
  </w:num>
  <w:num w:numId="8">
    <w:abstractNumId w:val="11"/>
  </w:num>
  <w:num w:numId="9">
    <w:abstractNumId w:val="10"/>
  </w:num>
  <w:num w:numId="10">
    <w:abstractNumId w:val="8"/>
  </w:num>
  <w:num w:numId="11">
    <w:abstractNumId w:val="2"/>
  </w:num>
  <w:num w:numId="12">
    <w:abstractNumId w:val="5"/>
    <w:lvlOverride w:ilvl="0">
      <w:lvl w:ilvl="0" w:tplc="A6441834">
        <w:start w:val="1"/>
        <w:numFmt w:val="decimal"/>
        <w:lvlText w:val="%1)"/>
        <w:lvlJc w:val="left"/>
        <w:pPr>
          <w:ind w:left="643"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lvlOverride w:ilvl="1">
      <w:lvl w:ilvl="1" w:tplc="EAAA30FA">
        <w:start w:val="1"/>
        <w:numFmt w:val="lowerLetter"/>
        <w:lvlText w:val="%2."/>
        <w:lvlJc w:val="left"/>
        <w:pPr>
          <w:ind w:left="1663"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34896F6">
        <w:start w:val="1"/>
        <w:numFmt w:val="lowerRoman"/>
        <w:lvlText w:val="%3."/>
        <w:lvlJc w:val="left"/>
        <w:pPr>
          <w:ind w:left="2383" w:hanging="2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E483E20">
        <w:start w:val="1"/>
        <w:numFmt w:val="decimal"/>
        <w:lvlText w:val="%4."/>
        <w:lvlJc w:val="left"/>
        <w:pPr>
          <w:ind w:left="3103"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E5033DC">
        <w:start w:val="1"/>
        <w:numFmt w:val="lowerLetter"/>
        <w:lvlText w:val="%5."/>
        <w:lvlJc w:val="left"/>
        <w:pPr>
          <w:ind w:left="3823"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AACE9E0">
        <w:start w:val="1"/>
        <w:numFmt w:val="lowerRoman"/>
        <w:lvlText w:val="%6."/>
        <w:lvlJc w:val="left"/>
        <w:pPr>
          <w:ind w:left="4531" w:hanging="2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2B27B20">
        <w:start w:val="1"/>
        <w:numFmt w:val="decimal"/>
        <w:lvlText w:val="%7."/>
        <w:lvlJc w:val="left"/>
        <w:pPr>
          <w:ind w:left="5239" w:hanging="3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B12157A">
        <w:start w:val="1"/>
        <w:numFmt w:val="lowerLetter"/>
        <w:lvlText w:val="%8."/>
        <w:lvlJc w:val="left"/>
        <w:pPr>
          <w:ind w:left="5947"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96057DC">
        <w:start w:val="1"/>
        <w:numFmt w:val="lowerRoman"/>
        <w:lvlText w:val="%9."/>
        <w:lvlJc w:val="left"/>
        <w:pPr>
          <w:ind w:left="6655" w:hanging="2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860"/>
    <w:rsid w:val="00064E47"/>
    <w:rsid w:val="000772B2"/>
    <w:rsid w:val="00080463"/>
    <w:rsid w:val="000850BB"/>
    <w:rsid w:val="00092CBD"/>
    <w:rsid w:val="00095808"/>
    <w:rsid w:val="000E4703"/>
    <w:rsid w:val="000F0365"/>
    <w:rsid w:val="001155C9"/>
    <w:rsid w:val="00131301"/>
    <w:rsid w:val="00156296"/>
    <w:rsid w:val="00216444"/>
    <w:rsid w:val="00246A9F"/>
    <w:rsid w:val="00255A6F"/>
    <w:rsid w:val="002643BD"/>
    <w:rsid w:val="002761DE"/>
    <w:rsid w:val="00276FF9"/>
    <w:rsid w:val="002C6251"/>
    <w:rsid w:val="00300204"/>
    <w:rsid w:val="00321361"/>
    <w:rsid w:val="00344637"/>
    <w:rsid w:val="003542A1"/>
    <w:rsid w:val="00363DFA"/>
    <w:rsid w:val="003A5134"/>
    <w:rsid w:val="003B440E"/>
    <w:rsid w:val="0041033E"/>
    <w:rsid w:val="004316EC"/>
    <w:rsid w:val="00431860"/>
    <w:rsid w:val="0044353E"/>
    <w:rsid w:val="004534D6"/>
    <w:rsid w:val="00465928"/>
    <w:rsid w:val="004673CA"/>
    <w:rsid w:val="00490B3D"/>
    <w:rsid w:val="00493AE8"/>
    <w:rsid w:val="004B5AD7"/>
    <w:rsid w:val="00500168"/>
    <w:rsid w:val="00566113"/>
    <w:rsid w:val="00566E67"/>
    <w:rsid w:val="00583AE2"/>
    <w:rsid w:val="0058468F"/>
    <w:rsid w:val="005B0078"/>
    <w:rsid w:val="005C3955"/>
    <w:rsid w:val="005C4D52"/>
    <w:rsid w:val="0063303F"/>
    <w:rsid w:val="006943B3"/>
    <w:rsid w:val="006C1C6C"/>
    <w:rsid w:val="007179C9"/>
    <w:rsid w:val="0073715F"/>
    <w:rsid w:val="00766373"/>
    <w:rsid w:val="00782FCB"/>
    <w:rsid w:val="007A17CD"/>
    <w:rsid w:val="007D6F93"/>
    <w:rsid w:val="007E1C9E"/>
    <w:rsid w:val="007E2AC5"/>
    <w:rsid w:val="008009B3"/>
    <w:rsid w:val="00801BDF"/>
    <w:rsid w:val="00812032"/>
    <w:rsid w:val="00845FA5"/>
    <w:rsid w:val="00875CEF"/>
    <w:rsid w:val="00885C3B"/>
    <w:rsid w:val="008B207F"/>
    <w:rsid w:val="009A0A4F"/>
    <w:rsid w:val="009A2A33"/>
    <w:rsid w:val="009B2AA9"/>
    <w:rsid w:val="009B389C"/>
    <w:rsid w:val="009F5DCC"/>
    <w:rsid w:val="00A05F11"/>
    <w:rsid w:val="00A2340C"/>
    <w:rsid w:val="00A34104"/>
    <w:rsid w:val="00A365F9"/>
    <w:rsid w:val="00A51F8B"/>
    <w:rsid w:val="00A721B0"/>
    <w:rsid w:val="00AA486F"/>
    <w:rsid w:val="00AC0C41"/>
    <w:rsid w:val="00B220EA"/>
    <w:rsid w:val="00B74512"/>
    <w:rsid w:val="00B838F5"/>
    <w:rsid w:val="00BA1548"/>
    <w:rsid w:val="00BA77A5"/>
    <w:rsid w:val="00BB526D"/>
    <w:rsid w:val="00BE0412"/>
    <w:rsid w:val="00BE23FF"/>
    <w:rsid w:val="00BE7F72"/>
    <w:rsid w:val="00BF46BB"/>
    <w:rsid w:val="00C10FF0"/>
    <w:rsid w:val="00C403D6"/>
    <w:rsid w:val="00C81C69"/>
    <w:rsid w:val="00C90CFE"/>
    <w:rsid w:val="00CA7323"/>
    <w:rsid w:val="00D43100"/>
    <w:rsid w:val="00D50FB6"/>
    <w:rsid w:val="00D8172B"/>
    <w:rsid w:val="00D821D8"/>
    <w:rsid w:val="00D835BD"/>
    <w:rsid w:val="00D960CF"/>
    <w:rsid w:val="00DB7CC8"/>
    <w:rsid w:val="00E23126"/>
    <w:rsid w:val="00E527E4"/>
    <w:rsid w:val="00E70B5F"/>
    <w:rsid w:val="00EA3DBD"/>
    <w:rsid w:val="00ED67DE"/>
    <w:rsid w:val="00EE1639"/>
    <w:rsid w:val="00EE3D6C"/>
    <w:rsid w:val="00F01785"/>
    <w:rsid w:val="00F01F33"/>
    <w:rsid w:val="00F2305B"/>
    <w:rsid w:val="00F31FC0"/>
    <w:rsid w:val="00F36834"/>
    <w:rsid w:val="00F542DF"/>
    <w:rsid w:val="00F71B38"/>
    <w:rsid w:val="00FB058C"/>
    <w:rsid w:val="00FD67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BCC0E23"/>
  <w15:chartTrackingRefBased/>
  <w15:docId w15:val="{8246F1CC-EE00-4EA2-BE7C-8857D5B94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431860"/>
    <w:pPr>
      <w:tabs>
        <w:tab w:val="center" w:pos="4536"/>
        <w:tab w:val="right" w:pos="9072"/>
      </w:tabs>
    </w:pPr>
  </w:style>
  <w:style w:type="paragraph" w:styleId="Zpat">
    <w:name w:val="footer"/>
    <w:basedOn w:val="Normln"/>
    <w:link w:val="ZpatChar"/>
    <w:uiPriority w:val="99"/>
    <w:rsid w:val="00431860"/>
    <w:pPr>
      <w:tabs>
        <w:tab w:val="center" w:pos="4536"/>
        <w:tab w:val="right" w:pos="9072"/>
      </w:tabs>
    </w:pPr>
  </w:style>
  <w:style w:type="character" w:customStyle="1" w:styleId="ZpatChar">
    <w:name w:val="Zápatí Char"/>
    <w:link w:val="Zpat"/>
    <w:uiPriority w:val="99"/>
    <w:rsid w:val="00255A6F"/>
    <w:rPr>
      <w:sz w:val="24"/>
      <w:szCs w:val="24"/>
    </w:rPr>
  </w:style>
  <w:style w:type="paragraph" w:styleId="Textbubliny">
    <w:name w:val="Balloon Text"/>
    <w:basedOn w:val="Normln"/>
    <w:link w:val="TextbublinyChar"/>
    <w:rsid w:val="0044353E"/>
    <w:rPr>
      <w:rFonts w:ascii="Tahoma" w:hAnsi="Tahoma" w:cs="Tahoma"/>
      <w:sz w:val="16"/>
      <w:szCs w:val="16"/>
    </w:rPr>
  </w:style>
  <w:style w:type="character" w:customStyle="1" w:styleId="TextbublinyChar">
    <w:name w:val="Text bubliny Char"/>
    <w:link w:val="Textbubliny"/>
    <w:rsid w:val="0044353E"/>
    <w:rPr>
      <w:rFonts w:ascii="Tahoma" w:hAnsi="Tahoma" w:cs="Tahoma"/>
      <w:sz w:val="16"/>
      <w:szCs w:val="16"/>
    </w:rPr>
  </w:style>
  <w:style w:type="paragraph" w:styleId="Normlnweb">
    <w:name w:val="Normal (Web)"/>
    <w:basedOn w:val="Normln"/>
    <w:uiPriority w:val="99"/>
    <w:unhideWhenUsed/>
    <w:rsid w:val="00C90CFE"/>
    <w:pPr>
      <w:spacing w:before="100" w:beforeAutospacing="1" w:after="100" w:afterAutospacing="1"/>
    </w:pPr>
  </w:style>
  <w:style w:type="character" w:styleId="Hypertextovodkaz">
    <w:name w:val="Hyperlink"/>
    <w:uiPriority w:val="99"/>
    <w:unhideWhenUsed/>
    <w:rsid w:val="005B0078"/>
    <w:rPr>
      <w:color w:val="0563C1"/>
      <w:u w:val="single"/>
    </w:rPr>
  </w:style>
  <w:style w:type="numbering" w:customStyle="1" w:styleId="ImportedStyle6">
    <w:name w:val="Imported Style 6"/>
    <w:rsid w:val="005B0078"/>
    <w:pPr>
      <w:numPr>
        <w:numId w:val="11"/>
      </w:numPr>
    </w:pPr>
  </w:style>
  <w:style w:type="character" w:styleId="Odkaznakoment">
    <w:name w:val="annotation reference"/>
    <w:rsid w:val="00D821D8"/>
    <w:rPr>
      <w:sz w:val="16"/>
      <w:szCs w:val="16"/>
    </w:rPr>
  </w:style>
  <w:style w:type="paragraph" w:styleId="Textkomente">
    <w:name w:val="annotation text"/>
    <w:basedOn w:val="Normln"/>
    <w:link w:val="TextkomenteChar"/>
    <w:rsid w:val="00D821D8"/>
    <w:rPr>
      <w:sz w:val="20"/>
      <w:szCs w:val="20"/>
    </w:rPr>
  </w:style>
  <w:style w:type="character" w:customStyle="1" w:styleId="TextkomenteChar">
    <w:name w:val="Text komentáře Char"/>
    <w:basedOn w:val="Standardnpsmoodstavce"/>
    <w:link w:val="Textkomente"/>
    <w:rsid w:val="00D821D8"/>
  </w:style>
  <w:style w:type="paragraph" w:styleId="Pedmtkomente">
    <w:name w:val="annotation subject"/>
    <w:basedOn w:val="Textkomente"/>
    <w:next w:val="Textkomente"/>
    <w:link w:val="PedmtkomenteChar"/>
    <w:rsid w:val="00D821D8"/>
    <w:rPr>
      <w:b/>
      <w:bCs/>
    </w:rPr>
  </w:style>
  <w:style w:type="character" w:customStyle="1" w:styleId="PedmtkomenteChar">
    <w:name w:val="Předmět komentáře Char"/>
    <w:link w:val="Pedmtkomente"/>
    <w:rsid w:val="00D821D8"/>
    <w:rPr>
      <w:b/>
      <w:bCs/>
    </w:rPr>
  </w:style>
  <w:style w:type="paragraph" w:styleId="Revize">
    <w:name w:val="Revision"/>
    <w:hidden/>
    <w:uiPriority w:val="99"/>
    <w:semiHidden/>
    <w:rsid w:val="00D8172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1357</Words>
  <Characters>8009</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9348</CharactersWithSpaces>
  <SharedDoc>false</SharedDoc>
  <HLinks>
    <vt:vector size="6" baseType="variant">
      <vt:variant>
        <vt:i4>196704</vt:i4>
      </vt:variant>
      <vt:variant>
        <vt:i4>0</vt:i4>
      </vt:variant>
      <vt:variant>
        <vt:i4>0</vt:i4>
      </vt:variant>
      <vt:variant>
        <vt:i4>5</vt:i4>
      </vt:variant>
      <vt:variant>
        <vt:lpwstr>mailto:e.radova@radapartner.cz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dc:creator>
  <cp:keywords/>
  <cp:lastModifiedBy>Kusynova</cp:lastModifiedBy>
  <cp:revision>2</cp:revision>
  <cp:lastPrinted>2025-05-28T05:48:00Z</cp:lastPrinted>
  <dcterms:created xsi:type="dcterms:W3CDTF">2026-04-23T09:46:00Z</dcterms:created>
  <dcterms:modified xsi:type="dcterms:W3CDTF">2026-04-23T09:46:00Z</dcterms:modified>
</cp:coreProperties>
</file>