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864F" w14:textId="77777777" w:rsidR="008103D0" w:rsidRDefault="002E1E31">
      <w:pPr>
        <w:autoSpaceDE w:val="0"/>
        <w:autoSpaceDN w:val="0"/>
        <w:adjustRightInd w:val="0"/>
        <w:spacing w:line="280" w:lineRule="atLeast"/>
        <w:jc w:val="center"/>
        <w:rPr>
          <w:b/>
        </w:rPr>
      </w:pPr>
      <w:r>
        <w:rPr>
          <w:b/>
        </w:rPr>
        <w:t>Smlouva č. 2501163/4100067614 na zajištění licencí a podpory pro virtuální SD-WAN routery v prostředí Microsoft Azure</w:t>
      </w:r>
    </w:p>
    <w:p w14:paraId="714D71CB" w14:textId="77777777" w:rsidR="008103D0" w:rsidRDefault="002E1E31">
      <w:pPr>
        <w:pStyle w:val="Zkladntext"/>
        <w:keepNext/>
        <w:spacing w:after="120"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uzavřená podle § 1746 odst. 2 a § 2358 a násl. zákona č. 89/2012 Sb., občanský zákoník, ve znění pozdějších předpisů, a v souladu se zákonem č. 121/2000 Sb., o právu autorském o právech souvisejících s právem autorským a o změně některých zákonů (autorský </w:t>
      </w:r>
      <w:r>
        <w:rPr>
          <w:rFonts w:ascii="Arial" w:hAnsi="Arial"/>
          <w:sz w:val="20"/>
          <w:szCs w:val="20"/>
        </w:rPr>
        <w:t xml:space="preserve">zákon), ve znění pozdějších předpisů </w:t>
      </w:r>
    </w:p>
    <w:p w14:paraId="43136491" w14:textId="77777777" w:rsidR="008103D0" w:rsidRDefault="002E1E31">
      <w:pPr>
        <w:jc w:val="center"/>
      </w:pPr>
      <w:r>
        <w:t>(dále jen „</w:t>
      </w:r>
      <w:r>
        <w:rPr>
          <w:b/>
          <w:bCs/>
        </w:rPr>
        <w:t>Smlouva</w:t>
      </w:r>
      <w:r>
        <w:t>“)</w:t>
      </w:r>
    </w:p>
    <w:p w14:paraId="5A05F733" w14:textId="77777777" w:rsidR="008103D0" w:rsidRDefault="002E1E31">
      <w:pPr>
        <w:jc w:val="center"/>
        <w:rPr>
          <w:b/>
        </w:rPr>
      </w:pPr>
      <w:r>
        <w:rPr>
          <w:b/>
        </w:rPr>
        <w:t>ID VZ: 2501163</w:t>
      </w:r>
    </w:p>
    <w:p w14:paraId="31E94847" w14:textId="77777777" w:rsidR="008103D0" w:rsidRDefault="002E1E31">
      <w:pPr>
        <w:keepNext/>
        <w:autoSpaceDN w:val="0"/>
        <w:spacing w:line="280" w:lineRule="atLeast"/>
        <w:textAlignment w:val="baseline"/>
        <w:rPr>
          <w:b/>
        </w:rPr>
      </w:pPr>
      <w:r>
        <w:rPr>
          <w:b/>
        </w:rPr>
        <w:t>Smluvní strany:</w:t>
      </w:r>
    </w:p>
    <w:p w14:paraId="5D86A315" w14:textId="77777777" w:rsidR="008103D0" w:rsidRDefault="002E1E31">
      <w:pPr>
        <w:pStyle w:val="Odstavecseseznamem"/>
        <w:widowControl w:val="0"/>
        <w:numPr>
          <w:ilvl w:val="0"/>
          <w:numId w:val="6"/>
        </w:numPr>
        <w:autoSpaceDN w:val="0"/>
        <w:ind w:left="284" w:hanging="295"/>
        <w:textAlignment w:val="baseline"/>
        <w:outlineLvl w:val="1"/>
        <w:rPr>
          <w:b/>
          <w:bCs/>
          <w:i/>
          <w:iCs/>
          <w:color w:val="00000A"/>
        </w:rPr>
      </w:pPr>
      <w:r>
        <w:rPr>
          <w:b/>
          <w:bCs/>
          <w:color w:val="00000A"/>
        </w:rPr>
        <w:t>Všeobecná zdravotní pojišťovna České republiky</w:t>
      </w:r>
    </w:p>
    <w:p w14:paraId="112B4DEC" w14:textId="77777777" w:rsidR="008103D0" w:rsidRDefault="002E1E31">
      <w:pPr>
        <w:tabs>
          <w:tab w:val="left" w:pos="1701"/>
        </w:tabs>
        <w:autoSpaceDN w:val="0"/>
        <w:ind w:left="426" w:hanging="426"/>
        <w:contextualSpacing/>
        <w:textAlignment w:val="baseline"/>
        <w:rPr>
          <w:color w:val="00000A"/>
        </w:rPr>
      </w:pPr>
      <w:r>
        <w:rPr>
          <w:color w:val="00000A"/>
        </w:rPr>
        <w:t>se sídlem:</w:t>
      </w:r>
      <w:r>
        <w:rPr>
          <w:color w:val="00000A"/>
        </w:rPr>
        <w:tab/>
        <w:t xml:space="preserve"> </w:t>
      </w:r>
      <w:r>
        <w:rPr>
          <w:color w:val="00000A"/>
        </w:rPr>
        <w:tab/>
      </w:r>
      <w:r>
        <w:rPr>
          <w:color w:val="00000A"/>
        </w:rPr>
        <w:tab/>
        <w:t>Orlická 2020/4, 130 00 Praha 3</w:t>
      </w:r>
    </w:p>
    <w:p w14:paraId="455922C9" w14:textId="77777777" w:rsidR="008103D0" w:rsidRDefault="002E1E31">
      <w:pPr>
        <w:tabs>
          <w:tab w:val="left" w:pos="1701"/>
        </w:tabs>
        <w:autoSpaceDN w:val="0"/>
        <w:ind w:left="426" w:hanging="426"/>
        <w:contextualSpacing/>
        <w:textAlignment w:val="baseline"/>
        <w:rPr>
          <w:color w:val="00000A"/>
        </w:rPr>
      </w:pPr>
      <w:r>
        <w:rPr>
          <w:color w:val="00000A"/>
        </w:rPr>
        <w:t xml:space="preserve">kterou zastupuje: 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bookmarkStart w:id="0" w:name="_Hlk223089954"/>
      <w:bookmarkStart w:id="1" w:name="_Hlk223086726"/>
      <w:r>
        <w:t xml:space="preserve">PhDr. Ivan Duškov, MSc., </w:t>
      </w:r>
      <w:bookmarkEnd w:id="0"/>
      <w:r>
        <w:t>ředitel VZP ČR</w:t>
      </w:r>
      <w:bookmarkEnd w:id="1"/>
    </w:p>
    <w:p w14:paraId="079860E0" w14:textId="77777777" w:rsidR="008103D0" w:rsidRDefault="002E1E31">
      <w:pPr>
        <w:tabs>
          <w:tab w:val="left" w:pos="1701"/>
        </w:tabs>
        <w:autoSpaceDN w:val="0"/>
        <w:ind w:left="426" w:hanging="426"/>
        <w:contextualSpacing/>
        <w:textAlignment w:val="baseline"/>
        <w:rPr>
          <w:color w:val="00000A"/>
        </w:rPr>
      </w:pPr>
      <w:r>
        <w:rPr>
          <w:color w:val="00000A"/>
        </w:rPr>
        <w:t xml:space="preserve">k podpisu této Smlouvy </w:t>
      </w:r>
    </w:p>
    <w:p w14:paraId="7BC91B68" w14:textId="77777777" w:rsidR="008103D0" w:rsidRDefault="002E1E31">
      <w:pPr>
        <w:tabs>
          <w:tab w:val="left" w:pos="1701"/>
        </w:tabs>
        <w:autoSpaceDN w:val="0"/>
        <w:ind w:left="426" w:hanging="426"/>
        <w:contextualSpacing/>
        <w:textAlignment w:val="baseline"/>
        <w:rPr>
          <w:color w:val="00000A"/>
        </w:rPr>
      </w:pPr>
      <w:r>
        <w:rPr>
          <w:color w:val="00000A"/>
        </w:rPr>
        <w:t>je pověřen: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  <w:t xml:space="preserve">Ing. Petr </w:t>
      </w:r>
      <w:proofErr w:type="spellStart"/>
      <w:r>
        <w:rPr>
          <w:color w:val="00000A"/>
        </w:rPr>
        <w:t>Wallenfels</w:t>
      </w:r>
      <w:proofErr w:type="spellEnd"/>
      <w:r>
        <w:rPr>
          <w:color w:val="00000A"/>
        </w:rPr>
        <w:t>, MBA, náměstek ředitele VZP ČR pro informatiku</w:t>
      </w:r>
    </w:p>
    <w:p w14:paraId="6D2D6129" w14:textId="77777777" w:rsidR="008103D0" w:rsidRDefault="002E1E31">
      <w:pPr>
        <w:tabs>
          <w:tab w:val="left" w:pos="1701"/>
        </w:tabs>
        <w:autoSpaceDN w:val="0"/>
        <w:ind w:left="426" w:hanging="426"/>
        <w:contextualSpacing/>
        <w:textAlignment w:val="baseline"/>
        <w:rPr>
          <w:color w:val="00000A"/>
        </w:rPr>
      </w:pPr>
      <w:r>
        <w:rPr>
          <w:color w:val="00000A"/>
        </w:rPr>
        <w:t xml:space="preserve">IČO: 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  <w:t>41197518</w:t>
      </w:r>
    </w:p>
    <w:p w14:paraId="00F54FD2" w14:textId="77777777" w:rsidR="008103D0" w:rsidRDefault="002E1E31">
      <w:pPr>
        <w:tabs>
          <w:tab w:val="left" w:pos="1701"/>
        </w:tabs>
        <w:autoSpaceDN w:val="0"/>
        <w:ind w:left="426" w:hanging="426"/>
        <w:contextualSpacing/>
        <w:textAlignment w:val="baseline"/>
        <w:rPr>
          <w:color w:val="00000A"/>
        </w:rPr>
      </w:pPr>
      <w:r>
        <w:rPr>
          <w:color w:val="00000A"/>
        </w:rPr>
        <w:t>DIČ: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t>CZ</w:t>
      </w:r>
      <w:r>
        <w:rPr>
          <w:color w:val="00000A"/>
        </w:rPr>
        <w:t>41197518</w:t>
      </w:r>
    </w:p>
    <w:p w14:paraId="5E03CA62" w14:textId="77777777" w:rsidR="008103D0" w:rsidRDefault="002E1E31">
      <w:pPr>
        <w:tabs>
          <w:tab w:val="left" w:pos="1701"/>
        </w:tabs>
        <w:autoSpaceDN w:val="0"/>
        <w:contextualSpacing/>
        <w:textAlignment w:val="baseline"/>
        <w:rPr>
          <w:color w:val="00000A"/>
        </w:rPr>
      </w:pPr>
      <w:r>
        <w:rPr>
          <w:color w:val="00000A"/>
        </w:rPr>
        <w:t xml:space="preserve">Bankovní spojení: 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  <w:t>Česká národní banka, Praha 1, Na Příkopě 28</w:t>
      </w:r>
    </w:p>
    <w:p w14:paraId="5277FA0D" w14:textId="77777777" w:rsidR="008103D0" w:rsidRDefault="002E1E31">
      <w:pPr>
        <w:tabs>
          <w:tab w:val="left" w:pos="1701"/>
        </w:tabs>
        <w:autoSpaceDN w:val="0"/>
        <w:contextualSpacing/>
        <w:textAlignment w:val="baseline"/>
        <w:rPr>
          <w:color w:val="00000A"/>
        </w:rPr>
      </w:pPr>
      <w:r>
        <w:rPr>
          <w:color w:val="00000A"/>
        </w:rPr>
        <w:t>Číslo účtu: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  <w:t>1110205001/0710</w:t>
      </w:r>
    </w:p>
    <w:p w14:paraId="5FC0B1F7" w14:textId="77777777" w:rsidR="008103D0" w:rsidRDefault="002E1E31">
      <w:pPr>
        <w:tabs>
          <w:tab w:val="left" w:pos="1701"/>
        </w:tabs>
        <w:autoSpaceDN w:val="0"/>
        <w:textAlignment w:val="baseline"/>
        <w:rPr>
          <w:color w:val="00000A"/>
        </w:rPr>
      </w:pPr>
      <w:r>
        <w:t>Datová schránka:</w:t>
      </w:r>
      <w:r>
        <w:tab/>
      </w:r>
      <w:r>
        <w:tab/>
      </w:r>
      <w:r>
        <w:tab/>
      </w:r>
      <w:r>
        <w:t>i48ae3q</w:t>
      </w:r>
    </w:p>
    <w:p w14:paraId="7E784A7C" w14:textId="77777777" w:rsidR="008103D0" w:rsidRDefault="002E1E31">
      <w:pPr>
        <w:tabs>
          <w:tab w:val="left" w:pos="1701"/>
        </w:tabs>
        <w:autoSpaceDN w:val="0"/>
        <w:contextualSpacing/>
        <w:textAlignment w:val="baseline"/>
        <w:rPr>
          <w:color w:val="00000A"/>
        </w:rPr>
      </w:pPr>
      <w:r>
        <w:rPr>
          <w:color w:val="00000A"/>
        </w:rPr>
        <w:t>Zřízena zákonem č. 551/1991 Sb., o Všeobecné zdravotní pojišťovně České republiky, ve znění pozdějších předpisů</w:t>
      </w:r>
    </w:p>
    <w:p w14:paraId="67CE7D9E" w14:textId="77777777" w:rsidR="008103D0" w:rsidRDefault="008103D0">
      <w:pPr>
        <w:tabs>
          <w:tab w:val="left" w:pos="1701"/>
        </w:tabs>
        <w:autoSpaceDN w:val="0"/>
        <w:contextualSpacing/>
        <w:textAlignment w:val="baseline"/>
        <w:rPr>
          <w:color w:val="00000A"/>
        </w:rPr>
      </w:pPr>
    </w:p>
    <w:p w14:paraId="77B5F8ED" w14:textId="77777777" w:rsidR="008103D0" w:rsidRDefault="002E1E31">
      <w:pPr>
        <w:tabs>
          <w:tab w:val="left" w:pos="1701"/>
        </w:tabs>
        <w:autoSpaceDN w:val="0"/>
        <w:ind w:left="426" w:hanging="426"/>
        <w:contextualSpacing/>
        <w:textAlignment w:val="baseline"/>
        <w:rPr>
          <w:color w:val="00000A"/>
        </w:rPr>
      </w:pPr>
      <w:r>
        <w:rPr>
          <w:color w:val="00000A"/>
        </w:rPr>
        <w:t>(dále jen „</w:t>
      </w:r>
      <w:r>
        <w:rPr>
          <w:b/>
          <w:color w:val="00000A"/>
        </w:rPr>
        <w:t>VZP ČR</w:t>
      </w:r>
      <w:r>
        <w:rPr>
          <w:color w:val="00000A"/>
        </w:rPr>
        <w:t>“ nebo „</w:t>
      </w:r>
      <w:r>
        <w:rPr>
          <w:b/>
          <w:color w:val="00000A"/>
        </w:rPr>
        <w:t>Objednatel</w:t>
      </w:r>
      <w:r>
        <w:rPr>
          <w:color w:val="00000A"/>
        </w:rPr>
        <w:t>“)</w:t>
      </w:r>
    </w:p>
    <w:p w14:paraId="1B1B96D5" w14:textId="77777777" w:rsidR="008103D0" w:rsidRDefault="002E1E31">
      <w:pPr>
        <w:autoSpaceDN w:val="0"/>
        <w:jc w:val="center"/>
        <w:textAlignment w:val="baseline"/>
        <w:rPr>
          <w:b/>
          <w:bCs/>
        </w:rPr>
      </w:pPr>
      <w:r>
        <w:rPr>
          <w:b/>
          <w:bCs/>
        </w:rPr>
        <w:t xml:space="preserve">a </w:t>
      </w:r>
    </w:p>
    <w:p w14:paraId="0C76313D" w14:textId="77777777" w:rsidR="008103D0" w:rsidRDefault="008103D0">
      <w:pPr>
        <w:autoSpaceDN w:val="0"/>
        <w:ind w:left="1416" w:hanging="1132"/>
        <w:textAlignment w:val="baseline"/>
      </w:pPr>
    </w:p>
    <w:p w14:paraId="2D4BAC0E" w14:textId="77777777" w:rsidR="008103D0" w:rsidRDefault="002E1E31">
      <w:pPr>
        <w:pStyle w:val="Odstavecseseznamem"/>
        <w:widowControl w:val="0"/>
        <w:numPr>
          <w:ilvl w:val="0"/>
          <w:numId w:val="6"/>
        </w:numPr>
        <w:autoSpaceDN w:val="0"/>
        <w:ind w:left="284" w:hanging="295"/>
        <w:textAlignment w:val="baseline"/>
        <w:outlineLvl w:val="1"/>
        <w:rPr>
          <w:b/>
          <w:bCs/>
        </w:rPr>
      </w:pPr>
      <w:r>
        <w:rPr>
          <w:b/>
          <w:bCs/>
        </w:rPr>
        <w:t xml:space="preserve">X </w:t>
      </w:r>
      <w:proofErr w:type="spellStart"/>
      <w:r>
        <w:rPr>
          <w:b/>
          <w:bCs/>
        </w:rPr>
        <w:t>Consulting</w:t>
      </w:r>
      <w:proofErr w:type="spellEnd"/>
      <w:r>
        <w:rPr>
          <w:b/>
          <w:bCs/>
        </w:rPr>
        <w:t xml:space="preserve"> Co. s.r.o. </w:t>
      </w:r>
    </w:p>
    <w:p w14:paraId="4B146615" w14:textId="77777777" w:rsidR="008103D0" w:rsidRDefault="002E1E31">
      <w:pPr>
        <w:tabs>
          <w:tab w:val="left" w:pos="1701"/>
        </w:tabs>
        <w:autoSpaceDN w:val="0"/>
        <w:ind w:left="425" w:hanging="426"/>
        <w:contextualSpacing/>
        <w:textAlignment w:val="baseline"/>
      </w:pPr>
      <w:r>
        <w:t>se sídlem:</w:t>
      </w:r>
      <w:r>
        <w:tab/>
      </w:r>
      <w:r>
        <w:tab/>
      </w:r>
      <w:r>
        <w:tab/>
        <w:t xml:space="preserve">V olšinách 16/82, Strašnice, 100 00 Praha 10 </w:t>
      </w:r>
    </w:p>
    <w:p w14:paraId="689D1B07" w14:textId="77777777" w:rsidR="008103D0" w:rsidRDefault="002E1E31">
      <w:pPr>
        <w:tabs>
          <w:tab w:val="left" w:pos="1701"/>
        </w:tabs>
        <w:autoSpaceDN w:val="0"/>
        <w:ind w:left="425" w:hanging="426"/>
        <w:contextualSpacing/>
        <w:textAlignment w:val="baseline"/>
      </w:pPr>
      <w:r>
        <w:t>kterou za</w:t>
      </w:r>
      <w:r>
        <w:t>stupuje</w:t>
      </w:r>
      <w:r>
        <w:tab/>
      </w:r>
      <w:r>
        <w:tab/>
      </w:r>
      <w:r>
        <w:tab/>
        <w:t>Dušan Müller, jednatel</w:t>
      </w:r>
    </w:p>
    <w:p w14:paraId="6E22CEDB" w14:textId="77777777" w:rsidR="008103D0" w:rsidRDefault="002E1E31">
      <w:pPr>
        <w:tabs>
          <w:tab w:val="left" w:pos="1701"/>
        </w:tabs>
        <w:autoSpaceDN w:val="0"/>
        <w:ind w:left="425" w:hanging="426"/>
        <w:contextualSpacing/>
        <w:textAlignment w:val="baseline"/>
      </w:pPr>
      <w:r>
        <w:t>IČO:</w:t>
      </w:r>
      <w:r>
        <w:tab/>
      </w:r>
      <w:r>
        <w:tab/>
      </w:r>
      <w:r>
        <w:tab/>
      </w:r>
      <w:r>
        <w:tab/>
        <w:t xml:space="preserve">06579621 </w:t>
      </w:r>
    </w:p>
    <w:p w14:paraId="4866964D" w14:textId="77777777" w:rsidR="008103D0" w:rsidRDefault="002E1E31">
      <w:pPr>
        <w:tabs>
          <w:tab w:val="left" w:pos="1701"/>
        </w:tabs>
        <w:autoSpaceDN w:val="0"/>
        <w:ind w:left="425" w:hanging="426"/>
        <w:contextualSpacing/>
        <w:textAlignment w:val="baseline"/>
      </w:pPr>
      <w:r>
        <w:t>DIČ:</w:t>
      </w:r>
      <w:r>
        <w:tab/>
      </w:r>
      <w:r>
        <w:tab/>
      </w:r>
      <w:r>
        <w:tab/>
      </w:r>
      <w:r>
        <w:tab/>
      </w:r>
      <w:r>
        <w:rPr>
          <w:rFonts w:eastAsia="Times New Roman" w:cs="Arial"/>
          <w:szCs w:val="20"/>
          <w:lang w:eastAsia="cs-CZ"/>
        </w:rPr>
        <w:t>CZ06579621</w:t>
      </w:r>
      <w:r>
        <w:t xml:space="preserve"> </w:t>
      </w:r>
    </w:p>
    <w:p w14:paraId="22A0F3CC" w14:textId="77777777" w:rsidR="008103D0" w:rsidRDefault="002E1E31">
      <w:pPr>
        <w:tabs>
          <w:tab w:val="left" w:pos="1701"/>
        </w:tabs>
        <w:autoSpaceDN w:val="0"/>
        <w:ind w:left="425" w:hanging="426"/>
        <w:contextualSpacing/>
        <w:textAlignment w:val="baseline"/>
      </w:pPr>
      <w:r>
        <w:t>Bankovní spojení:</w:t>
      </w:r>
      <w:r>
        <w:tab/>
      </w:r>
      <w:r>
        <w:tab/>
      </w:r>
      <w:r>
        <w:tab/>
      </w:r>
      <w:r>
        <w:rPr>
          <w:rFonts w:eastAsia="Times New Roman" w:cs="Arial"/>
          <w:szCs w:val="20"/>
          <w:lang w:eastAsia="cs-CZ"/>
        </w:rPr>
        <w:t>ČSOB a.s.</w:t>
      </w:r>
      <w:r>
        <w:t xml:space="preserve"> </w:t>
      </w:r>
    </w:p>
    <w:p w14:paraId="13B59B33" w14:textId="77777777" w:rsidR="008103D0" w:rsidRDefault="002E1E31">
      <w:pPr>
        <w:tabs>
          <w:tab w:val="left" w:pos="1701"/>
        </w:tabs>
        <w:autoSpaceDN w:val="0"/>
        <w:ind w:left="425" w:hanging="426"/>
        <w:contextualSpacing/>
        <w:textAlignment w:val="baseline"/>
      </w:pPr>
      <w:r>
        <w:t>Číslo účtu:</w:t>
      </w:r>
      <w:r>
        <w:tab/>
      </w:r>
      <w:r>
        <w:tab/>
      </w:r>
      <w:r>
        <w:tab/>
      </w:r>
      <w:r>
        <w:rPr>
          <w:rFonts w:eastAsia="Times New Roman" w:cs="Arial"/>
          <w:szCs w:val="20"/>
          <w:lang w:eastAsia="cs-CZ"/>
        </w:rPr>
        <w:t>284863499/0300</w:t>
      </w:r>
      <w:r>
        <w:t xml:space="preserve"> </w:t>
      </w:r>
    </w:p>
    <w:p w14:paraId="390FAEF2" w14:textId="77777777" w:rsidR="008103D0" w:rsidRDefault="002E1E31">
      <w:pPr>
        <w:tabs>
          <w:tab w:val="left" w:pos="1701"/>
        </w:tabs>
        <w:autoSpaceDN w:val="0"/>
        <w:ind w:left="425" w:hanging="425"/>
        <w:textAlignment w:val="baseline"/>
      </w:pPr>
      <w:r>
        <w:t>Datová schránka:</w:t>
      </w:r>
      <w:r>
        <w:tab/>
      </w:r>
      <w:r>
        <w:tab/>
      </w:r>
      <w:r>
        <w:tab/>
      </w:r>
      <w:r>
        <w:rPr>
          <w:rFonts w:eastAsia="Times New Roman" w:cs="Arial"/>
          <w:szCs w:val="20"/>
          <w:lang w:eastAsia="cs-CZ"/>
        </w:rPr>
        <w:t>wz5uw7q</w:t>
      </w:r>
      <w:r>
        <w:rPr>
          <w:highlight w:val="yellow"/>
        </w:rPr>
        <w:t xml:space="preserve"> </w:t>
      </w:r>
    </w:p>
    <w:p w14:paraId="29B75554" w14:textId="77777777" w:rsidR="008103D0" w:rsidRDefault="002E1E31">
      <w:pPr>
        <w:tabs>
          <w:tab w:val="left" w:pos="1701"/>
        </w:tabs>
        <w:autoSpaceDN w:val="0"/>
        <w:textAlignment w:val="baseline"/>
      </w:pPr>
      <w:r>
        <w:t xml:space="preserve">Zapsána v obchodním rejstříku vedeném </w:t>
      </w:r>
      <w:r>
        <w:rPr>
          <w:rFonts w:eastAsia="Times New Roman" w:cs="Arial"/>
          <w:szCs w:val="20"/>
          <w:lang w:eastAsia="cs-CZ"/>
        </w:rPr>
        <w:t>Městským soudem v Praze, oddíl C, vložka 298096</w:t>
      </w:r>
    </w:p>
    <w:p w14:paraId="79514211" w14:textId="77777777" w:rsidR="008103D0" w:rsidRDefault="002E1E31">
      <w:pPr>
        <w:tabs>
          <w:tab w:val="left" w:pos="1701"/>
        </w:tabs>
        <w:autoSpaceDN w:val="0"/>
        <w:ind w:left="426" w:hanging="426"/>
        <w:textAlignment w:val="baseline"/>
      </w:pPr>
      <w:r>
        <w:t xml:space="preserve">(dále </w:t>
      </w:r>
      <w:r>
        <w:t>jen „</w:t>
      </w:r>
      <w:r>
        <w:rPr>
          <w:b/>
        </w:rPr>
        <w:t>Poskytovatel</w:t>
      </w:r>
      <w:r>
        <w:t>“)</w:t>
      </w:r>
    </w:p>
    <w:p w14:paraId="3D607C1D" w14:textId="77777777" w:rsidR="008103D0" w:rsidRDefault="002E1E31">
      <w:pPr>
        <w:tabs>
          <w:tab w:val="left" w:pos="1701"/>
        </w:tabs>
        <w:autoSpaceDN w:val="0"/>
        <w:ind w:left="426" w:hanging="426"/>
        <w:textAlignment w:val="baseline"/>
      </w:pPr>
      <w:r>
        <w:t>(společně též „</w:t>
      </w:r>
      <w:r>
        <w:rPr>
          <w:b/>
        </w:rPr>
        <w:t>Smluvní strany</w:t>
      </w:r>
      <w:r>
        <w:t>“ jednotlivě též „</w:t>
      </w:r>
      <w:r>
        <w:rPr>
          <w:b/>
        </w:rPr>
        <w:t>Smluvní strana</w:t>
      </w:r>
      <w:r>
        <w:t xml:space="preserve">“) </w:t>
      </w:r>
    </w:p>
    <w:p w14:paraId="39863AC7" w14:textId="77777777" w:rsidR="008103D0" w:rsidRDefault="008103D0">
      <w:pPr>
        <w:keepNext/>
        <w:spacing w:line="280" w:lineRule="atLeast"/>
        <w:rPr>
          <w:b/>
        </w:rPr>
      </w:pPr>
    </w:p>
    <w:p w14:paraId="6D89C0C1" w14:textId="77777777" w:rsidR="008103D0" w:rsidRDefault="002E1E31">
      <w:pPr>
        <w:pStyle w:val="Nadpis1"/>
      </w:pPr>
      <w:r>
        <w:t>Preambule</w:t>
      </w:r>
    </w:p>
    <w:p w14:paraId="58B48B7F" w14:textId="77777777" w:rsidR="008103D0" w:rsidRDefault="002E1E31">
      <w:pPr>
        <w:pStyle w:val="Nadpis2"/>
      </w:pPr>
      <w:r>
        <w:t>Tato Smlouva upravuje vztah mezi Objednatelem a Poskytovatelem, který vzešel z výsledku výběrového řízení na veřejnou zakázku malého rozsahu evidovanou Objednat</w:t>
      </w:r>
      <w:r>
        <w:t>elem pod číslem</w:t>
      </w:r>
      <w:r>
        <w:rPr>
          <w:color w:val="FF0000"/>
        </w:rPr>
        <w:t xml:space="preserve"> </w:t>
      </w:r>
      <w:r>
        <w:rPr>
          <w:color w:val="000000" w:themeColor="text1"/>
        </w:rPr>
        <w:t xml:space="preserve">ID VZ: </w:t>
      </w:r>
      <w:r>
        <w:t>2501163 s názvem „</w:t>
      </w:r>
      <w:r>
        <w:rPr>
          <w:b/>
        </w:rPr>
        <w:t>Licence pro SD-WAN routery do DC Azure</w:t>
      </w:r>
      <w:r>
        <w:t>“ (dále jen „</w:t>
      </w:r>
      <w:r>
        <w:rPr>
          <w:b/>
        </w:rPr>
        <w:t>veřejná zakázka</w:t>
      </w:r>
      <w:r>
        <w:t>“).</w:t>
      </w:r>
    </w:p>
    <w:p w14:paraId="215869D2" w14:textId="77777777" w:rsidR="008103D0" w:rsidRDefault="002E1E31">
      <w:pPr>
        <w:pStyle w:val="Nadpis2"/>
      </w:pPr>
      <w:r>
        <w:lastRenderedPageBreak/>
        <w:t>Tato Smlouva stanovuje základní obsah právního vztahu na poskytování požadovaného předmětu plnění podle této Smlouvy mezi Smluvními stranami. Ust</w:t>
      </w:r>
      <w:r>
        <w:t>anovení této Smlouvy je třeba vykládat v souladu se zadávacími podmínkami výše uvedené veřejné zakázky.</w:t>
      </w:r>
    </w:p>
    <w:p w14:paraId="57E0593B" w14:textId="77777777" w:rsidR="008103D0" w:rsidRDefault="002E1E31">
      <w:pPr>
        <w:pStyle w:val="Nadpis2"/>
      </w:pPr>
      <w:r>
        <w:t>Poskytovatel výslovně prohlašuje, že se náležitě seznámil se všemi zadávacími podmínkami této veřejné zakázky, že jsou mu známé veškeré technické, kvali</w:t>
      </w:r>
      <w:r>
        <w:t>tativní a jiné podmínky plnění stanovené Objednatelem, že disponuje kapacitami a odbornými znalostmi, které jsou nezbytné k poskytnutí plnění dle této Smlouvy a za cenu sjednanou v této Smlouvě, a že je způsobilý ke splnění všech svých závazků podle této S</w:t>
      </w:r>
      <w:r>
        <w:t>mlouvy.</w:t>
      </w:r>
    </w:p>
    <w:p w14:paraId="54CC1243" w14:textId="77777777" w:rsidR="008103D0" w:rsidRDefault="002E1E31">
      <w:pPr>
        <w:pStyle w:val="Nadpis2"/>
      </w:pPr>
      <w:r>
        <w:t>Poskytovatel prohlašuje, že je oprávněn a schopen po stránce technické i právní poskytovat Objednateli plnění dle této Smlouvy.</w:t>
      </w:r>
    </w:p>
    <w:p w14:paraId="33E56869" w14:textId="77777777" w:rsidR="008103D0" w:rsidRDefault="002E1E31">
      <w:pPr>
        <w:pStyle w:val="Nadpis2"/>
      </w:pPr>
      <w:r>
        <w:t>Poskytovatel prohlašuje, že jím poskytované plnění podle této Smlouvy bude odpovídat všem požadavkům vyplývajícím z plat</w:t>
      </w:r>
      <w:r>
        <w:t>ných právních předpisů, které se na předmětné plnění vztahují, a že je schopen všechna plnění podle této Smlouvy poskytovat.</w:t>
      </w:r>
    </w:p>
    <w:p w14:paraId="02E35658" w14:textId="77777777" w:rsidR="008103D0" w:rsidRDefault="002E1E31">
      <w:pPr>
        <w:pStyle w:val="Nadpis2"/>
      </w:pPr>
      <w:r>
        <w:t xml:space="preserve">Poskytovatel prohlašuje a odpovídá za to, že plnění dle této Smlouvy, které jsou předmětem jakéhokoliv práva duševního vlastnictví </w:t>
      </w:r>
      <w:r>
        <w:t>je oprávněn poskytovat třetím osobám včetně Objednatele dle příslušných ustanovení této Smlouvy.</w:t>
      </w:r>
    </w:p>
    <w:p w14:paraId="66742B68" w14:textId="77777777" w:rsidR="008103D0" w:rsidRDefault="008103D0">
      <w:pPr>
        <w:rPr>
          <w:lang w:eastAsia="cs-CZ"/>
        </w:rPr>
      </w:pPr>
    </w:p>
    <w:p w14:paraId="11B232E4" w14:textId="77777777" w:rsidR="008103D0" w:rsidRDefault="002E1E31">
      <w:pPr>
        <w:pStyle w:val="Nadpis1"/>
      </w:pPr>
      <w:r>
        <w:t>Účel a předmět Smlouvy</w:t>
      </w:r>
    </w:p>
    <w:p w14:paraId="7C5713D7" w14:textId="77777777" w:rsidR="008103D0" w:rsidRDefault="002E1E31">
      <w:pPr>
        <w:pStyle w:val="Nadpis2"/>
      </w:pPr>
      <w:r>
        <w:t xml:space="preserve">Tato Smlouva je uzavírána za účelem zajištění </w:t>
      </w:r>
      <w:bookmarkStart w:id="2" w:name="_Hlk222299283"/>
      <w:r>
        <w:t>licencí pro dva virtuální SD</w:t>
      </w:r>
      <w:r>
        <w:noBreakHyphen/>
        <w:t>WAN routery (dále jen „</w:t>
      </w:r>
      <w:r>
        <w:rPr>
          <w:b/>
        </w:rPr>
        <w:t>SD</w:t>
      </w:r>
      <w:r>
        <w:rPr>
          <w:b/>
        </w:rPr>
        <w:noBreakHyphen/>
        <w:t>WAN routery</w:t>
      </w:r>
      <w:r>
        <w:t>“ nebo „</w:t>
      </w:r>
      <w:r>
        <w:rPr>
          <w:b/>
        </w:rPr>
        <w:t>SW</w:t>
      </w:r>
      <w:r>
        <w:t>“) společnost</w:t>
      </w:r>
      <w:r>
        <w:t>i Cisco Systems, Inc. (dále jen „</w:t>
      </w:r>
      <w:r>
        <w:rPr>
          <w:b/>
        </w:rPr>
        <w:t>Výrobce SW</w:t>
      </w:r>
      <w:r>
        <w:t>“). Tyto SD</w:t>
      </w:r>
      <w:r>
        <w:noBreakHyphen/>
        <w:t>WAN routery jsou nezbytné pro zajištění privátního, vysoce dostupného a bezpečného připojení Objednatele do cloudového prostředí Microsoft Azure, a to s ohledem na současný stav infrastruktury Objednat</w:t>
      </w:r>
      <w:r>
        <w:t xml:space="preserve">ele </w:t>
      </w:r>
      <w:bookmarkEnd w:id="2"/>
      <w:r>
        <w:t>popsaný v Příloze č. 1 této Smlouvy – „Technická specifikace“ (dále jen „</w:t>
      </w:r>
      <w:r>
        <w:rPr>
          <w:b/>
        </w:rPr>
        <w:t>Příloha č. 1</w:t>
      </w:r>
      <w:r>
        <w:t>“).</w:t>
      </w:r>
    </w:p>
    <w:p w14:paraId="33A11618" w14:textId="77777777" w:rsidR="008103D0" w:rsidRDefault="002E1E31">
      <w:pPr>
        <w:pStyle w:val="Nadpis2"/>
      </w:pPr>
      <w:r>
        <w:t>Předmětem této Smlouvy je:</w:t>
      </w:r>
    </w:p>
    <w:p w14:paraId="45D95B47" w14:textId="77777777" w:rsidR="008103D0" w:rsidRDefault="002E1E31">
      <w:pPr>
        <w:pStyle w:val="Odstavecseseznamem"/>
        <w:numPr>
          <w:ilvl w:val="0"/>
          <w:numId w:val="5"/>
        </w:numPr>
        <w:tabs>
          <w:tab w:val="left" w:pos="993"/>
        </w:tabs>
        <w:spacing w:after="120" w:line="276" w:lineRule="auto"/>
        <w:ind w:left="993" w:hanging="284"/>
        <w:contextualSpacing w:val="0"/>
        <w:rPr>
          <w:rStyle w:val="Nadpis3Char"/>
        </w:rPr>
      </w:pPr>
      <w:bookmarkStart w:id="3" w:name="_Hlk220043257"/>
      <w:bookmarkStart w:id="4" w:name="_Hlk221614432"/>
      <w:r>
        <w:t>závazek Poskytovatele poskytnout Objednateli na dobu stanovenou touto Smlouvou oprávnění k užití dvou virtuálních SD-WAN routerů Výrobce</w:t>
      </w:r>
      <w:r>
        <w:t xml:space="preserve"> SW, tj. licence/podlicence (dále jen „</w:t>
      </w:r>
      <w:r>
        <w:rPr>
          <w:b/>
        </w:rPr>
        <w:t>Licence</w:t>
      </w:r>
      <w:r>
        <w:t xml:space="preserve">“) formou </w:t>
      </w:r>
      <w:proofErr w:type="spellStart"/>
      <w:r>
        <w:t>subscripce</w:t>
      </w:r>
      <w:proofErr w:type="spellEnd"/>
      <w:r>
        <w:t xml:space="preserve"> (tj. formou předplatného na dobu určitou) a poskytovat / zajistit poskytování (dále jen „</w:t>
      </w:r>
      <w:r>
        <w:rPr>
          <w:b/>
        </w:rPr>
        <w:t>poskytovat</w:t>
      </w:r>
      <w:r>
        <w:t>“) s tím související aplikační a technickou podporu Výrobce SW (dále jen „</w:t>
      </w:r>
      <w:r>
        <w:rPr>
          <w:b/>
          <w:bCs/>
          <w:szCs w:val="26"/>
        </w:rPr>
        <w:t>Podpora</w:t>
      </w:r>
      <w:r>
        <w:t>“ nebo „</w:t>
      </w:r>
      <w:r>
        <w:rPr>
          <w:b/>
          <w:bCs/>
          <w:szCs w:val="26"/>
        </w:rPr>
        <w:t>P</w:t>
      </w:r>
      <w:r>
        <w:rPr>
          <w:b/>
          <w:bCs/>
          <w:szCs w:val="26"/>
        </w:rPr>
        <w:t>odpora Výrobce</w:t>
      </w:r>
      <w:r>
        <w:t>“),</w:t>
      </w:r>
      <w:bookmarkEnd w:id="3"/>
    </w:p>
    <w:p w14:paraId="3E8F945A" w14:textId="77777777" w:rsidR="008103D0" w:rsidRDefault="002E1E31">
      <w:pPr>
        <w:pStyle w:val="Odstavecseseznamem"/>
        <w:numPr>
          <w:ilvl w:val="0"/>
          <w:numId w:val="5"/>
        </w:numPr>
        <w:tabs>
          <w:tab w:val="left" w:pos="851"/>
          <w:tab w:val="left" w:pos="993"/>
        </w:tabs>
        <w:ind w:left="993" w:hanging="284"/>
        <w:contextualSpacing w:val="0"/>
      </w:pPr>
      <w:r>
        <w:rPr>
          <w:rStyle w:val="Nadpis3Char"/>
        </w:rPr>
        <w:t>závazek Objednatele zaplatit Poskytovateli za řádné splnění jeho závazků vyplývajících z této Smlouvy cenu plnění sjednanou touto Smlouvou</w:t>
      </w:r>
      <w:r>
        <w:t>,</w:t>
      </w:r>
    </w:p>
    <w:p w14:paraId="253B0734" w14:textId="77777777" w:rsidR="008103D0" w:rsidRDefault="002E1E31">
      <w:pPr>
        <w:pStyle w:val="Nadpis3"/>
        <w:numPr>
          <w:ilvl w:val="0"/>
          <w:numId w:val="0"/>
        </w:numPr>
        <w:ind w:left="720" w:hanging="144"/>
      </w:pPr>
      <w:r>
        <w:t>to vše za podmínek stanovených touto Smlouvou.</w:t>
      </w:r>
    </w:p>
    <w:bookmarkEnd w:id="4"/>
    <w:p w14:paraId="64902CCE" w14:textId="77777777" w:rsidR="008103D0" w:rsidRDefault="002E1E31">
      <w:pPr>
        <w:pStyle w:val="Nadpis2"/>
      </w:pPr>
      <w:r>
        <w:t xml:space="preserve">Bližší specifikace předmětu plnění </w:t>
      </w:r>
      <w:r>
        <w:t>Poskytovatele je uvedena v čl. 3. této Smlouvy a v Příloze č. 1 této Smlouvy.</w:t>
      </w:r>
    </w:p>
    <w:p w14:paraId="0A13CFA7" w14:textId="77777777" w:rsidR="008103D0" w:rsidRDefault="008103D0">
      <w:pPr>
        <w:rPr>
          <w:lang w:eastAsia="cs-CZ"/>
        </w:rPr>
      </w:pPr>
    </w:p>
    <w:p w14:paraId="3511F3F7" w14:textId="77777777" w:rsidR="008103D0" w:rsidRDefault="002E1E31">
      <w:pPr>
        <w:pStyle w:val="Nadpis1"/>
      </w:pPr>
      <w:r>
        <w:t>Předmět plnění</w:t>
      </w:r>
    </w:p>
    <w:p w14:paraId="0CC90A59" w14:textId="77777777" w:rsidR="008103D0" w:rsidRDefault="002E1E31">
      <w:pPr>
        <w:pStyle w:val="Nadpis2"/>
      </w:pPr>
      <w:r>
        <w:t>Předmětem plnění Poskytovatele dle této Smlouvy je poskytnutí příslušných Licencí pro provozování dvou virtuálních SD WAN routerů Výrobce SW, jejichž parametry js</w:t>
      </w:r>
      <w:r>
        <w:t>ou uvedeny v Příloze č. 1 této Smlouvy, včetně související Podpory Výrobce, a to vše v délce 60 měsíců.</w:t>
      </w:r>
    </w:p>
    <w:p w14:paraId="179EB3FA" w14:textId="77777777" w:rsidR="008103D0" w:rsidRDefault="002E1E31">
      <w:pPr>
        <w:pStyle w:val="Nadpis2"/>
      </w:pPr>
      <w:r>
        <w:t>Touto Smlouvou je Objednateli poskytováno oprávnění k výkonu práva užít SW Výrobce SW, a to ve verzích, které jsou aktuální v době uzavření této Smlouvy</w:t>
      </w:r>
      <w:r>
        <w:t xml:space="preserve">, tj. Objednateli jsou touto Smlouvou poskytovány Licence k užití SW Výrobce SW, a to v rozsahu uvedeném v této Smlouvě a k využití v rámci VZP ČR podle jejích potřeb.  </w:t>
      </w:r>
    </w:p>
    <w:p w14:paraId="3E6B47C6" w14:textId="77777777" w:rsidR="008103D0" w:rsidRDefault="002E1E31">
      <w:pPr>
        <w:pStyle w:val="Nadpis2"/>
      </w:pPr>
      <w:r>
        <w:lastRenderedPageBreak/>
        <w:t>Touto Smlouvou je dále poskytováno Objednateli oprávnění k užití všech dostupných aktu</w:t>
      </w:r>
      <w:r>
        <w:t xml:space="preserve">alizací (tj. upgrade, update / </w:t>
      </w:r>
      <w:proofErr w:type="spellStart"/>
      <w:r>
        <w:t>patches</w:t>
      </w:r>
      <w:proofErr w:type="spellEnd"/>
      <w:r>
        <w:t>) SW, které Výrobce SW „vydá“ v době trvání této Smlouvy (dále jen „</w:t>
      </w:r>
      <w:r>
        <w:rPr>
          <w:b/>
        </w:rPr>
        <w:t>aktualizace</w:t>
      </w:r>
      <w:r>
        <w:t>“), a to v rozsahu stanoveném v bodě 3.1 této Smlouvy.</w:t>
      </w:r>
    </w:p>
    <w:p w14:paraId="34AD5B7C" w14:textId="77777777" w:rsidR="008103D0" w:rsidRDefault="002E1E31">
      <w:pPr>
        <w:pStyle w:val="Nadpis2"/>
      </w:pPr>
      <w:r>
        <w:t>Oprávnění Objednatele k užití předmětného SW Výrobce SW (tj. poskytnuté Licence) zah</w:t>
      </w:r>
      <w:r>
        <w:t>rnuje i oprávnění k čerpání související Podpory Výrobce za podmínek dále v této Smlouvě stanovených.</w:t>
      </w:r>
    </w:p>
    <w:p w14:paraId="799B74BE" w14:textId="77777777" w:rsidR="008103D0" w:rsidRDefault="002E1E31">
      <w:pPr>
        <w:pStyle w:val="Nadpis2"/>
      </w:pPr>
      <w:r>
        <w:t>Licence jsou poskytovány jako nevýhradní a na dobu určitou v délce 60 měsíců.</w:t>
      </w:r>
    </w:p>
    <w:p w14:paraId="5BDA8EEA" w14:textId="77777777" w:rsidR="008103D0" w:rsidRDefault="002E1E31">
      <w:pPr>
        <w:pStyle w:val="Nadpis2"/>
      </w:pPr>
      <w:r>
        <w:t>Aktivace Licencí</w:t>
      </w:r>
    </w:p>
    <w:p w14:paraId="6AA98471" w14:textId="77777777" w:rsidR="008103D0" w:rsidRDefault="002E1E31">
      <w:pPr>
        <w:pStyle w:val="Nadpis3"/>
      </w:pPr>
      <w:r>
        <w:t>Licence poskytnuté Objednateli touto Smlouvou se Poskytovate</w:t>
      </w:r>
      <w:r>
        <w:t xml:space="preserve">l zavazuje aktivovat na portálu Výrobce SW (Cisco Smart) pod účtem Objednatele (vzp.cz), a to bez zbytečného odkladu po nabytí účinnosti této Smlouvy, nejpozději však do 30 kalendářních dnů ode dne její účinnosti. </w:t>
      </w:r>
    </w:p>
    <w:p w14:paraId="044AD04D" w14:textId="77777777" w:rsidR="008103D0" w:rsidRDefault="002E1E31">
      <w:pPr>
        <w:pStyle w:val="Nadpis3"/>
      </w:pPr>
      <w:r>
        <w:t>O řádném provedení aktivace Licencí dle b</w:t>
      </w:r>
      <w:r>
        <w:t>odu 3.6.1 této Smlouvy zašle Poskytovatel bez zbytečného odkladu Objednateli zprávu prostřednictvím e-mailu zaslaného všem Pověřeným osobám Objednatele uvedeným v bodě 11.9 této Smlouvy (dále jen „</w:t>
      </w:r>
      <w:r>
        <w:rPr>
          <w:b/>
        </w:rPr>
        <w:t>notifikační e-mail</w:t>
      </w:r>
      <w:r>
        <w:t>“).</w:t>
      </w:r>
    </w:p>
    <w:p w14:paraId="4525C701" w14:textId="77777777" w:rsidR="008103D0" w:rsidRDefault="002E1E31">
      <w:pPr>
        <w:pStyle w:val="Nadpis3"/>
      </w:pPr>
      <w:r>
        <w:t>Po kontrole aktivace Licencí na Cisco</w:t>
      </w:r>
      <w:r>
        <w:t xml:space="preserve"> Smart licenčním portálu Pověřenou osobou Objednatele bude bez zbytečného odkladu Poskytovateli zaslán e-mail, stvrzující řádnou aktivaci Licencí, podepsaný Pověřenou osobou Objednatele (dále jen „</w:t>
      </w:r>
      <w:r>
        <w:rPr>
          <w:b/>
        </w:rPr>
        <w:t xml:space="preserve">akceptační </w:t>
      </w:r>
      <w:r>
        <w:rPr>
          <w:b/>
        </w:rPr>
        <w:br/>
        <w:t>e-mail</w:t>
      </w:r>
      <w:r>
        <w:t>“) nebo v případě zjištění vad oznámí Obj</w:t>
      </w:r>
      <w:r>
        <w:t>ednatel Poskytovateli zjištěné nedostatky a vyzve jej k jejich odstranění.</w:t>
      </w:r>
    </w:p>
    <w:p w14:paraId="55505192" w14:textId="77777777" w:rsidR="008103D0" w:rsidRDefault="002E1E31">
      <w:pPr>
        <w:spacing w:after="120" w:line="276" w:lineRule="auto"/>
        <w:ind w:firstLine="567"/>
      </w:pPr>
      <w:r>
        <w:t>(dále jen „</w:t>
      </w:r>
      <w:r>
        <w:rPr>
          <w:b/>
        </w:rPr>
        <w:t>Aktivace Licencí</w:t>
      </w:r>
      <w:r>
        <w:t>“)</w:t>
      </w:r>
    </w:p>
    <w:p w14:paraId="05563093" w14:textId="77777777" w:rsidR="008103D0" w:rsidRDefault="002E1E31">
      <w:pPr>
        <w:pStyle w:val="Nadpis2"/>
      </w:pPr>
      <w:r>
        <w:t>Aktivací Licencí se rozumí stav, kdy bude na portálu Výrobce SW uveden seznam Licencí, a to v rozsahu, počtu a době jejich platnosti dle této Smlouvy.</w:t>
      </w:r>
    </w:p>
    <w:p w14:paraId="56922568" w14:textId="77777777" w:rsidR="008103D0" w:rsidRDefault="002E1E31">
      <w:pPr>
        <w:pStyle w:val="Nadpis2"/>
      </w:pPr>
      <w:r>
        <w:t>Smluvní strany se dohodly, že platnost Licencí nastane následující pracovní den po jejich Aktivaci. Licence se poskytují na dobu 60 měsíců.</w:t>
      </w:r>
    </w:p>
    <w:p w14:paraId="3FB1F4DA" w14:textId="77777777" w:rsidR="008103D0" w:rsidRDefault="002E1E31">
      <w:pPr>
        <w:pStyle w:val="Nadpis2"/>
      </w:pPr>
      <w:r>
        <w:t xml:space="preserve">S nabytím platnosti Licencí se současně aktivuje i poskytování Podpory Výrobce.    </w:t>
      </w:r>
    </w:p>
    <w:p w14:paraId="290B2284" w14:textId="77777777" w:rsidR="008103D0" w:rsidRDefault="002E1E31">
      <w:pPr>
        <w:pStyle w:val="Nadpis2"/>
      </w:pPr>
      <w:r>
        <w:t>Poskytování Podpory Výrobce zahr</w:t>
      </w:r>
      <w:r>
        <w:t xml:space="preserve">nuje zejména poskytování aktualizací a opravných balíčků SW (upgrade / update / </w:t>
      </w:r>
      <w:proofErr w:type="spellStart"/>
      <w:r>
        <w:t>patches</w:t>
      </w:r>
      <w:proofErr w:type="spellEnd"/>
      <w:r>
        <w:t xml:space="preserve"> apod.).</w:t>
      </w:r>
    </w:p>
    <w:p w14:paraId="2B37FB32" w14:textId="77777777" w:rsidR="008103D0" w:rsidRDefault="002E1E31">
      <w:pPr>
        <w:pStyle w:val="Nadpis2"/>
      </w:pPr>
      <w:r>
        <w:t xml:space="preserve">Aktualizace a opravné balíčky SW (upgrade / update / </w:t>
      </w:r>
      <w:proofErr w:type="spellStart"/>
      <w:r>
        <w:t>patches</w:t>
      </w:r>
      <w:proofErr w:type="spellEnd"/>
      <w:r>
        <w:t xml:space="preserve"> apod.) získá Objednatel buď stažením z internetových stránek: </w:t>
      </w:r>
      <w:hyperlink r:id="rId11" w:anchor="~tab-downloads" w:history="1">
        <w:r>
          <w:rPr>
            <w:rStyle w:val="Hypertextovodkaz"/>
          </w:rPr>
          <w:t>https://www.cisco.com/c/en/us/support/routers/catalyst-8000v-edge-software/series.html#~tab-downloads</w:t>
        </w:r>
      </w:hyperlink>
      <w:r>
        <w:t xml:space="preserve"> nebo budou poskytnuty na vyžádání Objednatele, a to kdykoli po dobu </w:t>
      </w:r>
      <w:r>
        <w:t>trvání této Smlouvy.</w:t>
      </w:r>
    </w:p>
    <w:p w14:paraId="1DAC6D74" w14:textId="77777777" w:rsidR="008103D0" w:rsidRDefault="008103D0">
      <w:pPr>
        <w:rPr>
          <w:lang w:eastAsia="cs-CZ"/>
        </w:rPr>
      </w:pPr>
    </w:p>
    <w:p w14:paraId="7AEFCF22" w14:textId="77777777" w:rsidR="008103D0" w:rsidRDefault="002E1E31">
      <w:pPr>
        <w:pStyle w:val="Nadpis1"/>
        <w:rPr>
          <w:lang w:eastAsia="cs-CZ"/>
        </w:rPr>
      </w:pPr>
      <w:r>
        <w:rPr>
          <w:lang w:eastAsia="cs-CZ"/>
        </w:rPr>
        <w:t>Doba a místo plnění</w:t>
      </w:r>
    </w:p>
    <w:p w14:paraId="5CEA3CF1" w14:textId="77777777" w:rsidR="008103D0" w:rsidRDefault="002E1E31">
      <w:pPr>
        <w:pStyle w:val="Nadpis2"/>
      </w:pPr>
      <w:r>
        <w:t>Poskytovatel se zavazuje realizovat předmět plnění dle této Smlouvy řádně a včas a v souladu se všemi podmínkami této Smlouvy.</w:t>
      </w:r>
    </w:p>
    <w:p w14:paraId="2130D17B" w14:textId="77777777" w:rsidR="008103D0" w:rsidRDefault="002E1E31">
      <w:pPr>
        <w:pStyle w:val="Nadpis2"/>
      </w:pPr>
      <w:r>
        <w:t xml:space="preserve">Závazek Poskytovatele dle bodu 3.2 této Smlouvy bude považován za splněný dnem </w:t>
      </w:r>
      <w:r>
        <w:t>nabytí platnosti Licencí.</w:t>
      </w:r>
    </w:p>
    <w:p w14:paraId="68E10CAF" w14:textId="77777777" w:rsidR="008103D0" w:rsidRDefault="002E1E31">
      <w:pPr>
        <w:pStyle w:val="Nadpis2"/>
        <w:rPr>
          <w:rFonts w:eastAsia="Calibri"/>
          <w:sz w:val="22"/>
          <w:szCs w:val="22"/>
          <w:bdr w:val="none" w:sz="0" w:space="0" w:color="auto" w:frame="1"/>
        </w:rPr>
      </w:pPr>
      <w:r>
        <w:t>Místem plnění je sídlo Objednatele, tj. Všeobecná zdravotní pojišťovna České republiky, Orlická 2020/4, 130 00 Praha 3.</w:t>
      </w:r>
      <w:r>
        <w:rPr>
          <w:rFonts w:eastAsia="Calibri"/>
          <w:sz w:val="22"/>
          <w:szCs w:val="22"/>
          <w:bdr w:val="none" w:sz="0" w:space="0" w:color="auto" w:frame="1"/>
        </w:rPr>
        <w:t xml:space="preserve"> </w:t>
      </w:r>
    </w:p>
    <w:p w14:paraId="1CB08DD6" w14:textId="77777777" w:rsidR="008103D0" w:rsidRDefault="008103D0"/>
    <w:p w14:paraId="3C3E12AD" w14:textId="77777777" w:rsidR="008103D0" w:rsidRDefault="002E1E31">
      <w:pPr>
        <w:pStyle w:val="Nadpis1"/>
      </w:pPr>
      <w:r>
        <w:lastRenderedPageBreak/>
        <w:t>Cena plnění</w:t>
      </w:r>
    </w:p>
    <w:p w14:paraId="345F38B6" w14:textId="77777777" w:rsidR="008103D0" w:rsidRDefault="002E1E31">
      <w:pPr>
        <w:pStyle w:val="Nadpis2"/>
      </w:pPr>
      <w:r>
        <w:t xml:space="preserve">Cena za plnění dle této Smlouvy je stanovena v souladu se zákonem č. 526/1990 Sb., o cenách, ve </w:t>
      </w:r>
      <w:r>
        <w:t xml:space="preserve">znění pozdějších předpisů, a to na základě předložené cenové nabídky Poskytovatele v rámci předmětné veřejné zakázky. </w:t>
      </w:r>
    </w:p>
    <w:p w14:paraId="440F6AFE" w14:textId="77777777" w:rsidR="008103D0" w:rsidRDefault="002E1E31">
      <w:pPr>
        <w:pStyle w:val="Nadpis2"/>
      </w:pPr>
      <w:r>
        <w:t>Poskytovatel se zavazuje poskytovat Objednateli plnění podle této Smlouvy po celou dobu trvání této Smlouvy za cenu, která je uvedena v b</w:t>
      </w:r>
      <w:r>
        <w:t xml:space="preserve">odě 5.3 této Smlouvy. </w:t>
      </w:r>
    </w:p>
    <w:p w14:paraId="1E887A0D" w14:textId="77777777" w:rsidR="008103D0" w:rsidRDefault="002E1E31">
      <w:pPr>
        <w:pStyle w:val="Nadpis2"/>
      </w:pPr>
      <w:r>
        <w:t xml:space="preserve">Celková </w:t>
      </w:r>
      <w:bookmarkStart w:id="5" w:name="_Hlk174020263"/>
      <w:r>
        <w:t xml:space="preserve">cena za plnění dle této Smlouvy zahrnuje odměnu za poskytnutí Licencí a cenu za poskytování Podpory podle této Smlouvy za období 60 měsíců a činí: </w:t>
      </w:r>
      <w:r>
        <w:rPr>
          <w:rFonts w:eastAsia="Arial Unicode MS"/>
        </w:rPr>
        <w:t xml:space="preserve">306 990 </w:t>
      </w:r>
      <w:r>
        <w:t>Kč (slovy:</w:t>
      </w:r>
      <w:r>
        <w:rPr>
          <w:rFonts w:eastAsia="Arial Unicode MS"/>
        </w:rPr>
        <w:t xml:space="preserve"> tři sta šest tisíc devět set devadesát </w:t>
      </w:r>
      <w:r>
        <w:t>korun českých) bez D</w:t>
      </w:r>
      <w:r>
        <w:t>PH.</w:t>
      </w:r>
      <w:bookmarkEnd w:id="5"/>
    </w:p>
    <w:p w14:paraId="74BF0E26" w14:textId="77777777" w:rsidR="008103D0" w:rsidRDefault="002E1E31">
      <w:pPr>
        <w:pStyle w:val="Nadpis2"/>
      </w:pPr>
      <w:r>
        <w:t>Cena za plnění (bez DPH) uvedená v bodě 5.3 této Smlouvy je konečná a nepřekročitelná a je platná po celou dobu trvání této Smlouvy. Tato cena zahrnuje i veškeré další náklady Poskytovatele spojené s poskytováním plnění dle této Smlouvy.</w:t>
      </w:r>
    </w:p>
    <w:p w14:paraId="608EC84E" w14:textId="77777777" w:rsidR="008103D0" w:rsidRDefault="002E1E31">
      <w:pPr>
        <w:pStyle w:val="Nadpis2"/>
      </w:pPr>
      <w:r>
        <w:t xml:space="preserve">Bude-li </w:t>
      </w:r>
      <w:bookmarkStart w:id="6" w:name="_Hlk174020325"/>
      <w:r>
        <w:t>ke dni</w:t>
      </w:r>
      <w:r>
        <w:t xml:space="preserve"> uskutečnění zdanitelného plnění Poskytovatel plátcem DPH, bude k ceně bez DPH uvedené v bodě 5.3 této Smlouvy účtována Poskytovatelem daň z přidané hodnoty ve výši dle sazby stanovené příslušnými právními předpisy platnými a účinnými ke dni uskutečnění zd</w:t>
      </w:r>
      <w:r>
        <w:t>anitelného plnění. Za správnost stanovení sazby DPH a vyčíslení výše DPH odpovídá Poskytovatel</w:t>
      </w:r>
      <w:bookmarkEnd w:id="6"/>
      <w:r>
        <w:t>.</w:t>
      </w:r>
    </w:p>
    <w:p w14:paraId="60A745F4" w14:textId="77777777" w:rsidR="008103D0" w:rsidRDefault="002E1E31">
      <w:pPr>
        <w:pStyle w:val="Nadpis2"/>
      </w:pPr>
      <w:r>
        <w:t xml:space="preserve">Poskytovatel, </w:t>
      </w:r>
      <w:bookmarkStart w:id="7" w:name="_Hlk174020398"/>
      <w:r>
        <w:t>který ke dni uskutečnění zdanitelného plnění nebude plátcem DPH, bude Objednateli účtovat cenu uvedenou v bodě 5.3 této Smlouvy jako cenu konečnou</w:t>
      </w:r>
      <w:bookmarkEnd w:id="7"/>
      <w:r>
        <w:t>.</w:t>
      </w:r>
    </w:p>
    <w:p w14:paraId="0C3397E2" w14:textId="77777777" w:rsidR="008103D0" w:rsidRDefault="008103D0">
      <w:pPr>
        <w:rPr>
          <w:lang w:eastAsia="cs-CZ"/>
        </w:rPr>
      </w:pPr>
    </w:p>
    <w:p w14:paraId="32565E58" w14:textId="77777777" w:rsidR="008103D0" w:rsidRDefault="002E1E31">
      <w:pPr>
        <w:pStyle w:val="Nadpis1"/>
        <w:rPr>
          <w:lang w:eastAsia="cs-CZ"/>
        </w:rPr>
      </w:pPr>
      <w:r>
        <w:rPr>
          <w:lang w:eastAsia="cs-CZ"/>
        </w:rPr>
        <w:t>Fakturační a platební podmínky</w:t>
      </w:r>
    </w:p>
    <w:p w14:paraId="366E1403" w14:textId="77777777" w:rsidR="008103D0" w:rsidRDefault="002E1E31">
      <w:pPr>
        <w:pStyle w:val="Nadpis2"/>
      </w:pPr>
      <w:r>
        <w:t>Úhrada za plnění poskytnuté dle této Smlouvy (tj. odměna za poskytnutí Licencí a cena za poskytování Podpory) bude provedena bezhotovostním převodem na bankovní účet Poskytovatele uvedený v záhlaví této Smlouvy, a to na zá</w:t>
      </w:r>
      <w:r>
        <w:t>kladě daňového dokladu – faktury (dále též jen „</w:t>
      </w:r>
      <w:r>
        <w:rPr>
          <w:b/>
        </w:rPr>
        <w:t>faktura</w:t>
      </w:r>
      <w:r>
        <w:t>“) vystavené Poskytovatelem a zaslané Objednateli.</w:t>
      </w:r>
    </w:p>
    <w:p w14:paraId="380279DA" w14:textId="77777777" w:rsidR="008103D0" w:rsidRDefault="002E1E31">
      <w:pPr>
        <w:pStyle w:val="Nadpis2"/>
      </w:pPr>
      <w:r>
        <w:t xml:space="preserve">Úhrada celkové ceny plnění dle bodu 5.3 této Smlouvy bude provedena formou předplatného na celé období trvání Licencí a Podpory. Dnem uskutečnění zdanitelného plnění je den nabytí platnosti Licencí. </w:t>
      </w:r>
    </w:p>
    <w:p w14:paraId="520973F7" w14:textId="77777777" w:rsidR="008103D0" w:rsidRDefault="002E1E31">
      <w:pPr>
        <w:pStyle w:val="Nadpis2"/>
      </w:pPr>
      <w:r>
        <w:t>Poskytovatel je oprávněn vystavit fakturu po nabytí plat</w:t>
      </w:r>
      <w:r>
        <w:t>nosti Licencí.</w:t>
      </w:r>
    </w:p>
    <w:p w14:paraId="4FB2A76B" w14:textId="77777777" w:rsidR="008103D0" w:rsidRDefault="002E1E31">
      <w:pPr>
        <w:pStyle w:val="Nadpis2"/>
      </w:pPr>
      <w:bookmarkStart w:id="8" w:name="_Hlk215555586"/>
      <w:r>
        <w:t xml:space="preserve">Fakturu Poskytovatel zašle Objednateli v elektronické podobě do jeho datové schránky nebo </w:t>
      </w:r>
      <w:r>
        <w:br/>
        <w:t xml:space="preserve">e-mailem zaslaným na adresu </w:t>
      </w:r>
      <w:hyperlink r:id="rId12" w:history="1">
        <w:r>
          <w:rPr>
            <w:rStyle w:val="Odkazintenzivn"/>
            <w:b w:val="0"/>
            <w:bCs/>
            <w:smallCaps w:val="0"/>
          </w:rPr>
          <w:t>podatelna@vzp.cz</w:t>
        </w:r>
      </w:hyperlink>
      <w:r>
        <w:t>, přičemž předmět (název) e-mailu musí začínat slovem „</w:t>
      </w:r>
      <w:r>
        <w:rPr>
          <w:b/>
        </w:rPr>
        <w:t>Faktura</w:t>
      </w:r>
      <w:r>
        <w:t xml:space="preserve">“. </w:t>
      </w:r>
    </w:p>
    <w:bookmarkEnd w:id="8"/>
    <w:p w14:paraId="13CD81CD" w14:textId="77777777" w:rsidR="008103D0" w:rsidRDefault="002E1E31">
      <w:pPr>
        <w:pStyle w:val="Nadpis2"/>
      </w:pPr>
      <w:r>
        <w:t>Na faktuře musí být jako odběratel uvedena Všeobecná zdravotní pojišťovna České republiky, Orlická 2020/4, 130 00 Praha 3.</w:t>
      </w:r>
    </w:p>
    <w:p w14:paraId="4DF9455A" w14:textId="77777777" w:rsidR="008103D0" w:rsidRDefault="002E1E31">
      <w:pPr>
        <w:pStyle w:val="Nadpis2"/>
      </w:pPr>
      <w:r>
        <w:t>Splatnost faktury se sjednává 30 dnů ode dne jejího řádného doručení Objednateli.</w:t>
      </w:r>
    </w:p>
    <w:p w14:paraId="6EE66A27" w14:textId="77777777" w:rsidR="008103D0" w:rsidRDefault="002E1E31">
      <w:pPr>
        <w:pStyle w:val="Nadpis2"/>
      </w:pPr>
      <w:r>
        <w:t>Úhrada za plnění bude provedena v českých korunách.</w:t>
      </w:r>
      <w:r>
        <w:t xml:space="preserve"> Peněžitá částka se považuje za zaplacenou (tj. peněžitý závazek se považuje za splněný) okamžikem jejího odepsání z účtu Objednatele ve prospěch účtu Poskytovatele. Poskytovatel není oprávněn nárokovat bankovní poplatky nebo jiné náklady vztahující se k p</w:t>
      </w:r>
      <w:r>
        <w:t>řevodu poukazovaných částek mezi Smluvními stranami na základě této Smlouvy.</w:t>
      </w:r>
    </w:p>
    <w:p w14:paraId="18835FEB" w14:textId="77777777" w:rsidR="008103D0" w:rsidRDefault="002E1E31">
      <w:pPr>
        <w:pStyle w:val="Nadpis2"/>
      </w:pPr>
      <w:r>
        <w:t>Faktura musí obsahovat všechny náležitosti řádného účetního a daňového dokladu ve smyslu příslušných zákonných ustanovení, zejména zákona č. 235/2004 Sb., o dani z přidané hodnoty</w:t>
      </w:r>
      <w:r>
        <w:t>, ve znění pozdějších předpisů (dále též jen „</w:t>
      </w:r>
      <w:r>
        <w:rPr>
          <w:b/>
        </w:rPr>
        <w:t>zákon o DPH</w:t>
      </w:r>
      <w:r>
        <w:t xml:space="preserve">“), zákona č. 563/1991 Sb., o účetnictví, ve znění pozdějších předpisů a § 435 občanského zákoníku. Faktura musí obsahovat číslo této </w:t>
      </w:r>
      <w:r>
        <w:lastRenderedPageBreak/>
        <w:t>Smlouvy. Přílohou faktury musí být Pověřenou osobou Objednatele p</w:t>
      </w:r>
      <w:r>
        <w:t>odepsaný akceptační e-mail stvrzující řádnou Aktivaci Licencí.</w:t>
      </w:r>
    </w:p>
    <w:p w14:paraId="030376B1" w14:textId="77777777" w:rsidR="008103D0" w:rsidRDefault="002E1E31">
      <w:pPr>
        <w:pStyle w:val="Nadpis2"/>
      </w:pPr>
      <w:r>
        <w:t>V případě, že faktura nebude mít veškeré náležitosti podle výše uvedených právních předpisů nebo podle této Smlouvy nebo v ní budou uvedeny nesprávné údaje, tj. chybné formální náležitosti (ide</w:t>
      </w:r>
      <w:r>
        <w:t>ntifikační údaje, zdaňovací období, odkaz na číslo této Smlouvy apod.), je Objednatel oprávněn před uplynutím lhůty splatnosti fakturu vrátit Poskytovateli. V průvodním dopise ke vrácené faktuře musí uvést důvod vrácení. Poskytovatel je povinen podle povah</w:t>
      </w:r>
      <w:r>
        <w:t>y nesprávnosti fakturu opravit nebo nově vyhotovit. Oprávněným vrácením faktury přestává běžet původní lhůta splatnosti a celá 30denní lhůta běží znovu ode dne opětovného doručení opravené nebo nově vyhotovené faktury Objednateli způsobem uvedeným v bodě 6</w:t>
      </w:r>
      <w:r>
        <w:t>.4 této Smlouvy.</w:t>
      </w:r>
    </w:p>
    <w:p w14:paraId="36ED203F" w14:textId="77777777" w:rsidR="008103D0" w:rsidRDefault="002E1E31">
      <w:pPr>
        <w:pStyle w:val="Nadpis2"/>
      </w:pPr>
      <w:r>
        <w:t>Poskytovatel, pokud je v den uzavření této Smlouvy plátcem DPH, prohlašuje, že účet uvedený v záhlaví této Smlouvy je účtem zveřejněným správcem daně způsobem umožňujícím dálkový přístup ve smyslu § 96 odst. 2 zákona o DPH. V případě, že P</w:t>
      </w:r>
      <w:r>
        <w:t>oskytovatel nebude mít v době uskutečnění zdanitelného plnění bankovní účet uvedený v záhlaví této Smlouvy způsobem zveřejněn, uhradí Objednatel Poskytovateli v dohodnutém termínu splatnosti faktury pouze částku představující dohodnutou cenu plnění bez DPH</w:t>
      </w:r>
      <w:r>
        <w:t xml:space="preserve">. Částku rovnající se výši DPH z Poskytovatelem fakturované ceny plnění uhradí Objednatel, v souladu s § 109a zákona o DPH, finančnímu úřadu místně příslušnému Poskytovateli. Poskytovatel výslovně prohlašuje, že příslušnou cenu plnění bude považovat tímto </w:t>
      </w:r>
      <w:r>
        <w:t>za zaplacenou. Smluvní strany se dohodly, že podle tohoto ustanovení bude postupováno též v případě, pokud se Poskytovatel v době poskytování plnění dle této Smlouvy plátcem DPH stane.</w:t>
      </w:r>
    </w:p>
    <w:p w14:paraId="41FAD05B" w14:textId="77777777" w:rsidR="008103D0" w:rsidRDefault="002E1E31">
      <w:pPr>
        <w:pStyle w:val="Nadpis2"/>
      </w:pPr>
      <w:r>
        <w:t>Pokud v době uskutečnění příslušného zdanitelného plnění bude Poskytova</w:t>
      </w:r>
      <w:r>
        <w:t>tel uveden v „Registru plátců DPH“ jako nespolehlivý plátce, dohodly se Smluvní strany, že Objednatel bude postupovat při úhradě ceny příslušného plnění způsobem uvedeným v bodě 6.10 této Smlouvy.</w:t>
      </w:r>
    </w:p>
    <w:p w14:paraId="4E17F7C4" w14:textId="77777777" w:rsidR="008103D0" w:rsidRDefault="002E1E31">
      <w:pPr>
        <w:pStyle w:val="Nadpis2"/>
      </w:pPr>
      <w:r>
        <w:t>Smluvní strany se dohodly, že bankovní účty uvedené u jejic</w:t>
      </w:r>
      <w:r>
        <w:t>h identifikačních údajů v záhlaví této Smlouvy mohou být měněny pouze formou písemných smluvních dodatků k této Smlouvě, podepsaných oprávněnými zástupci Smluvních stran.</w:t>
      </w:r>
    </w:p>
    <w:p w14:paraId="088909B3" w14:textId="77777777" w:rsidR="008103D0" w:rsidRDefault="008103D0"/>
    <w:p w14:paraId="0C45D64C" w14:textId="77777777" w:rsidR="008103D0" w:rsidRDefault="002E1E31">
      <w:pPr>
        <w:pStyle w:val="Nadpis1"/>
      </w:pPr>
      <w:r>
        <w:t>Sankční ujednání</w:t>
      </w:r>
    </w:p>
    <w:p w14:paraId="6E3AD2E9" w14:textId="77777777" w:rsidR="008103D0" w:rsidRDefault="002E1E31">
      <w:pPr>
        <w:pStyle w:val="Nadpis2"/>
      </w:pPr>
      <w:r>
        <w:t>V případě prodlení Poskytovatele se splněním termínu Aktivace Licen</w:t>
      </w:r>
      <w:r>
        <w:t xml:space="preserve">cí uvedeného v bodě 3.6 této Smlouvy může Objednatel vyúčtovat Poskytovateli smluvní pokutu ve výši 500 Kč za každý kalendářní den prodlení a Poskytovatel se zavazuje vyúčtovanou smluvní pokutu uhradit. </w:t>
      </w:r>
    </w:p>
    <w:p w14:paraId="61BA226A" w14:textId="77777777" w:rsidR="008103D0" w:rsidRDefault="002E1E31">
      <w:pPr>
        <w:pStyle w:val="Nadpis2"/>
      </w:pPr>
      <w:r>
        <w:t>V případě prodlení Objednatele se zaplacením faktury</w:t>
      </w:r>
      <w:r>
        <w:t xml:space="preserve"> může Poskytovatel vyúčtovat Objednateli úrok z prodlení ve výši 0,02 % z nezaplacené částky předmětné faktury za každý kalendářní den prodlení a Objednatel je povinen tuto sankci uhradit.</w:t>
      </w:r>
    </w:p>
    <w:p w14:paraId="3CC71A65" w14:textId="77777777" w:rsidR="008103D0" w:rsidRDefault="002E1E31">
      <w:pPr>
        <w:pStyle w:val="Nadpis2"/>
      </w:pPr>
      <w:r>
        <w:t>Uhrazením jakékoliv smluvní pokuty není dotčeno právo Objednatele n</w:t>
      </w:r>
      <w:r>
        <w:t>a náhradu škody vzniklé porušením povinnosti Poskytovatele dle této Smlouvy (s omezením dle bodu 10.3 této Smlouvy), a to v rozsahu převyšujícím smluvní pokutu.</w:t>
      </w:r>
    </w:p>
    <w:p w14:paraId="3D4C5F05" w14:textId="77777777" w:rsidR="008103D0" w:rsidRDefault="008103D0">
      <w:pPr>
        <w:rPr>
          <w:lang w:eastAsia="cs-CZ"/>
        </w:rPr>
      </w:pPr>
    </w:p>
    <w:p w14:paraId="35E623D9" w14:textId="77777777" w:rsidR="008103D0" w:rsidRDefault="002E1E31">
      <w:pPr>
        <w:pStyle w:val="Nadpis1"/>
      </w:pPr>
      <w:r>
        <w:t>Ochrana informací, údajů a dat</w:t>
      </w:r>
    </w:p>
    <w:p w14:paraId="58FA1E49" w14:textId="77777777" w:rsidR="008103D0" w:rsidRDefault="002E1E31">
      <w:pPr>
        <w:pStyle w:val="Nadpis2"/>
      </w:pPr>
      <w:r>
        <w:t xml:space="preserve">VZP ČR podle § 24 odst. 1 zákona č. 551/1991 Sb., o </w:t>
      </w:r>
      <w:r>
        <w:t>Všeobecné zdravotní pojišťovně České republiky, ve znění pozdějších předpisů (dále jen „</w:t>
      </w:r>
      <w:r>
        <w:rPr>
          <w:b/>
        </w:rPr>
        <w:t>zákon č. 551/1991</w:t>
      </w:r>
      <w:r>
        <w:t xml:space="preserve"> </w:t>
      </w:r>
      <w:r>
        <w:rPr>
          <w:b/>
        </w:rPr>
        <w:t>Sb.</w:t>
      </w:r>
      <w:r>
        <w:t>“), spravuje, aktualizuje a rozvíjí informační systém VZP ČR, přičemž postupuje a řídí se příslušnými ustanoveními cit. zákona a souvisejícími práv</w:t>
      </w:r>
      <w:r>
        <w:t>ními předpisy. S odkazem na § 24a zákona č. 551/1991 Sb., zákon č. 110/2019 Sb., o zpracování osobních údajů, Nařízení Evropského parlamentu a Rady (EU) 2016/679 ze dne 27. dubna 2016 o ochraně fyzických osob v souvislosti se zpracováním osobních údajů a o</w:t>
      </w:r>
      <w:r>
        <w:t xml:space="preserve"> volném pohybu těchto údajů a o zrušení směrnice 95/46/ES (obecné nařízení </w:t>
      </w:r>
      <w:r>
        <w:lastRenderedPageBreak/>
        <w:t>o ochraně osobních údajů), a dále na zákon č. </w:t>
      </w:r>
      <w:bookmarkStart w:id="9" w:name="_Hlk221532072"/>
      <w:r>
        <w:t>264/2025</w:t>
      </w:r>
      <w:bookmarkEnd w:id="9"/>
      <w:r>
        <w:t xml:space="preserve"> Sb. o kybernetické bezpečnosti, se Poskytovatel zavazuje učinit taková opatření, aby veškeré osoby, které se podílejí na reali</w:t>
      </w:r>
      <w:r>
        <w:t>zaci jeho závazků z této Smlouvy, zachovávaly mlčenlivost o veškerých osobních údajích, jakož i o </w:t>
      </w:r>
      <w:proofErr w:type="spellStart"/>
      <w:r>
        <w:t>technicko-organizačních</w:t>
      </w:r>
      <w:proofErr w:type="spellEnd"/>
      <w:r>
        <w:t xml:space="preserve"> opatřeních k jejich ochraně, o nichž se při plnění závazků dozvěděly, včetně těch, které VZP ČR eviduje pomocí výpočetní techniky, či </w:t>
      </w:r>
      <w:r>
        <w:t>jinak. Tutéž mlčenlivost se zavazuje zachovávat i Poskytovatel. Toto ujednání platí i v případě nahrazení uvedených právních předpisů předpisy jinými.</w:t>
      </w:r>
    </w:p>
    <w:p w14:paraId="0E68CA49" w14:textId="77777777" w:rsidR="008103D0" w:rsidRDefault="002E1E31">
      <w:pPr>
        <w:pStyle w:val="Nadpis2"/>
      </w:pPr>
      <w:r>
        <w:t xml:space="preserve">Poskytovatel se dále zavazuje zajistit, aby veškeré osoby, které se podílejí na realizaci jeho závazků z </w:t>
      </w:r>
      <w:r>
        <w:t>této Smlouvy, zachovávaly mlčenlivost o veškerých dalších skutečnostech, údajích a datech, o nichž se při plnění těchto závazků dozvěděly, a které nejsou veřejně známé nebo veřejně dostupné. Tutéž mlčenlivost se zavazuje zachovávat i Poskytovatel.</w:t>
      </w:r>
    </w:p>
    <w:p w14:paraId="65251E58" w14:textId="77777777" w:rsidR="008103D0" w:rsidRDefault="002E1E31">
      <w:pPr>
        <w:pStyle w:val="Nadpis2"/>
      </w:pPr>
      <w:r>
        <w:t>Za poruš</w:t>
      </w:r>
      <w:r>
        <w:t xml:space="preserve">ení závazků uvedených v bodech 8.1 a 8.2 této Smlouvy se považuje i využití těchto skutečností, údajů a dat, jakož i dalších vědomostí pro vlastní prospěch Poskytovatele, prospěch třetí osoby nebo pro jiné důvody. </w:t>
      </w:r>
    </w:p>
    <w:p w14:paraId="5C0A0F47" w14:textId="77777777" w:rsidR="008103D0" w:rsidRDefault="002E1E31">
      <w:pPr>
        <w:pStyle w:val="Nadpis2"/>
      </w:pPr>
      <w:r>
        <w:t>Poskytnutí informací na základě povinnost</w:t>
      </w:r>
      <w:r>
        <w:t xml:space="preserve">í stanovených Smluvním stranám obecně závaznými právními předpisy České republiky včetně přímo použitelných předpisů Evropské unie není považováno za porušení povinností Smluvních stran sjednaných v tomto článku. </w:t>
      </w:r>
    </w:p>
    <w:p w14:paraId="08F8F38F" w14:textId="77777777" w:rsidR="008103D0" w:rsidRDefault="002E1E31">
      <w:pPr>
        <w:pStyle w:val="Nadpis2"/>
      </w:pPr>
      <w:r>
        <w:t>Za porušení závazku uvedeného v bodě 8.1 t</w:t>
      </w:r>
      <w:r>
        <w:t xml:space="preserve">éto Smlouvy je Poskytovatel povinen zaplatit Objednateli v každém jednotlivém případě smluvní pokutu ve výši 1 000 000 Kč (slovy: jeden milion korun českých). </w:t>
      </w:r>
    </w:p>
    <w:p w14:paraId="51A4637B" w14:textId="77777777" w:rsidR="008103D0" w:rsidRDefault="002E1E31">
      <w:pPr>
        <w:pStyle w:val="Nadpis2"/>
      </w:pPr>
      <w:r>
        <w:t>Za porušení závazku uvedeného v bodě 8.2 této Smlouvy je Poskytovatel povinen zaplatit Objednate</w:t>
      </w:r>
      <w:r>
        <w:t>li v každém jednotlivém případě smluvní pokutu ve výši 100 000 Kč (slovy: jedno sto tisíc korun českých).</w:t>
      </w:r>
    </w:p>
    <w:p w14:paraId="2A8937CE" w14:textId="77777777" w:rsidR="008103D0" w:rsidRDefault="002E1E31">
      <w:pPr>
        <w:pStyle w:val="Nadpis2"/>
      </w:pPr>
      <w:r>
        <w:t>Ujednáním o smluvní pokutě ani zaplacením smluvní pokuty podle tohoto článku není dotčeno právo Objednatele na náhradu škody vzniklé z porušení povinn</w:t>
      </w:r>
      <w:r>
        <w:t>osti, ke kterému se smluvní pokuta vztahuje, a to v celém rozsahu. Ustanovení bodu 10.3 této Smlouvy se v těchto případech nepoužije.</w:t>
      </w:r>
    </w:p>
    <w:p w14:paraId="6D2EB6AB" w14:textId="77777777" w:rsidR="008103D0" w:rsidRDefault="002E1E31">
      <w:pPr>
        <w:pStyle w:val="Nadpis2"/>
      </w:pPr>
      <w:r>
        <w:t>Práva a závazky Smluvních stran uvedené v tomto článku trvají i po skončení smluvního vztahu založeného touto Smlouvou.</w:t>
      </w:r>
    </w:p>
    <w:p w14:paraId="3422C059" w14:textId="77777777" w:rsidR="008103D0" w:rsidRDefault="008103D0">
      <w:pPr>
        <w:widowControl w:val="0"/>
        <w:ind w:left="283"/>
      </w:pPr>
    </w:p>
    <w:p w14:paraId="3439E47C" w14:textId="77777777" w:rsidR="008103D0" w:rsidRDefault="002E1E31">
      <w:pPr>
        <w:pStyle w:val="Nadpis1"/>
      </w:pPr>
      <w:r>
        <w:t>U</w:t>
      </w:r>
      <w:r>
        <w:t>veřejnění Smlouvy</w:t>
      </w:r>
    </w:p>
    <w:p w14:paraId="2BFF2DD5" w14:textId="77777777" w:rsidR="008103D0" w:rsidRDefault="002E1E31">
      <w:pPr>
        <w:pStyle w:val="Nadpis2"/>
      </w:pPr>
      <w:r>
        <w:t xml:space="preserve">Smluvní strany jsou si plně vědomy zákonné povinnosti Smluvních stran uveřejnit dle zákona č. 340/2015 Sb., o zvláštních podmínkách účinnosti některých smluv, uveřejňování těchto smluv a o registru smluv (zákon o registru smluv) ve znění </w:t>
      </w:r>
      <w:r>
        <w:t>pozdějších předpisů, tuto Smlouvu, včetně všech případných dohod či dodatků, kterými se tato Smlouva doplňuje, mění, nahrazuje nebo ruší, prostřednictvím registru smluv.</w:t>
      </w:r>
    </w:p>
    <w:p w14:paraId="778E1479" w14:textId="77777777" w:rsidR="008103D0" w:rsidRDefault="002E1E31">
      <w:pPr>
        <w:pStyle w:val="Nadpis2"/>
      </w:pPr>
      <w:r>
        <w:t>Uveřejněním této Smlouvy dle bodu 9.1 této Smlouvy se rozumí uveřejnění elektronického</w:t>
      </w:r>
      <w:r>
        <w:t xml:space="preserve"> obrazu textového obsahu této Smlouvy ve formátu stanoveném zákonem o registru smluv, prostřednictvím registru smluv.</w:t>
      </w:r>
    </w:p>
    <w:p w14:paraId="20B46CD5" w14:textId="77777777" w:rsidR="008103D0" w:rsidRDefault="002E1E31">
      <w:pPr>
        <w:pStyle w:val="Nadpis2"/>
      </w:pPr>
      <w:r>
        <w:t>Smluvní strany se dohodly, že tuto Smlouvu zašle správci registru smluv k uveřejnění prostřednictvím registru smluv Objednatel. Poskytovat</w:t>
      </w:r>
      <w:r>
        <w:t>el je povinen zkontrolovat, že tato Smlouva včetně všech příloh a metadat byla řádně prostřednictvím registru smluv uveřejněna. V případě, že Poskytovatel zjistí jakékoliv nepřesnosti či nedostatky, je povinen bez zbytečného odkladu o nich Objednatele info</w:t>
      </w:r>
      <w:r>
        <w:t>rmovat.</w:t>
      </w:r>
    </w:p>
    <w:p w14:paraId="44BFD90E" w14:textId="77777777" w:rsidR="008103D0" w:rsidRDefault="002E1E31">
      <w:pPr>
        <w:pStyle w:val="Nadpis2"/>
      </w:pPr>
      <w:r>
        <w:t>Postup uvedený v bodě 9.3 této Smlouvy se Smluvní strany zavazují dodržovat i v případě uzavření dodatků k této Smlouvě, jakož i v případě jakýchkoli dalších dohod, kterými se tato Smlouva bude případně doplňovat, měnit, nahrazovat nebo rušit.</w:t>
      </w:r>
    </w:p>
    <w:p w14:paraId="0EF6D856" w14:textId="77777777" w:rsidR="008103D0" w:rsidRDefault="002E1E31">
      <w:pPr>
        <w:pStyle w:val="Nadpis2"/>
      </w:pPr>
      <w:r>
        <w:lastRenderedPageBreak/>
        <w:t>Posk</w:t>
      </w:r>
      <w:r>
        <w:t>ytovatel bere na vědomí a souhlasí s tím, že Objednatel rovněž může uveřejnit tuto Smlouvu (tj. celé znění včetně všech příloh), včetně všech jejích případných dodatků, na svém profilu zadavatele; ustanovení bodu 9.6 a 9.7 této Smlouvy se vztahuje i na ten</w:t>
      </w:r>
      <w:r>
        <w:t>to postup.</w:t>
      </w:r>
    </w:p>
    <w:p w14:paraId="2ED62473" w14:textId="77777777" w:rsidR="008103D0" w:rsidRDefault="002E1E31">
      <w:pPr>
        <w:pStyle w:val="Nadpis2"/>
      </w:pPr>
      <w:r>
        <w:t xml:space="preserve">Poskytovatel výslovně souhlasí s tím, že s výjimkou ustanovení znečitelněných v souladu se zákonem o registru smluv bude uveřejněno úplné znění této Smlouvy. </w:t>
      </w:r>
    </w:p>
    <w:p w14:paraId="68411502" w14:textId="77777777" w:rsidR="008103D0" w:rsidRDefault="002E1E31">
      <w:pPr>
        <w:pStyle w:val="Nadpis2"/>
      </w:pPr>
      <w:r>
        <w:t xml:space="preserve">Objednatel výslovně souhlasí s tím, že s výjimkou ustanovení znečitelněných v souladu </w:t>
      </w:r>
      <w:r>
        <w:t>se zákonem o registru smluv bude uveřejněno úplné znění této Smlouvy.</w:t>
      </w:r>
    </w:p>
    <w:p w14:paraId="23CFE7A3" w14:textId="77777777" w:rsidR="008103D0" w:rsidRDefault="008103D0">
      <w:pPr>
        <w:pStyle w:val="Odstavecseseznamem"/>
        <w:ind w:left="284"/>
        <w:contextualSpacing w:val="0"/>
      </w:pPr>
    </w:p>
    <w:p w14:paraId="79F61FFE" w14:textId="77777777" w:rsidR="008103D0" w:rsidRDefault="002E1E31">
      <w:pPr>
        <w:pStyle w:val="Nadpis1"/>
      </w:pPr>
      <w:r>
        <w:t>Odpovědnost za škodu</w:t>
      </w:r>
    </w:p>
    <w:p w14:paraId="723653EC" w14:textId="77777777" w:rsidR="008103D0" w:rsidRDefault="002E1E31">
      <w:pPr>
        <w:pStyle w:val="Nadpis2"/>
      </w:pPr>
      <w:r>
        <w:t xml:space="preserve">Poskytovatel se zavazuje realizovat předmět plnění této Smlouvy v souladu s příslušnými právními předpisy a s maximální péčí a v kvalitě odpovídající jeho odborným </w:t>
      </w:r>
      <w:r>
        <w:t>znalostem a zkušenostem, kterou lze od něj vzhledem k jeho profesnímu zaměření právem očekávat.</w:t>
      </w:r>
    </w:p>
    <w:p w14:paraId="293E804B" w14:textId="77777777" w:rsidR="008103D0" w:rsidRDefault="002E1E31">
      <w:pPr>
        <w:pStyle w:val="Nadpis2"/>
      </w:pPr>
      <w:r>
        <w:t>Odpovědnost za škodu se řídí příslušnými ustanoveními občanského zákoníku, zejména ustanovením § 2894 a násl. a § 2913 občanského zákoníku.</w:t>
      </w:r>
    </w:p>
    <w:p w14:paraId="5DCC84F3" w14:textId="77777777" w:rsidR="008103D0" w:rsidRDefault="002E1E31">
      <w:pPr>
        <w:pStyle w:val="Nadpis2"/>
      </w:pPr>
      <w:r>
        <w:t>Smluvní strany se do</w:t>
      </w:r>
      <w:r>
        <w:t>hodly, že maximální výše náhrady škody vzniklé Smluvním stranám při plnění nebo v souvislosti s plněním podle této Smlouvy je pro obě Smluvní strany limitována částkou 1 000 000 Kč (slovy: jeden milion korun českých) za jednu škodnou událost.</w:t>
      </w:r>
    </w:p>
    <w:p w14:paraId="0A1557F7" w14:textId="77777777" w:rsidR="008103D0" w:rsidRDefault="008103D0">
      <w:pPr>
        <w:ind w:left="357"/>
      </w:pPr>
    </w:p>
    <w:p w14:paraId="6FDC519B" w14:textId="77777777" w:rsidR="008103D0" w:rsidRDefault="002E1E31">
      <w:pPr>
        <w:pStyle w:val="Nadpis1"/>
      </w:pPr>
      <w:r>
        <w:t>Závěrečná us</w:t>
      </w:r>
      <w:r>
        <w:t>tanovení</w:t>
      </w:r>
    </w:p>
    <w:p w14:paraId="72338DF5" w14:textId="77777777" w:rsidR="008103D0" w:rsidRDefault="002E1E31">
      <w:pPr>
        <w:pStyle w:val="Nadpis2"/>
      </w:pPr>
      <w:bookmarkStart w:id="10" w:name="_Hlk188420124"/>
      <w:r>
        <w:t xml:space="preserve">Tato Smlouva nabývá platnosti dnem jejího podpisu poslední Smluvní stranou a účinnosti dnem jejího uveřejnění prostřednictvím registru smluv v souladu se zákonem o registru smluv. </w:t>
      </w:r>
    </w:p>
    <w:p w14:paraId="3ED9EA83" w14:textId="77777777" w:rsidR="008103D0" w:rsidRDefault="002E1E31">
      <w:pPr>
        <w:pStyle w:val="Nadpis2"/>
      </w:pPr>
      <w:r>
        <w:t>Tato Smlouva se uzavírá na dobu určitou, která skončí uplynutím 60 měsíců o</w:t>
      </w:r>
      <w:r>
        <w:t>de nabytí platnosti Licencí. Jakýmkoliv ukončením této Smlouvy však není dotčena platnost ustanovení, z jejichž povahy vyplývá, že mají být pro Smluvní strany závazná i po skončení této Smlouvy (např. ustanovení týkající se odpovědnosti za škodu, povinnost</w:t>
      </w:r>
      <w:r>
        <w:t xml:space="preserve">i mlčenlivosti, řešení sporů apod.). </w:t>
      </w:r>
    </w:p>
    <w:p w14:paraId="49067CD4" w14:textId="77777777" w:rsidR="008103D0" w:rsidRDefault="002E1E31">
      <w:pPr>
        <w:pStyle w:val="Nadpis2"/>
      </w:pPr>
      <w:r>
        <w:t xml:space="preserve">Tuto Smlouvu je možné měnit pouze v souladu se ZZVZ, a to formou písemného smluvního dodatku. Výjimku tvoří změny údajů uvedených v bodech 11.9 a 11.10 této Smlouvy, kdy postačí prokazatelné písemné oznámení příslušné </w:t>
      </w:r>
      <w:r>
        <w:t xml:space="preserve">změny druhé Smluvní straně. Dodatky této Smlouvy se stávají její nedílnou součástí. </w:t>
      </w:r>
    </w:p>
    <w:p w14:paraId="18EFB7AC" w14:textId="77777777" w:rsidR="008103D0" w:rsidRDefault="002E1E31">
      <w:pPr>
        <w:pStyle w:val="Nadpis2"/>
      </w:pPr>
      <w:r>
        <w:t xml:space="preserve">Každá ze Smluvních stran může od této Smlouvy odstoupit v případech stanovených touto Smlouvou nebo zákonem, zejména pak dle </w:t>
      </w:r>
      <w:proofErr w:type="spellStart"/>
      <w:r>
        <w:t>ust</w:t>
      </w:r>
      <w:proofErr w:type="spellEnd"/>
      <w:r>
        <w:t xml:space="preserve">. § 1977 a násl. a </w:t>
      </w:r>
      <w:proofErr w:type="spellStart"/>
      <w:r>
        <w:t>ust</w:t>
      </w:r>
      <w:proofErr w:type="spellEnd"/>
      <w:r>
        <w:t>. § 2001 a násl. obča</w:t>
      </w:r>
      <w:r>
        <w:t>nského zákoníku. Účinky odstoupení od této Smlouvy nastávají dnem doručení oznámení o odstoupení od této Smlouvy příslušné Smluvní straně.</w:t>
      </w:r>
    </w:p>
    <w:p w14:paraId="3F65EF1E" w14:textId="77777777" w:rsidR="008103D0" w:rsidRDefault="002E1E31">
      <w:pPr>
        <w:pStyle w:val="Nadpis2"/>
      </w:pPr>
      <w:r>
        <w:t>Za podstatné porušení této Smlouvy se považuje prodlení s termínem Aktivace Licencí stanoveným v bodě 3.6 této Smlouv</w:t>
      </w:r>
      <w:r>
        <w:t>y o více než 10 pracovních dnů.</w:t>
      </w:r>
    </w:p>
    <w:p w14:paraId="44931D20" w14:textId="77777777" w:rsidR="008103D0" w:rsidRDefault="002E1E31">
      <w:pPr>
        <w:pStyle w:val="Nadpis2"/>
      </w:pPr>
      <w:r>
        <w:t xml:space="preserve">Smluvní strany mohou od této Smlouvy odstoupit i pro nepodstatné porušení této Smlouvy. V případě nepodstatného porušení smluvní povinnosti, může druhá Smluvní strana od této Smlouvy odstoupit poté, co Smluvní strana, která </w:t>
      </w:r>
      <w:r>
        <w:t>se dopustila nepodstatného porušení smluvní povinnosti, svoji povinnost nesplní ani v dodatečné přiměřené lhůtě, kterou jí druhá Smluvní strana poskytla.</w:t>
      </w:r>
    </w:p>
    <w:p w14:paraId="5AD13C8D" w14:textId="77777777" w:rsidR="008103D0" w:rsidRDefault="002E1E31">
      <w:pPr>
        <w:pStyle w:val="Nadpis2"/>
      </w:pPr>
      <w:r>
        <w:t>Tato Smlouva se řídí výhradně právním řádem České republiky. Smluvní strany se dohodly, že případné sp</w:t>
      </w:r>
      <w:r>
        <w:t>ory vzniklé v průběhu plnění této Smlouvy, nedojde-li k dohodě Smluvních stran smírnou cestou, budou na návrh kterékoliv Smluvní strany dány k rozhodnutí věcně a místně příslušnému soudu v České republice.</w:t>
      </w:r>
    </w:p>
    <w:p w14:paraId="280CC497" w14:textId="77777777" w:rsidR="008103D0" w:rsidRDefault="002E1E31">
      <w:pPr>
        <w:pStyle w:val="Nadpis2"/>
      </w:pPr>
      <w:r>
        <w:lastRenderedPageBreak/>
        <w:t>Práva a povinnosti Smluvních stran výslovně neupra</w:t>
      </w:r>
      <w:r>
        <w:t>vené v této Smlouvě, se řídí příslušnými ustanoveními občanského zákoníku a autorského zákona.</w:t>
      </w:r>
    </w:p>
    <w:bookmarkEnd w:id="10"/>
    <w:p w14:paraId="0CDEA6C1" w14:textId="77777777" w:rsidR="008103D0" w:rsidRDefault="002E1E31">
      <w:pPr>
        <w:pStyle w:val="Nadpis2"/>
      </w:pPr>
      <w:r>
        <w:t>Za Poskytovatele je pověřen k jednání ve věci plnění této Smlouvy (v této Smlouvě též jen „</w:t>
      </w:r>
      <w:r>
        <w:rPr>
          <w:b/>
        </w:rPr>
        <w:t>Pověřená osoba</w:t>
      </w:r>
      <w:r>
        <w:t>“):</w:t>
      </w:r>
    </w:p>
    <w:tbl>
      <w:tblPr>
        <w:tblW w:w="8857" w:type="dxa"/>
        <w:tblInd w:w="425" w:type="dxa"/>
        <w:tblLook w:val="04A0" w:firstRow="1" w:lastRow="0" w:firstColumn="1" w:lastColumn="0" w:noHBand="0" w:noVBand="1"/>
      </w:tblPr>
      <w:tblGrid>
        <w:gridCol w:w="2234"/>
        <w:gridCol w:w="6623"/>
      </w:tblGrid>
      <w:tr w:rsidR="008103D0" w14:paraId="061E7F96" w14:textId="77777777">
        <w:trPr>
          <w:trHeight w:hRule="exact" w:val="340"/>
        </w:trPr>
        <w:tc>
          <w:tcPr>
            <w:tcW w:w="2234" w:type="dxa"/>
          </w:tcPr>
          <w:p w14:paraId="54B0020B" w14:textId="77777777" w:rsidR="008103D0" w:rsidRDefault="002E1E31">
            <w:pPr>
              <w:spacing w:after="80"/>
            </w:pPr>
            <w:r>
              <w:t>Jméno a příjmení:</w:t>
            </w:r>
          </w:p>
        </w:tc>
        <w:tc>
          <w:tcPr>
            <w:tcW w:w="6622" w:type="dxa"/>
          </w:tcPr>
          <w:p w14:paraId="7F4B4838" w14:textId="77777777" w:rsidR="008103D0" w:rsidRDefault="002E1E31">
            <w:pPr>
              <w:spacing w:after="80"/>
            </w:pPr>
            <w:r>
              <w:t>Dušan Müller</w:t>
            </w:r>
            <w:r>
              <w:rPr>
                <w:highlight w:val="yellow"/>
              </w:rPr>
              <w:t xml:space="preserve"> </w:t>
            </w:r>
          </w:p>
        </w:tc>
      </w:tr>
      <w:tr w:rsidR="008103D0" w14:paraId="5BF1FB09" w14:textId="77777777">
        <w:trPr>
          <w:trHeight w:hRule="exact" w:val="340"/>
        </w:trPr>
        <w:tc>
          <w:tcPr>
            <w:tcW w:w="2234" w:type="dxa"/>
          </w:tcPr>
          <w:p w14:paraId="5B115F0E" w14:textId="77777777" w:rsidR="008103D0" w:rsidRDefault="002E1E31">
            <w:pPr>
              <w:spacing w:after="80"/>
            </w:pPr>
            <w:r>
              <w:t>Funkce:</w:t>
            </w:r>
          </w:p>
        </w:tc>
        <w:tc>
          <w:tcPr>
            <w:tcW w:w="6622" w:type="dxa"/>
          </w:tcPr>
          <w:p w14:paraId="44787374" w14:textId="77777777" w:rsidR="008103D0" w:rsidRDefault="002E1E31">
            <w:pPr>
              <w:spacing w:after="80"/>
            </w:pPr>
            <w:r>
              <w:t>Obchodní ře</w:t>
            </w:r>
            <w:r>
              <w:t>ditel</w:t>
            </w:r>
          </w:p>
        </w:tc>
      </w:tr>
      <w:tr w:rsidR="008103D0" w14:paraId="0F832D16" w14:textId="77777777">
        <w:trPr>
          <w:trHeight w:hRule="exact" w:val="340"/>
        </w:trPr>
        <w:tc>
          <w:tcPr>
            <w:tcW w:w="2234" w:type="dxa"/>
          </w:tcPr>
          <w:p w14:paraId="6D387690" w14:textId="77777777" w:rsidR="008103D0" w:rsidRDefault="002E1E31">
            <w:pPr>
              <w:spacing w:after="80"/>
            </w:pPr>
            <w:r>
              <w:t>E-mail:</w:t>
            </w:r>
          </w:p>
        </w:tc>
        <w:tc>
          <w:tcPr>
            <w:tcW w:w="6622" w:type="dxa"/>
          </w:tcPr>
          <w:p w14:paraId="2A295A8A" w14:textId="77777777" w:rsidR="008103D0" w:rsidRDefault="002E1E31">
            <w:pPr>
              <w:spacing w:after="80"/>
            </w:pPr>
            <w:r>
              <w:rPr>
                <w:rFonts w:cs="Arial"/>
                <w:szCs w:val="20"/>
              </w:rPr>
              <w:t>XXXXXXXXXXX</w:t>
            </w:r>
          </w:p>
        </w:tc>
      </w:tr>
      <w:tr w:rsidR="008103D0" w14:paraId="65FD0296" w14:textId="77777777">
        <w:trPr>
          <w:trHeight w:hRule="exact" w:val="340"/>
        </w:trPr>
        <w:tc>
          <w:tcPr>
            <w:tcW w:w="2234" w:type="dxa"/>
          </w:tcPr>
          <w:p w14:paraId="36656D60" w14:textId="77777777" w:rsidR="008103D0" w:rsidRDefault="002E1E31">
            <w:pPr>
              <w:spacing w:after="80"/>
            </w:pPr>
            <w:r>
              <w:t>Mobilní telefon:</w:t>
            </w:r>
          </w:p>
        </w:tc>
        <w:tc>
          <w:tcPr>
            <w:tcW w:w="6622" w:type="dxa"/>
          </w:tcPr>
          <w:p w14:paraId="6C21C12E" w14:textId="77777777" w:rsidR="008103D0" w:rsidRDefault="002E1E31">
            <w:pPr>
              <w:spacing w:after="80"/>
            </w:pPr>
            <w:r>
              <w:rPr>
                <w:rFonts w:cs="Arial"/>
                <w:szCs w:val="20"/>
              </w:rPr>
              <w:t>XXXXXXXXXXX</w:t>
            </w:r>
          </w:p>
        </w:tc>
      </w:tr>
    </w:tbl>
    <w:p w14:paraId="36591E84" w14:textId="77777777" w:rsidR="008103D0" w:rsidRDefault="008103D0">
      <w:pPr>
        <w:suppressAutoHyphens/>
        <w:spacing w:after="0"/>
        <w:rPr>
          <w:lang w:eastAsia="zh-CN"/>
        </w:rPr>
      </w:pPr>
    </w:p>
    <w:p w14:paraId="13F4889F" w14:textId="77777777" w:rsidR="008103D0" w:rsidRDefault="002E1E31">
      <w:pPr>
        <w:suppressAutoHyphens/>
        <w:ind w:left="646"/>
        <w:rPr>
          <w:lang w:eastAsia="zh-CN"/>
        </w:rPr>
      </w:pPr>
      <w:r>
        <w:rPr>
          <w:lang w:eastAsia="zh-CN"/>
        </w:rPr>
        <w:t>nebo</w:t>
      </w:r>
    </w:p>
    <w:tbl>
      <w:tblPr>
        <w:tblW w:w="8857" w:type="dxa"/>
        <w:tblInd w:w="425" w:type="dxa"/>
        <w:tblLook w:val="04A0" w:firstRow="1" w:lastRow="0" w:firstColumn="1" w:lastColumn="0" w:noHBand="0" w:noVBand="1"/>
      </w:tblPr>
      <w:tblGrid>
        <w:gridCol w:w="2234"/>
        <w:gridCol w:w="6623"/>
      </w:tblGrid>
      <w:tr w:rsidR="008103D0" w14:paraId="58A2ECCB" w14:textId="77777777">
        <w:trPr>
          <w:trHeight w:hRule="exact" w:val="340"/>
        </w:trPr>
        <w:tc>
          <w:tcPr>
            <w:tcW w:w="2234" w:type="dxa"/>
          </w:tcPr>
          <w:p w14:paraId="2729E6FF" w14:textId="77777777" w:rsidR="008103D0" w:rsidRDefault="002E1E31">
            <w:r>
              <w:t>Jméno a příjmení:</w:t>
            </w:r>
          </w:p>
        </w:tc>
        <w:tc>
          <w:tcPr>
            <w:tcW w:w="6622" w:type="dxa"/>
          </w:tcPr>
          <w:p w14:paraId="0D8F9710" w14:textId="77777777" w:rsidR="008103D0" w:rsidRDefault="002E1E31">
            <w:r>
              <w:rPr>
                <w:rFonts w:cs="Arial"/>
                <w:szCs w:val="20"/>
              </w:rPr>
              <w:t>XXXXXXXXXXX</w:t>
            </w:r>
          </w:p>
        </w:tc>
      </w:tr>
      <w:tr w:rsidR="008103D0" w14:paraId="67647CD7" w14:textId="77777777">
        <w:trPr>
          <w:trHeight w:hRule="exact" w:val="340"/>
        </w:trPr>
        <w:tc>
          <w:tcPr>
            <w:tcW w:w="2234" w:type="dxa"/>
          </w:tcPr>
          <w:p w14:paraId="7D63197C" w14:textId="77777777" w:rsidR="008103D0" w:rsidRDefault="002E1E31">
            <w:r>
              <w:t>Funkce:</w:t>
            </w:r>
          </w:p>
        </w:tc>
        <w:tc>
          <w:tcPr>
            <w:tcW w:w="6622" w:type="dxa"/>
          </w:tcPr>
          <w:p w14:paraId="5DD59FE8" w14:textId="77777777" w:rsidR="008103D0" w:rsidRDefault="002E1E31">
            <w:r>
              <w:rPr>
                <w:rFonts w:cs="Arial"/>
                <w:szCs w:val="20"/>
              </w:rPr>
              <w:t>Projekt manažer</w:t>
            </w:r>
          </w:p>
        </w:tc>
      </w:tr>
      <w:tr w:rsidR="008103D0" w14:paraId="0BDC443C" w14:textId="77777777">
        <w:trPr>
          <w:trHeight w:hRule="exact" w:val="340"/>
        </w:trPr>
        <w:tc>
          <w:tcPr>
            <w:tcW w:w="2234" w:type="dxa"/>
          </w:tcPr>
          <w:p w14:paraId="15164416" w14:textId="77777777" w:rsidR="008103D0" w:rsidRDefault="002E1E31">
            <w:r>
              <w:t>E-mail:</w:t>
            </w:r>
          </w:p>
        </w:tc>
        <w:tc>
          <w:tcPr>
            <w:tcW w:w="6622" w:type="dxa"/>
          </w:tcPr>
          <w:p w14:paraId="123EBCC3" w14:textId="77777777" w:rsidR="008103D0" w:rsidRDefault="002E1E31">
            <w:r>
              <w:rPr>
                <w:rFonts w:cs="Arial"/>
                <w:szCs w:val="20"/>
              </w:rPr>
              <w:t>XXXXXXXXXXX</w:t>
            </w:r>
          </w:p>
        </w:tc>
      </w:tr>
      <w:tr w:rsidR="008103D0" w14:paraId="60A26D6C" w14:textId="77777777">
        <w:trPr>
          <w:trHeight w:hRule="exact" w:val="340"/>
        </w:trPr>
        <w:tc>
          <w:tcPr>
            <w:tcW w:w="2234" w:type="dxa"/>
          </w:tcPr>
          <w:p w14:paraId="1C32588A" w14:textId="77777777" w:rsidR="008103D0" w:rsidRDefault="002E1E31">
            <w:r>
              <w:t>Mobilní telefon:</w:t>
            </w:r>
          </w:p>
        </w:tc>
        <w:tc>
          <w:tcPr>
            <w:tcW w:w="6622" w:type="dxa"/>
          </w:tcPr>
          <w:p w14:paraId="527B5616" w14:textId="77777777" w:rsidR="008103D0" w:rsidRDefault="002E1E31">
            <w:r>
              <w:rPr>
                <w:rFonts w:cs="Arial"/>
                <w:szCs w:val="20"/>
              </w:rPr>
              <w:t>XXXXXXXXXXX</w:t>
            </w:r>
          </w:p>
        </w:tc>
      </w:tr>
    </w:tbl>
    <w:p w14:paraId="524CA37F" w14:textId="77777777" w:rsidR="008103D0" w:rsidRDefault="008103D0">
      <w:pPr>
        <w:contextualSpacing/>
        <w:rPr>
          <w:rFonts w:eastAsia="Times New Roman"/>
          <w:color w:val="00000A"/>
        </w:rPr>
      </w:pPr>
    </w:p>
    <w:p w14:paraId="6129221E" w14:textId="77777777" w:rsidR="008103D0" w:rsidRDefault="002E1E31">
      <w:pPr>
        <w:ind w:left="360"/>
        <w:rPr>
          <w:rFonts w:eastAsia="Times New Roman"/>
          <w:color w:val="00000A"/>
        </w:rPr>
      </w:pPr>
      <w:r>
        <w:rPr>
          <w:rStyle w:val="Nadpis2Char"/>
        </w:rPr>
        <w:t xml:space="preserve">Za Objednatele je pověřen k jednání ve věci plnění této Smlouvy (v této </w:t>
      </w:r>
      <w:r>
        <w:rPr>
          <w:rStyle w:val="Nadpis2Char"/>
        </w:rPr>
        <w:t>Smlouvě též jen „</w:t>
      </w:r>
      <w:r>
        <w:rPr>
          <w:rStyle w:val="Nadpis2Char"/>
          <w:b/>
        </w:rPr>
        <w:t>Pověřená</w:t>
      </w:r>
      <w:r>
        <w:rPr>
          <w:rFonts w:eastAsia="Times New Roman"/>
          <w:b/>
          <w:color w:val="00000A"/>
        </w:rPr>
        <w:t xml:space="preserve"> osoba</w:t>
      </w:r>
      <w:r>
        <w:rPr>
          <w:rFonts w:eastAsia="Times New Roman"/>
          <w:color w:val="00000A"/>
        </w:rPr>
        <w:t>“):</w:t>
      </w:r>
    </w:p>
    <w:p w14:paraId="020EB0B8" w14:textId="77777777" w:rsidR="008103D0" w:rsidRDefault="002E1E31">
      <w:pPr>
        <w:spacing w:after="80"/>
        <w:ind w:left="709"/>
        <w:rPr>
          <w:rFonts w:eastAsia="Times New Roman"/>
          <w:color w:val="00000A"/>
        </w:rPr>
      </w:pPr>
      <w:r>
        <w:rPr>
          <w:rFonts w:eastAsia="Times New Roman"/>
          <w:color w:val="00000A"/>
        </w:rPr>
        <w:t>Jméno a příjmení:</w:t>
      </w:r>
      <w:r>
        <w:rPr>
          <w:rFonts w:eastAsia="Times New Roman"/>
          <w:color w:val="00000A"/>
        </w:rPr>
        <w:tab/>
      </w:r>
      <w:r>
        <w:rPr>
          <w:rFonts w:cs="Arial"/>
          <w:szCs w:val="20"/>
        </w:rPr>
        <w:t>XXXXXXXXXXX</w:t>
      </w:r>
      <w:r>
        <w:rPr>
          <w:rFonts w:eastAsia="Times New Roman"/>
          <w:color w:val="00000A"/>
        </w:rPr>
        <w:t xml:space="preserve"> </w:t>
      </w:r>
    </w:p>
    <w:p w14:paraId="089E31D4" w14:textId="77777777" w:rsidR="008103D0" w:rsidRDefault="002E1E31">
      <w:pPr>
        <w:spacing w:after="80"/>
        <w:ind w:left="709"/>
        <w:rPr>
          <w:rFonts w:eastAsia="Times New Roman"/>
          <w:color w:val="00000A"/>
        </w:rPr>
      </w:pPr>
      <w:r>
        <w:rPr>
          <w:rFonts w:eastAsia="Times New Roman"/>
          <w:color w:val="00000A"/>
        </w:rPr>
        <w:t>Mobilní telefon:</w:t>
      </w:r>
      <w:r>
        <w:rPr>
          <w:rFonts w:eastAsia="Times New Roman"/>
          <w:color w:val="00000A"/>
        </w:rPr>
        <w:tab/>
      </w:r>
      <w:r>
        <w:rPr>
          <w:rFonts w:eastAsia="Times New Roman"/>
          <w:color w:val="00000A"/>
        </w:rPr>
        <w:tab/>
      </w:r>
      <w:r>
        <w:rPr>
          <w:rFonts w:cs="Arial"/>
          <w:szCs w:val="20"/>
        </w:rPr>
        <w:t>XXXXXXXXXXX</w:t>
      </w:r>
    </w:p>
    <w:p w14:paraId="37EA4139" w14:textId="77777777" w:rsidR="008103D0" w:rsidRDefault="002E1E31">
      <w:pPr>
        <w:tabs>
          <w:tab w:val="left" w:pos="720"/>
        </w:tabs>
        <w:ind w:left="709"/>
        <w:rPr>
          <w:rFonts w:eastAsia="Times New Roman"/>
          <w:color w:val="00000A"/>
        </w:rPr>
      </w:pPr>
      <w:r>
        <w:rPr>
          <w:rFonts w:eastAsia="Times New Roman"/>
          <w:color w:val="00000A"/>
        </w:rPr>
        <w:t>E-mail:</w:t>
      </w:r>
      <w:r>
        <w:rPr>
          <w:rFonts w:eastAsia="Times New Roman"/>
          <w:color w:val="00000A"/>
        </w:rPr>
        <w:tab/>
      </w:r>
      <w:r>
        <w:rPr>
          <w:rFonts w:eastAsia="Times New Roman"/>
          <w:color w:val="00000A"/>
        </w:rPr>
        <w:tab/>
      </w:r>
      <w:r>
        <w:rPr>
          <w:rFonts w:eastAsia="Times New Roman"/>
          <w:color w:val="00000A"/>
        </w:rPr>
        <w:tab/>
      </w:r>
      <w:r>
        <w:rPr>
          <w:rFonts w:cs="Arial"/>
          <w:szCs w:val="20"/>
        </w:rPr>
        <w:t>XXXXXXXXXXX</w:t>
      </w:r>
    </w:p>
    <w:p w14:paraId="30D502D0" w14:textId="77777777" w:rsidR="008103D0" w:rsidRDefault="002E1E31">
      <w:pPr>
        <w:tabs>
          <w:tab w:val="left" w:pos="720"/>
        </w:tabs>
        <w:ind w:left="709"/>
        <w:rPr>
          <w:rFonts w:eastAsia="Times New Roman"/>
          <w:color w:val="00000A"/>
        </w:rPr>
      </w:pPr>
      <w:r>
        <w:rPr>
          <w:rFonts w:eastAsia="Times New Roman"/>
          <w:color w:val="00000A"/>
        </w:rPr>
        <w:t xml:space="preserve">nebo </w:t>
      </w:r>
    </w:p>
    <w:p w14:paraId="76D9AB51" w14:textId="77777777" w:rsidR="008103D0" w:rsidRDefault="002E1E31">
      <w:pPr>
        <w:spacing w:after="80"/>
        <w:ind w:left="709"/>
        <w:rPr>
          <w:rFonts w:eastAsia="Times New Roman"/>
          <w:color w:val="00000A"/>
        </w:rPr>
      </w:pPr>
      <w:r>
        <w:rPr>
          <w:rFonts w:eastAsia="Times New Roman"/>
          <w:color w:val="00000A"/>
        </w:rPr>
        <w:t>Jméno a příjmení:</w:t>
      </w:r>
      <w:r>
        <w:rPr>
          <w:rFonts w:eastAsia="Times New Roman"/>
          <w:color w:val="00000A"/>
        </w:rPr>
        <w:tab/>
      </w:r>
      <w:r>
        <w:rPr>
          <w:rFonts w:cs="Arial"/>
          <w:szCs w:val="20"/>
        </w:rPr>
        <w:t>XXXXXXXXXXX</w:t>
      </w:r>
    </w:p>
    <w:p w14:paraId="178E46C0" w14:textId="77777777" w:rsidR="008103D0" w:rsidRDefault="002E1E31">
      <w:pPr>
        <w:spacing w:after="80"/>
        <w:ind w:left="709"/>
        <w:rPr>
          <w:rFonts w:eastAsia="Times New Roman"/>
          <w:color w:val="00000A"/>
        </w:rPr>
      </w:pPr>
      <w:r>
        <w:rPr>
          <w:rFonts w:eastAsia="Times New Roman"/>
          <w:color w:val="00000A"/>
        </w:rPr>
        <w:t>Mobilní telefon:</w:t>
      </w:r>
      <w:r>
        <w:rPr>
          <w:rFonts w:eastAsia="Times New Roman"/>
          <w:color w:val="00000A"/>
        </w:rPr>
        <w:tab/>
      </w:r>
      <w:r>
        <w:rPr>
          <w:rFonts w:eastAsia="Times New Roman"/>
          <w:color w:val="00000A"/>
        </w:rPr>
        <w:tab/>
      </w:r>
      <w:r>
        <w:rPr>
          <w:rFonts w:cs="Arial"/>
          <w:szCs w:val="20"/>
        </w:rPr>
        <w:t>XXXXXXXXXXX</w:t>
      </w:r>
    </w:p>
    <w:p w14:paraId="483D0532" w14:textId="77777777" w:rsidR="008103D0" w:rsidRDefault="002E1E31">
      <w:pPr>
        <w:ind w:left="709"/>
        <w:rPr>
          <w:rFonts w:eastAsia="Times New Roman"/>
          <w:color w:val="00000A"/>
        </w:rPr>
      </w:pPr>
      <w:r>
        <w:rPr>
          <w:rFonts w:eastAsia="Times New Roman"/>
          <w:color w:val="00000A"/>
        </w:rPr>
        <w:t xml:space="preserve">E-mail: </w:t>
      </w:r>
      <w:r>
        <w:rPr>
          <w:rFonts w:eastAsia="Times New Roman"/>
          <w:color w:val="00000A"/>
        </w:rPr>
        <w:tab/>
      </w:r>
      <w:r>
        <w:rPr>
          <w:rFonts w:eastAsia="Times New Roman"/>
          <w:color w:val="00000A"/>
        </w:rPr>
        <w:tab/>
      </w:r>
      <w:r>
        <w:rPr>
          <w:rFonts w:eastAsia="Times New Roman"/>
          <w:color w:val="00000A"/>
        </w:rPr>
        <w:tab/>
      </w:r>
      <w:r>
        <w:rPr>
          <w:rFonts w:cs="Arial"/>
          <w:szCs w:val="20"/>
        </w:rPr>
        <w:t>XXXXXXXXXXX</w:t>
      </w:r>
    </w:p>
    <w:p w14:paraId="67FD3A02" w14:textId="77777777" w:rsidR="008103D0" w:rsidRDefault="002E1E31">
      <w:pPr>
        <w:pStyle w:val="Nadpis2"/>
        <w:rPr>
          <w:rFonts w:eastAsia="Times New Roman"/>
          <w:color w:val="00000A"/>
        </w:rPr>
      </w:pPr>
      <w:r>
        <w:rPr>
          <w:rStyle w:val="Nadpis2Char"/>
        </w:rPr>
        <w:t xml:space="preserve">Změnu Pověřených nebo jejich </w:t>
      </w:r>
      <w:r>
        <w:rPr>
          <w:rStyle w:val="Nadpis2Char"/>
        </w:rPr>
        <w:t>kontaktních údajů je každá Smluvní strana povinna bez zbytečného</w:t>
      </w:r>
      <w:r>
        <w:t xml:space="preserve"> odkladu písemně oznámit druhé Smluvní straně, a to:</w:t>
      </w:r>
    </w:p>
    <w:p w14:paraId="78A75FAD" w14:textId="77777777" w:rsidR="008103D0" w:rsidRDefault="002E1E31">
      <w:pPr>
        <w:pStyle w:val="SSPsmeno"/>
        <w:rPr>
          <w:rFonts w:ascii="Arial" w:hAnsi="Arial"/>
        </w:rPr>
      </w:pPr>
      <w:r>
        <w:rPr>
          <w:rFonts w:ascii="Arial" w:hAnsi="Arial"/>
        </w:rPr>
        <w:t>e-mailem zaslaným Pověřenou osobou jedné Smluvní strany Pověřené osobě druhé Smluvní strany, ve kterém bude změna oznámena nebo</w:t>
      </w:r>
    </w:p>
    <w:p w14:paraId="480E60D7" w14:textId="77777777" w:rsidR="008103D0" w:rsidRDefault="002E1E31">
      <w:pPr>
        <w:pStyle w:val="SSPsmeno"/>
        <w:spacing w:after="120"/>
        <w:ind w:left="1434" w:hanging="357"/>
        <w:rPr>
          <w:rFonts w:ascii="Arial" w:hAnsi="Arial"/>
        </w:rPr>
      </w:pPr>
      <w:r>
        <w:rPr>
          <w:rFonts w:ascii="Arial" w:hAnsi="Arial"/>
        </w:rPr>
        <w:t>oznámením z</w:t>
      </w:r>
      <w:r>
        <w:rPr>
          <w:rFonts w:ascii="Arial" w:hAnsi="Arial"/>
        </w:rPr>
        <w:t>aslaným druhé Smluvní straně do její datové schránky.</w:t>
      </w:r>
    </w:p>
    <w:p w14:paraId="6AA5EEA5" w14:textId="77777777" w:rsidR="008103D0" w:rsidRDefault="002E1E31">
      <w:pPr>
        <w:pStyle w:val="Odstavecseseznamem"/>
        <w:spacing w:line="280" w:lineRule="atLeast"/>
        <w:ind w:left="708"/>
        <w:contextualSpacing w:val="0"/>
      </w:pPr>
      <w:r>
        <w:t xml:space="preserve">Změna Pověřené osoby či jejích kontaktních údajů je pak účinná dnem uvedeným v oznámení, nejdříve však okamžikem, kdy je oznámení o změně druhé Smluvní straně řádně doručeno. </w:t>
      </w:r>
    </w:p>
    <w:p w14:paraId="7AC12846" w14:textId="77777777" w:rsidR="008103D0" w:rsidRDefault="002E1E31">
      <w:pPr>
        <w:pStyle w:val="Nadpis2"/>
      </w:pPr>
      <w:r>
        <w:t xml:space="preserve">Tato Smlouva je uzavírána </w:t>
      </w:r>
      <w:r>
        <w:t xml:space="preserve">v elektronické podobě. Smluvní strany se dohodly, že Poskytovatel podepíše tuto Smlouvu uznávaným elektronickým podpisem ve smyslu § 6 odst. 2 zákona č. 297/2016 Sb., o službách vytvářejících důvěru pro elektronické transakce, ve znění pozdějších předpisů </w:t>
      </w:r>
      <w:r>
        <w:t>(dále jen „</w:t>
      </w:r>
      <w:r>
        <w:rPr>
          <w:b/>
        </w:rPr>
        <w:t>ZSVD</w:t>
      </w:r>
      <w:r>
        <w:t>“); Objednatel tuto Smlouvu podepíše v souladu s § 5 ZSVD kvalifikovaným elektronickým podpisem.</w:t>
      </w:r>
    </w:p>
    <w:p w14:paraId="5F32FAB1" w14:textId="77777777" w:rsidR="008103D0" w:rsidRDefault="002E1E31">
      <w:pPr>
        <w:pStyle w:val="Nadpis2"/>
      </w:pPr>
      <w:r>
        <w:t>Nedílnou součástí této Smlouvy je její příloha:</w:t>
      </w:r>
    </w:p>
    <w:p w14:paraId="41C83C7B" w14:textId="77777777" w:rsidR="008103D0" w:rsidRDefault="002E1E31">
      <w:pPr>
        <w:ind w:left="708"/>
        <w:rPr>
          <w:bCs/>
        </w:rPr>
      </w:pPr>
      <w:r>
        <w:rPr>
          <w:bCs/>
        </w:rPr>
        <w:t>Příloha č. 1 – Technická specifikace</w:t>
      </w:r>
    </w:p>
    <w:p w14:paraId="39C50EE7" w14:textId="77777777" w:rsidR="008103D0" w:rsidRDefault="002E1E31">
      <w:pPr>
        <w:ind w:left="708"/>
        <w:rPr>
          <w:bCs/>
        </w:rPr>
      </w:pPr>
      <w:r>
        <w:rPr>
          <w:bCs/>
        </w:rPr>
        <w:t>V případě rozporu se přednostně použijí ustanovení textu té</w:t>
      </w:r>
      <w:r>
        <w:rPr>
          <w:bCs/>
        </w:rPr>
        <w:t>to Smlouvy a následně ustanovení její přílohy.</w:t>
      </w:r>
    </w:p>
    <w:p w14:paraId="57D9940D" w14:textId="77777777" w:rsidR="008103D0" w:rsidRDefault="002E1E31">
      <w:pPr>
        <w:pStyle w:val="Nadpis2"/>
      </w:pPr>
      <w:r>
        <w:t>Smluvní strany si před podpisem tuto Smlouvu řádně přečetly a svůj souhlas s obsahem této Smlouvy včetně její přílohy stvrzují svým podpisem.</w:t>
      </w:r>
    </w:p>
    <w:p w14:paraId="51119249" w14:textId="77777777" w:rsidR="008103D0" w:rsidRDefault="008103D0">
      <w:pPr>
        <w:rPr>
          <w:lang w:eastAsia="cs-CZ"/>
        </w:rPr>
      </w:pPr>
    </w:p>
    <w:p w14:paraId="2A25D303" w14:textId="77777777" w:rsidR="008103D0" w:rsidRDefault="008103D0">
      <w:pPr>
        <w:ind w:left="283" w:hanging="425"/>
        <w:contextualSpacing/>
        <w:jc w:val="center"/>
      </w:pPr>
    </w:p>
    <w:p w14:paraId="081CE16D" w14:textId="77777777" w:rsidR="008103D0" w:rsidRDefault="002E1E31">
      <w:pPr>
        <w:ind w:left="283" w:hanging="425"/>
        <w:contextualSpacing/>
      </w:pPr>
      <w:r>
        <w:t xml:space="preserve">Všeobecná zdravotní pojišťovna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cs="Arial"/>
          <w:bCs/>
          <w:szCs w:val="20"/>
        </w:rPr>
        <w:t xml:space="preserve">X </w:t>
      </w:r>
      <w:proofErr w:type="spellStart"/>
      <w:r>
        <w:rPr>
          <w:rFonts w:cs="Arial"/>
          <w:bCs/>
          <w:szCs w:val="20"/>
        </w:rPr>
        <w:t>Consulting</w:t>
      </w:r>
      <w:proofErr w:type="spellEnd"/>
      <w:r>
        <w:rPr>
          <w:rFonts w:cs="Arial"/>
          <w:bCs/>
          <w:szCs w:val="20"/>
        </w:rPr>
        <w:t xml:space="preserve"> Co. s.r.o.</w:t>
      </w:r>
    </w:p>
    <w:p w14:paraId="5700C313" w14:textId="77777777" w:rsidR="008103D0" w:rsidRDefault="002E1E31">
      <w:pPr>
        <w:ind w:left="283" w:hanging="425"/>
        <w:contextualSpacing/>
      </w:pPr>
      <w:r>
        <w:t>České</w:t>
      </w:r>
      <w:r>
        <w:t xml:space="preserve"> republiky</w:t>
      </w:r>
      <w:r>
        <w:tab/>
      </w:r>
    </w:p>
    <w:p w14:paraId="53489DBF" w14:textId="77777777" w:rsidR="008103D0" w:rsidRDefault="008103D0">
      <w:pPr>
        <w:ind w:left="283" w:hanging="425"/>
        <w:contextualSpacing/>
      </w:pPr>
    </w:p>
    <w:p w14:paraId="23D88D2B" w14:textId="77777777" w:rsidR="008103D0" w:rsidRDefault="002E1E31">
      <w:pPr>
        <w:ind w:left="283" w:hanging="425"/>
        <w:contextualSpacing/>
      </w:pPr>
      <w:r>
        <w:rPr>
          <w:i/>
        </w:rPr>
        <w:t>podepsáno elektronicky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podepsáno elektronicky</w:t>
      </w:r>
      <w:r>
        <w:rPr>
          <w:i/>
        </w:rPr>
        <w:tab/>
      </w:r>
    </w:p>
    <w:p w14:paraId="45AC69DC" w14:textId="77777777" w:rsidR="008103D0" w:rsidRDefault="008103D0">
      <w:pPr>
        <w:ind w:left="283" w:hanging="425"/>
        <w:contextualSpacing/>
      </w:pPr>
    </w:p>
    <w:p w14:paraId="02660274" w14:textId="77777777" w:rsidR="008103D0" w:rsidRDefault="002E1E31">
      <w:pPr>
        <w:ind w:left="283" w:hanging="425"/>
        <w:contextualSpacing/>
      </w:pPr>
      <w:r>
        <w:tab/>
      </w:r>
      <w:r>
        <w:tab/>
      </w:r>
      <w:r>
        <w:tab/>
      </w:r>
      <w:r>
        <w:tab/>
      </w:r>
      <w:r>
        <w:tab/>
      </w:r>
    </w:p>
    <w:p w14:paraId="1E78D457" w14:textId="77777777" w:rsidR="008103D0" w:rsidRDefault="002E1E31">
      <w:pPr>
        <w:ind w:left="283" w:hanging="425"/>
        <w:contextualSpacing/>
      </w:pPr>
      <w:r>
        <w:rPr>
          <w:rFonts w:eastAsia="Times New Roman"/>
          <w:color w:val="00000A"/>
        </w:rPr>
        <w:t xml:space="preserve">Ing. Petr </w:t>
      </w:r>
      <w:proofErr w:type="spellStart"/>
      <w:r>
        <w:rPr>
          <w:rFonts w:eastAsia="Times New Roman"/>
          <w:color w:val="00000A"/>
        </w:rPr>
        <w:t>Wallenfels</w:t>
      </w:r>
      <w:proofErr w:type="spellEnd"/>
      <w:r>
        <w:rPr>
          <w:rFonts w:eastAsia="Times New Roman"/>
          <w:color w:val="00000A"/>
        </w:rPr>
        <w:t xml:space="preserve">, MBA, </w:t>
      </w:r>
      <w:r>
        <w:rPr>
          <w:rFonts w:eastAsia="Times New Roman"/>
          <w:color w:val="00000A"/>
        </w:rPr>
        <w:tab/>
      </w:r>
      <w:r>
        <w:rPr>
          <w:rFonts w:eastAsia="Times New Roman"/>
          <w:color w:val="00000A"/>
        </w:rPr>
        <w:tab/>
      </w:r>
      <w:r>
        <w:rPr>
          <w:rFonts w:eastAsia="Times New Roman"/>
          <w:color w:val="00000A"/>
        </w:rPr>
        <w:tab/>
      </w:r>
      <w:r>
        <w:rPr>
          <w:rFonts w:eastAsia="Times New Roman"/>
          <w:color w:val="00000A"/>
        </w:rPr>
        <w:tab/>
      </w:r>
      <w:r>
        <w:rPr>
          <w:rFonts w:eastAsia="Times New Roman"/>
          <w:color w:val="00000A"/>
        </w:rPr>
        <w:tab/>
      </w:r>
      <w:r>
        <w:rPr>
          <w:rFonts w:cs="Arial"/>
          <w:bCs/>
          <w:szCs w:val="20"/>
        </w:rPr>
        <w:t xml:space="preserve">Dušan Müller, </w:t>
      </w:r>
    </w:p>
    <w:p w14:paraId="1C76C9ED" w14:textId="77777777" w:rsidR="008103D0" w:rsidRDefault="002E1E31">
      <w:pPr>
        <w:ind w:left="2124" w:hanging="2266"/>
        <w:contextualSpacing/>
      </w:pPr>
      <w:r>
        <w:rPr>
          <w:rFonts w:eastAsia="Times New Roman"/>
          <w:color w:val="00000A"/>
        </w:rPr>
        <w:t>náměstek ředitele VZP ČR pro informatiku                                     jednatel společnosti</w:t>
      </w:r>
    </w:p>
    <w:p w14:paraId="142D5C0C" w14:textId="77777777" w:rsidR="008103D0" w:rsidRDefault="002E1E31">
      <w:pPr>
        <w:spacing w:after="160" w:line="259" w:lineRule="auto"/>
        <w:jc w:val="left"/>
        <w:sectPr w:rsidR="008103D0"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9062"/>
      </w:tblGrid>
      <w:tr w:rsidR="008103D0" w14:paraId="0F445D60" w14:textId="77777777">
        <w:trPr>
          <w:trHeight w:hRule="exact" w:val="397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2B30EEC2" w14:textId="77777777" w:rsidR="008103D0" w:rsidRDefault="002E1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caps/>
              </w:rPr>
              <w:lastRenderedPageBreak/>
              <w:t>Příloha č. 1 – Technická specifikace</w:t>
            </w:r>
          </w:p>
        </w:tc>
      </w:tr>
    </w:tbl>
    <w:p w14:paraId="4CBED7A2" w14:textId="77777777" w:rsidR="008103D0" w:rsidRDefault="002E1E31">
      <w:pPr>
        <w:spacing w:before="120"/>
        <w:rPr>
          <w:b/>
          <w:bCs/>
          <w:lang w:eastAsia="cs-CZ"/>
        </w:rPr>
      </w:pPr>
      <w:r>
        <w:rPr>
          <w:b/>
          <w:bCs/>
          <w:lang w:eastAsia="cs-CZ"/>
        </w:rPr>
        <w:t>Popis současného stavu</w:t>
      </w:r>
    </w:p>
    <w:p w14:paraId="50633EB0" w14:textId="77777777" w:rsidR="008103D0" w:rsidRDefault="002E1E31">
      <w:r>
        <w:t>Pro řízení datového provozu a optimalizaci přenosu dat provozuje VZP ČR v on</w:t>
      </w:r>
      <w:r>
        <w:noBreakHyphen/>
        <w:t>premise prostředí technologii Cisco SD</w:t>
      </w:r>
      <w:r>
        <w:noBreakHyphen/>
        <w:t>WAN. Pobočkové routery tvoří, spolu s centrálními routery, nedílnou součást je</w:t>
      </w:r>
      <w:r>
        <w:t xml:space="preserve">dnotného řešení technologie Cisco SD-WAN. Cisco SD-WAN je nasazena v On-Premise řešení, kontroléry jsou umístěné v datových centrech VZP ČR v prostředí </w:t>
      </w:r>
      <w:proofErr w:type="spellStart"/>
      <w:r>
        <w:t>VMware</w:t>
      </w:r>
      <w:proofErr w:type="spellEnd"/>
      <w:r>
        <w:t>. SD-WAN odděluje kontrolní a management vrstvu WAN sítě, které v tradičních WAN sítích jsou spole</w:t>
      </w:r>
      <w:r>
        <w:t xml:space="preserve">čně s datovou vrstvou sloučené ve směrovačích na pobočkách / datových centrech. SD-WAN kontrolní a management vrstvu centralizuje do kontrolérů v datových centrech, pobočkové / </w:t>
      </w:r>
      <w:proofErr w:type="spellStart"/>
      <w:r>
        <w:t>datacentrové</w:t>
      </w:r>
      <w:proofErr w:type="spellEnd"/>
      <w:r>
        <w:t xml:space="preserve"> směrovače zajištují pouze datovou vrstvu a jsou centrálně řízeny k</w:t>
      </w:r>
      <w:r>
        <w:t>ontroléry.</w:t>
      </w:r>
    </w:p>
    <w:p w14:paraId="0A68C1CE" w14:textId="77777777" w:rsidR="008103D0" w:rsidRDefault="002E1E31">
      <w:r>
        <w:t>VZP ČR má 183 lokalit, z toho:</w:t>
      </w:r>
    </w:p>
    <w:p w14:paraId="6FDFA378" w14:textId="77777777" w:rsidR="008103D0" w:rsidRDefault="002E1E31">
      <w:pPr>
        <w:pStyle w:val="Odstavecseseznamem"/>
        <w:numPr>
          <w:ilvl w:val="0"/>
          <w:numId w:val="4"/>
        </w:numPr>
      </w:pPr>
      <w:r>
        <w:t>2 centrální pobočky s páteřní LAN s routerem Cisco ASR1002-X.</w:t>
      </w:r>
    </w:p>
    <w:p w14:paraId="718F362A" w14:textId="77777777" w:rsidR="008103D0" w:rsidRDefault="002E1E31">
      <w:pPr>
        <w:pStyle w:val="Odstavecseseznamem"/>
        <w:numPr>
          <w:ilvl w:val="0"/>
          <w:numId w:val="4"/>
        </w:numPr>
      </w:pPr>
      <w:r>
        <w:t>6 poboček se středně velkou LAN nad 100 uživatelů s routerem Cisco C8300-2N2S-4T2X a s L3/L2 přepínači.</w:t>
      </w:r>
    </w:p>
    <w:p w14:paraId="1E1DE7F7" w14:textId="77777777" w:rsidR="008103D0" w:rsidRDefault="002E1E31">
      <w:pPr>
        <w:pStyle w:val="Odstavecseseznamem"/>
        <w:numPr>
          <w:ilvl w:val="0"/>
          <w:numId w:val="4"/>
        </w:numPr>
      </w:pPr>
      <w:r>
        <w:t xml:space="preserve">8 poboček se středně velkou LAN do 100 uživatelů (většinou do 50 účastníků) s routerem Cisco C8300-2N2S-4T2X a s L3/L2 přepínači. </w:t>
      </w:r>
    </w:p>
    <w:p w14:paraId="7C58A832" w14:textId="77777777" w:rsidR="008103D0" w:rsidRDefault="002E1E31">
      <w:pPr>
        <w:pStyle w:val="Odstavecseseznamem"/>
        <w:numPr>
          <w:ilvl w:val="0"/>
          <w:numId w:val="4"/>
        </w:numPr>
      </w:pPr>
      <w:r>
        <w:t>64 poboček do 25 uživatelů s routerem Cisco C8300-1N1S-4T2X a s L3/L2 přepínači.</w:t>
      </w:r>
    </w:p>
    <w:p w14:paraId="70399294" w14:textId="77777777" w:rsidR="008103D0" w:rsidRDefault="002E1E31">
      <w:pPr>
        <w:pStyle w:val="Odstavecseseznamem"/>
        <w:numPr>
          <w:ilvl w:val="0"/>
          <w:numId w:val="4"/>
        </w:numPr>
      </w:pPr>
      <w:r>
        <w:t xml:space="preserve">103 poboček do 5 uživatelů s routerem Cisco </w:t>
      </w:r>
      <w:r>
        <w:t>C8200-</w:t>
      </w:r>
      <w:proofErr w:type="gramStart"/>
      <w:r>
        <w:t>1N</w:t>
      </w:r>
      <w:proofErr w:type="gramEnd"/>
      <w:r>
        <w:t>-4T.</w:t>
      </w:r>
    </w:p>
    <w:p w14:paraId="6BB920E3" w14:textId="77777777" w:rsidR="008103D0" w:rsidRDefault="002E1E31">
      <w:r>
        <w:t>S ohledem na využití stávající síťové infrastruktury a bezpečnostních politik je potřebné využít tuto technologii také pro integraci se službami Microsoft Azure. Takové řešení umožňuje jednotnou správu celého prostředí prostřednictvím již použ</w:t>
      </w:r>
      <w:r>
        <w:t xml:space="preserve">ívané platformy </w:t>
      </w:r>
      <w:proofErr w:type="spellStart"/>
      <w:r>
        <w:t>vManage</w:t>
      </w:r>
      <w:proofErr w:type="spellEnd"/>
      <w:r>
        <w:t xml:space="preserve"> (SD</w:t>
      </w:r>
      <w:r>
        <w:noBreakHyphen/>
        <w:t>WAN Manager), což zjednodušuje konfiguraci, nasazení i průběžný monitoring. Současně použití SD</w:t>
      </w:r>
      <w:r>
        <w:noBreakHyphen/>
        <w:t>WAN zajišťuje nezbytnou úroveň zabezpečení komunikace mezi prostředími v Microsoft Azure a on</w:t>
      </w:r>
      <w:r>
        <w:noBreakHyphen/>
        <w:t>premise datovými centry, stejně jako v</w:t>
      </w:r>
      <w:r>
        <w:t xml:space="preserve"> případě vzdálených lokalit či poboček.</w:t>
      </w:r>
    </w:p>
    <w:p w14:paraId="382F9EAC" w14:textId="77777777" w:rsidR="008103D0" w:rsidRDefault="002E1E31">
      <w:pPr>
        <w:pStyle w:val="Titulek"/>
        <w:ind w:hanging="142"/>
        <w:rPr>
          <w:rFonts w:cs="Arial"/>
        </w:rPr>
      </w:pPr>
      <w:r>
        <w:rPr>
          <w:rFonts w:cs="Arial"/>
        </w:rPr>
        <w:t xml:space="preserve">Tabulka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SEQ Tabulka \* ARABIC </w:instrText>
      </w:r>
      <w:r>
        <w:rPr>
          <w:rFonts w:cs="Arial"/>
        </w:rPr>
        <w:fldChar w:fldCharType="separate"/>
      </w:r>
      <w:r>
        <w:rPr>
          <w:rFonts w:cs="Arial"/>
          <w:noProof/>
        </w:rPr>
        <w:t>1</w:t>
      </w:r>
      <w:r>
        <w:rPr>
          <w:rFonts w:cs="Arial"/>
        </w:rPr>
        <w:fldChar w:fldCharType="end"/>
      </w:r>
      <w:r>
        <w:rPr>
          <w:rFonts w:cs="Arial"/>
        </w:rPr>
        <w:t>- Přehled parametrů virtuálních SD-WAN routerů, pro které jsou poptávané licence určeny</w:t>
      </w:r>
    </w:p>
    <w:tbl>
      <w:tblPr>
        <w:tblW w:w="518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5"/>
      </w:tblGrid>
      <w:tr w:rsidR="008103D0" w14:paraId="5C65DEC0" w14:textId="77777777">
        <w:trPr>
          <w:cantSplit/>
          <w:trHeight w:val="397"/>
          <w:tblHeader/>
          <w:jc w:val="center"/>
        </w:trPr>
        <w:tc>
          <w:tcPr>
            <w:tcW w:w="93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E71038" w14:textId="77777777" w:rsidR="008103D0" w:rsidRDefault="002E1E31">
            <w:pPr>
              <w:contextualSpacing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Popis parametru</w:t>
            </w:r>
          </w:p>
        </w:tc>
      </w:tr>
      <w:tr w:rsidR="008103D0" w14:paraId="0E638DFD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649C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Typ zařízení – Směrovač</w:t>
            </w:r>
          </w:p>
        </w:tc>
      </w:tr>
      <w:tr w:rsidR="008103D0" w14:paraId="01064380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EA2B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Formát zařízení – Virtuální směrovač pro </w:t>
            </w:r>
            <w:r>
              <w:rPr>
                <w:color w:val="000000"/>
                <w:sz w:val="18"/>
                <w:szCs w:val="18"/>
              </w:rPr>
              <w:t xml:space="preserve">prostředí MS AZURE provozovaný na Azure </w:t>
            </w:r>
            <w:proofErr w:type="spellStart"/>
            <w:r>
              <w:rPr>
                <w:color w:val="000000"/>
                <w:sz w:val="18"/>
                <w:szCs w:val="18"/>
              </w:rPr>
              <w:t>Virtual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Machines</w:t>
            </w:r>
            <w:proofErr w:type="spellEnd"/>
          </w:p>
        </w:tc>
      </w:tr>
      <w:tr w:rsidR="008103D0" w14:paraId="196C7911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2ABD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Forma nasazení v cloudu – BYOL (</w:t>
            </w:r>
            <w:proofErr w:type="spellStart"/>
            <w:r>
              <w:rPr>
                <w:color w:val="000000"/>
                <w:sz w:val="18"/>
                <w:szCs w:val="18"/>
              </w:rPr>
              <w:t>Bring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Your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Own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License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8103D0" w14:paraId="098BEE2D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4F66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Výrobce – společnost </w:t>
            </w:r>
            <w:r>
              <w:rPr>
                <w:sz w:val="18"/>
                <w:szCs w:val="18"/>
              </w:rPr>
              <w:t>Cisco Systems, Inc.</w:t>
            </w:r>
          </w:p>
        </w:tc>
      </w:tr>
      <w:tr w:rsidR="008103D0" w14:paraId="3185731F" w14:textId="77777777">
        <w:trPr>
          <w:cantSplit/>
          <w:trHeight w:val="397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83CDA09" w14:textId="77777777" w:rsidR="008103D0" w:rsidRDefault="002E1E31">
            <w:pPr>
              <w:spacing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Směrování </w:t>
            </w:r>
          </w:p>
        </w:tc>
      </w:tr>
      <w:tr w:rsidR="008103D0" w14:paraId="3C89F56A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3CA8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OSPFv2, OSPFv3</w:t>
            </w:r>
          </w:p>
        </w:tc>
      </w:tr>
      <w:tr w:rsidR="008103D0" w14:paraId="62E7708F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AB11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BGPv4, MP-BGPv4</w:t>
            </w:r>
          </w:p>
        </w:tc>
      </w:tr>
      <w:tr w:rsidR="008103D0" w14:paraId="23B504DE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FF6E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Podpora 4 byte AS </w:t>
            </w:r>
            <w:proofErr w:type="spellStart"/>
            <w:r>
              <w:rPr>
                <w:color w:val="000000"/>
                <w:sz w:val="18"/>
                <w:szCs w:val="18"/>
              </w:rPr>
              <w:t>numbers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in BGP</w:t>
            </w:r>
          </w:p>
        </w:tc>
      </w:tr>
      <w:tr w:rsidR="008103D0" w14:paraId="76D6D73A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6D52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Možnost </w:t>
            </w:r>
            <w:r>
              <w:rPr>
                <w:color w:val="000000"/>
                <w:sz w:val="18"/>
                <w:szCs w:val="18"/>
              </w:rPr>
              <w:t xml:space="preserve">směrování provozu dle dynamicky měřených metrik (zpoždění, ztrátovost paketů, </w:t>
            </w:r>
            <w:proofErr w:type="spellStart"/>
            <w:r>
              <w:rPr>
                <w:color w:val="000000"/>
                <w:sz w:val="18"/>
                <w:szCs w:val="18"/>
              </w:rPr>
              <w:t>jitter</w:t>
            </w:r>
            <w:proofErr w:type="spellEnd"/>
            <w:r>
              <w:rPr>
                <w:color w:val="000000"/>
                <w:sz w:val="18"/>
                <w:szCs w:val="18"/>
              </w:rPr>
              <w:t>) </w:t>
            </w:r>
          </w:p>
        </w:tc>
      </w:tr>
      <w:tr w:rsidR="008103D0" w14:paraId="7A7B1B48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B067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First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Hop </w:t>
            </w:r>
            <w:proofErr w:type="spellStart"/>
            <w:r>
              <w:rPr>
                <w:color w:val="000000"/>
                <w:sz w:val="18"/>
                <w:szCs w:val="18"/>
              </w:rPr>
              <w:t>Redundancy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Protokol (např. VRRP, HSRP) pro IPv4 i IPv6</w:t>
            </w:r>
          </w:p>
        </w:tc>
      </w:tr>
      <w:tr w:rsidR="008103D0" w14:paraId="2E12C795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9E61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Interface </w:t>
            </w:r>
            <w:proofErr w:type="spellStart"/>
            <w:r>
              <w:rPr>
                <w:color w:val="000000"/>
                <w:sz w:val="18"/>
                <w:szCs w:val="18"/>
              </w:rPr>
              <w:t>tracker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pro FHRP</w:t>
            </w:r>
          </w:p>
        </w:tc>
      </w:tr>
      <w:tr w:rsidR="008103D0" w14:paraId="2D73EBC4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5887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GRE (</w:t>
            </w:r>
            <w:proofErr w:type="spellStart"/>
            <w:r>
              <w:rPr>
                <w:color w:val="000000"/>
                <w:sz w:val="18"/>
                <w:szCs w:val="18"/>
              </w:rPr>
              <w:t>Generic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Routing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Encapsulation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8103D0" w14:paraId="5480B0A5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84EF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Policy-based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routing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podle ACL</w:t>
            </w:r>
          </w:p>
        </w:tc>
      </w:tr>
      <w:tr w:rsidR="008103D0" w14:paraId="38CDE81C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9264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IP </w:t>
            </w:r>
            <w:proofErr w:type="spellStart"/>
            <w:r>
              <w:rPr>
                <w:color w:val="000000"/>
                <w:sz w:val="18"/>
                <w:szCs w:val="18"/>
              </w:rPr>
              <w:t>Multicast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(PIM SSM, PIM ASM)</w:t>
            </w:r>
          </w:p>
        </w:tc>
      </w:tr>
      <w:tr w:rsidR="008103D0" w14:paraId="2E36260C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5595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IGMPv2, IGMPv3</w:t>
            </w:r>
          </w:p>
        </w:tc>
      </w:tr>
      <w:tr w:rsidR="008103D0" w14:paraId="3712CBEB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69EE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DHCP </w:t>
            </w:r>
            <w:proofErr w:type="spellStart"/>
            <w:r>
              <w:rPr>
                <w:color w:val="000000"/>
                <w:sz w:val="18"/>
                <w:szCs w:val="18"/>
              </w:rPr>
              <w:t>relay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pro IPv4 i IPv6</w:t>
            </w:r>
          </w:p>
        </w:tc>
      </w:tr>
      <w:tr w:rsidR="008103D0" w14:paraId="2F024CB0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C4F8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NAT 44, NAT 64</w:t>
            </w:r>
          </w:p>
        </w:tc>
      </w:tr>
      <w:tr w:rsidR="008103D0" w14:paraId="1A5F7E3E" w14:textId="77777777">
        <w:trPr>
          <w:cantSplit/>
          <w:trHeight w:val="397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644D9AD" w14:textId="77777777" w:rsidR="008103D0" w:rsidRDefault="002E1E31">
            <w:pPr>
              <w:spacing w:after="0"/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QoS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8103D0" w14:paraId="6F0E2B07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D36F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QoS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classification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– ACL, DSCP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based</w:t>
            </w:r>
            <w:proofErr w:type="spellEnd"/>
          </w:p>
        </w:tc>
      </w:tr>
      <w:tr w:rsidR="008103D0" w14:paraId="411B9972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A65B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QoS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Shaping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and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Policing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8103D0" w14:paraId="0B83A9A0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8095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Priority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queuing</w:t>
            </w:r>
            <w:proofErr w:type="spellEnd"/>
          </w:p>
        </w:tc>
      </w:tr>
      <w:tr w:rsidR="008103D0" w14:paraId="3FBC3EEF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1C44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Rate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Limiting</w:t>
            </w:r>
            <w:proofErr w:type="spellEnd"/>
          </w:p>
        </w:tc>
      </w:tr>
      <w:tr w:rsidR="008103D0" w14:paraId="7C6352C3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35AF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zh-CN" w:bidi="mr-IN"/>
              </w:rPr>
              <w:t>Hierarchical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zh-CN" w:bidi="mr-I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zh-CN" w:bidi="mr-IN"/>
              </w:rPr>
              <w:t>QoS</w:t>
            </w:r>
            <w:proofErr w:type="spellEnd"/>
          </w:p>
        </w:tc>
      </w:tr>
      <w:tr w:rsidR="008103D0" w14:paraId="682CFC81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FB07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zh-CN" w:bidi="mr-IN"/>
              </w:rPr>
              <w:t xml:space="preserve">Per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zh-CN" w:bidi="mr-IN"/>
              </w:rPr>
              <w:t>tunnel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zh-CN" w:bidi="mr-I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zh-CN" w:bidi="mr-IN"/>
              </w:rPr>
              <w:t>QoS</w:t>
            </w:r>
            <w:proofErr w:type="spellEnd"/>
          </w:p>
        </w:tc>
      </w:tr>
      <w:tr w:rsidR="008103D0" w14:paraId="44D05D1E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CD36" w14:textId="77777777" w:rsidR="008103D0" w:rsidRDefault="002E1E31">
            <w:pPr>
              <w:spacing w:after="0"/>
              <w:contextualSpacing/>
              <w:rPr>
                <w:rFonts w:eastAsia="Times New Roman"/>
                <w:color w:val="000000"/>
                <w:sz w:val="18"/>
                <w:szCs w:val="18"/>
                <w:lang w:eastAsia="zh-CN" w:bidi="mr-IN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zh-CN" w:bidi="mr-IN"/>
              </w:rPr>
              <w:t>Adaptive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zh-CN" w:bidi="mr-IN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zh-CN" w:bidi="mr-IN"/>
              </w:rPr>
              <w:t>per-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zh-CN" w:bidi="mr-IN"/>
              </w:rPr>
              <w:t>tunnel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zh-CN" w:bidi="mr-I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zh-CN" w:bidi="mr-IN"/>
              </w:rPr>
              <w:t>QoS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zh-CN" w:bidi="mr-IN"/>
              </w:rPr>
              <w:t xml:space="preserve"> umožňující adaptivní nastavení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zh-CN" w:bidi="mr-IN"/>
              </w:rPr>
              <w:t>shaperu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zh-CN" w:bidi="mr-IN"/>
              </w:rPr>
              <w:t xml:space="preserve"> dle skutečně dostupného přenosového pásma na straně vzdálené (přijímající) lokality</w:t>
            </w:r>
          </w:p>
        </w:tc>
      </w:tr>
      <w:tr w:rsidR="008103D0" w14:paraId="4565E333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3333" w14:textId="77777777" w:rsidR="008103D0" w:rsidRDefault="002E1E31">
            <w:pPr>
              <w:spacing w:after="0"/>
              <w:contextualSpacing/>
              <w:rPr>
                <w:rFonts w:eastAsia="Times New Roman"/>
                <w:color w:val="000000"/>
                <w:sz w:val="18"/>
                <w:szCs w:val="18"/>
                <w:lang w:eastAsia="zh-CN" w:bidi="mr-IN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zh-CN" w:bidi="mr-IN"/>
              </w:rPr>
              <w:t xml:space="preserve">Možnost aplikovat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zh-CN" w:bidi="mr-IN"/>
              </w:rPr>
              <w:t>QoS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zh-CN" w:bidi="mr-IN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zh-CN" w:bidi="mr-IN"/>
              </w:rPr>
              <w:t>policy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zh-CN" w:bidi="mr-IN"/>
              </w:rPr>
              <w:t xml:space="preserve"> per VPN/VRF</w:t>
            </w:r>
          </w:p>
        </w:tc>
      </w:tr>
      <w:tr w:rsidR="008103D0" w14:paraId="0E9A8B8A" w14:textId="77777777">
        <w:trPr>
          <w:cantSplit/>
          <w:trHeight w:val="397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0C9F3CA" w14:textId="77777777" w:rsidR="008103D0" w:rsidRDefault="002E1E31">
            <w:pPr>
              <w:spacing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Bezpečnost </w:t>
            </w:r>
          </w:p>
        </w:tc>
      </w:tr>
      <w:tr w:rsidR="008103D0" w14:paraId="310AC20D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EA0C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Makrosegmentace</w:t>
            </w:r>
            <w:proofErr w:type="spellEnd"/>
            <w:r>
              <w:rPr>
                <w:sz w:val="18"/>
                <w:szCs w:val="18"/>
              </w:rPr>
              <w:t xml:space="preserve"> provozu s využitím Virtualizace </w:t>
            </w:r>
            <w:r>
              <w:rPr>
                <w:sz w:val="18"/>
                <w:szCs w:val="18"/>
              </w:rPr>
              <w:t xml:space="preserve">směrovacích </w:t>
            </w:r>
            <w:proofErr w:type="gramStart"/>
            <w:r>
              <w:rPr>
                <w:sz w:val="18"/>
                <w:szCs w:val="18"/>
              </w:rPr>
              <w:t xml:space="preserve">tabulek - </w:t>
            </w:r>
            <w:proofErr w:type="spellStart"/>
            <w:r>
              <w:rPr>
                <w:sz w:val="18"/>
                <w:szCs w:val="18"/>
              </w:rPr>
              <w:t>Virtual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Routing</w:t>
            </w:r>
            <w:proofErr w:type="spellEnd"/>
            <w:r>
              <w:rPr>
                <w:sz w:val="18"/>
                <w:szCs w:val="18"/>
              </w:rPr>
              <w:t xml:space="preserve"> and </w:t>
            </w:r>
            <w:proofErr w:type="spellStart"/>
            <w:r>
              <w:rPr>
                <w:sz w:val="18"/>
                <w:szCs w:val="18"/>
              </w:rPr>
              <w:t>Forwarding</w:t>
            </w:r>
            <w:proofErr w:type="spellEnd"/>
            <w:r>
              <w:rPr>
                <w:sz w:val="18"/>
                <w:szCs w:val="18"/>
              </w:rPr>
              <w:t xml:space="preserve"> (VRF)</w:t>
            </w:r>
          </w:p>
        </w:tc>
      </w:tr>
      <w:tr w:rsidR="008103D0" w14:paraId="4F51F832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3196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VRF </w:t>
            </w:r>
            <w:proofErr w:type="spellStart"/>
            <w:r>
              <w:rPr>
                <w:sz w:val="18"/>
                <w:szCs w:val="18"/>
              </w:rPr>
              <w:t>aware</w:t>
            </w:r>
            <w:proofErr w:type="spellEnd"/>
            <w:r>
              <w:rPr>
                <w:sz w:val="18"/>
                <w:szCs w:val="18"/>
              </w:rPr>
              <w:t xml:space="preserve"> směrovací protokoly, min. OSPF a BGP</w:t>
            </w:r>
          </w:p>
        </w:tc>
      </w:tr>
      <w:tr w:rsidR="008103D0" w14:paraId="4A5663A3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728E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Minimální počet oddělených (nezávislých) směrovacích </w:t>
            </w:r>
            <w:proofErr w:type="gramStart"/>
            <w:r>
              <w:rPr>
                <w:sz w:val="18"/>
                <w:szCs w:val="18"/>
              </w:rPr>
              <w:t>tabulek  -</w:t>
            </w:r>
            <w:proofErr w:type="gramEnd"/>
            <w:r>
              <w:rPr>
                <w:sz w:val="18"/>
                <w:szCs w:val="18"/>
              </w:rPr>
              <w:t xml:space="preserve"> 64</w:t>
            </w:r>
          </w:p>
        </w:tc>
      </w:tr>
      <w:tr w:rsidR="008103D0" w14:paraId="03FCDA85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4AF0" w14:textId="77777777" w:rsidR="008103D0" w:rsidRDefault="002E1E31">
            <w:pPr>
              <w:spacing w:after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Mikrosegmentace</w:t>
            </w:r>
            <w:proofErr w:type="spellEnd"/>
            <w:r>
              <w:rPr>
                <w:sz w:val="18"/>
                <w:szCs w:val="18"/>
              </w:rPr>
              <w:t xml:space="preserve"> provozu s využitím </w:t>
            </w:r>
            <w:proofErr w:type="spellStart"/>
            <w:r>
              <w:rPr>
                <w:sz w:val="18"/>
                <w:szCs w:val="18"/>
              </w:rPr>
              <w:t>security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group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tags</w:t>
            </w:r>
            <w:proofErr w:type="spellEnd"/>
            <w:r>
              <w:rPr>
                <w:sz w:val="18"/>
                <w:szCs w:val="18"/>
              </w:rPr>
              <w:t xml:space="preserve"> nebo ekvivalentní funkcio</w:t>
            </w:r>
            <w:r>
              <w:rPr>
                <w:sz w:val="18"/>
                <w:szCs w:val="18"/>
              </w:rPr>
              <w:t>nality</w:t>
            </w:r>
          </w:p>
        </w:tc>
      </w:tr>
      <w:tr w:rsidR="008103D0" w14:paraId="3F9C047E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C136" w14:textId="77777777" w:rsidR="008103D0" w:rsidRDefault="002E1E31">
            <w:pPr>
              <w:spacing w:after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Možnost aplikovat ACL pro jednotlivé </w:t>
            </w:r>
            <w:proofErr w:type="spellStart"/>
            <w:r>
              <w:rPr>
                <w:sz w:val="18"/>
                <w:szCs w:val="18"/>
              </w:rPr>
              <w:t>security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group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tags</w:t>
            </w:r>
            <w:proofErr w:type="spellEnd"/>
          </w:p>
        </w:tc>
      </w:tr>
      <w:tr w:rsidR="008103D0" w14:paraId="45BE4447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2160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ACL na rozhraní IN/OUT</w:t>
            </w:r>
          </w:p>
        </w:tc>
      </w:tr>
      <w:tr w:rsidR="008103D0" w14:paraId="681D4B24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40EB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IPSec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AES-GCM-256</w:t>
            </w:r>
          </w:p>
        </w:tc>
      </w:tr>
      <w:tr w:rsidR="008103D0" w14:paraId="7AD0AD20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80C4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Min. agregovaný šifrovací výkon pro </w:t>
            </w:r>
            <w:proofErr w:type="spellStart"/>
            <w:r>
              <w:rPr>
                <w:color w:val="000000"/>
                <w:sz w:val="18"/>
                <w:szCs w:val="18"/>
              </w:rPr>
              <w:t>IPSec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AES-GCM-256 (</w:t>
            </w:r>
            <w:proofErr w:type="gramStart"/>
            <w:r>
              <w:rPr>
                <w:color w:val="000000"/>
                <w:sz w:val="18"/>
                <w:szCs w:val="18"/>
              </w:rPr>
              <w:t>512B</w:t>
            </w:r>
            <w:proofErr w:type="gramEnd"/>
            <w:r>
              <w:rPr>
                <w:color w:val="000000"/>
                <w:sz w:val="18"/>
                <w:szCs w:val="18"/>
              </w:rPr>
              <w:t>) – 2Gbps</w:t>
            </w:r>
          </w:p>
        </w:tc>
      </w:tr>
      <w:tr w:rsidR="008103D0" w14:paraId="24CC30F9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A13B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  <w:highlight w:val="red"/>
              </w:rPr>
            </w:pPr>
            <w:r>
              <w:rPr>
                <w:color w:val="000000"/>
                <w:sz w:val="18"/>
                <w:szCs w:val="18"/>
              </w:rPr>
              <w:t xml:space="preserve">Možnost zvýšit agregovaný šifrovací výkon pro </w:t>
            </w:r>
            <w:proofErr w:type="spellStart"/>
            <w:r>
              <w:rPr>
                <w:color w:val="000000"/>
                <w:sz w:val="18"/>
                <w:szCs w:val="18"/>
              </w:rPr>
              <w:t>IPSec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na 10 </w:t>
            </w:r>
            <w:proofErr w:type="spellStart"/>
            <w:r>
              <w:rPr>
                <w:color w:val="000000"/>
                <w:sz w:val="18"/>
                <w:szCs w:val="18"/>
              </w:rPr>
              <w:t>Gbps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např. </w:t>
            </w:r>
            <w:r>
              <w:rPr>
                <w:color w:val="000000"/>
                <w:sz w:val="18"/>
                <w:szCs w:val="18"/>
              </w:rPr>
              <w:t>formou licence</w:t>
            </w:r>
          </w:p>
        </w:tc>
      </w:tr>
      <w:tr w:rsidR="008103D0" w14:paraId="5E6F73E6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8072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IPSec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IKEv2</w:t>
            </w:r>
          </w:p>
        </w:tc>
      </w:tr>
      <w:tr w:rsidR="008103D0" w14:paraId="3C028921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1A44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VRF </w:t>
            </w:r>
            <w:proofErr w:type="spellStart"/>
            <w:r>
              <w:rPr>
                <w:sz w:val="18"/>
                <w:szCs w:val="18"/>
              </w:rPr>
              <w:t>aware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IPSec</w:t>
            </w:r>
            <w:proofErr w:type="spellEnd"/>
          </w:p>
        </w:tc>
      </w:tr>
      <w:tr w:rsidR="008103D0" w14:paraId="4AA85283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9C84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Vytváření Full-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mesh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nebo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Hub&amp;Spoke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 xml:space="preserve"> šifrovaných spojení s možností dynamicky sestavovat tunely mezi „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spoke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zh-CN"/>
              </w:rPr>
              <w:t>“ lokalitami</w:t>
            </w:r>
          </w:p>
        </w:tc>
      </w:tr>
      <w:tr w:rsidR="008103D0" w14:paraId="5A318F5F" w14:textId="77777777">
        <w:trPr>
          <w:cantSplit/>
          <w:trHeight w:val="397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6724E45" w14:textId="77777777" w:rsidR="008103D0" w:rsidRDefault="002E1E31">
            <w:pPr>
              <w:spacing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Monitoring </w:t>
            </w:r>
          </w:p>
        </w:tc>
      </w:tr>
      <w:tr w:rsidR="008103D0" w14:paraId="137D7EAE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1557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Pokročilá detekce a klasifikace jednotlivých přenášených aplikací (DPI na 7. </w:t>
            </w:r>
            <w:r>
              <w:rPr>
                <w:color w:val="000000"/>
                <w:sz w:val="18"/>
                <w:szCs w:val="18"/>
              </w:rPr>
              <w:t>vrstvě OSI modelu dle aplikačních signatur) včetně možnosti definovat signatury pro vlastní aplikace</w:t>
            </w:r>
          </w:p>
        </w:tc>
      </w:tr>
      <w:tr w:rsidR="008103D0" w14:paraId="2E09DACD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850B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Monitorování aplikačních toků (všech paketů) prostřednictvím technologie </w:t>
            </w:r>
            <w:proofErr w:type="spellStart"/>
            <w:r>
              <w:rPr>
                <w:color w:val="000000"/>
                <w:sz w:val="18"/>
                <w:szCs w:val="18"/>
              </w:rPr>
              <w:t>NetFlow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nebo ekvivalentní</w:t>
            </w:r>
          </w:p>
        </w:tc>
      </w:tr>
      <w:tr w:rsidR="008103D0" w14:paraId="02F6865C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C237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Export </w:t>
            </w:r>
            <w:proofErr w:type="spellStart"/>
            <w:r>
              <w:rPr>
                <w:color w:val="000000"/>
                <w:sz w:val="18"/>
                <w:szCs w:val="18"/>
              </w:rPr>
              <w:t>NetFlow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dat dle formátu </w:t>
            </w:r>
            <w:proofErr w:type="spellStart"/>
            <w:r>
              <w:rPr>
                <w:color w:val="000000"/>
                <w:sz w:val="18"/>
                <w:szCs w:val="18"/>
              </w:rPr>
              <w:t>NetFlow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v9 nebo </w:t>
            </w:r>
            <w:r>
              <w:rPr>
                <w:color w:val="000000"/>
                <w:sz w:val="18"/>
                <w:szCs w:val="18"/>
              </w:rPr>
              <w:t>IPFIX</w:t>
            </w:r>
          </w:p>
        </w:tc>
      </w:tr>
      <w:tr w:rsidR="008103D0" w14:paraId="30ADCB7D" w14:textId="77777777">
        <w:trPr>
          <w:cantSplit/>
          <w:trHeight w:val="397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68D2ABF" w14:textId="77777777" w:rsidR="008103D0" w:rsidRDefault="002E1E31">
            <w:pPr>
              <w:spacing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Management </w:t>
            </w:r>
          </w:p>
        </w:tc>
      </w:tr>
      <w:tr w:rsidR="008103D0" w14:paraId="20DE99FC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4CAF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Objednatel požaduje, aby SD</w:t>
            </w:r>
            <w:r>
              <w:rPr>
                <w:color w:val="000000"/>
                <w:sz w:val="18"/>
                <w:szCs w:val="18"/>
              </w:rPr>
              <w:noBreakHyphen/>
              <w:t xml:space="preserve">WAN routery, k nimž jsou Smlouvou poskytovány Licence a Podpora Výrobce byly plně </w:t>
            </w:r>
            <w:proofErr w:type="spellStart"/>
            <w:r>
              <w:rPr>
                <w:color w:val="000000"/>
                <w:sz w:val="18"/>
                <w:szCs w:val="18"/>
              </w:rPr>
              <w:t>integrovatelné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stávající SD-WAN infrastruktury Objednatele využívající technologii Cisco SD-WAN.</w:t>
            </w:r>
          </w:p>
        </w:tc>
      </w:tr>
      <w:tr w:rsidR="008103D0" w14:paraId="4B993C5F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2C2B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SSHv2</w:t>
            </w:r>
          </w:p>
        </w:tc>
      </w:tr>
      <w:tr w:rsidR="008103D0" w14:paraId="39448EB4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DEAE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CLI </w:t>
            </w:r>
            <w:r>
              <w:rPr>
                <w:color w:val="000000"/>
                <w:sz w:val="18"/>
                <w:szCs w:val="18"/>
              </w:rPr>
              <w:t>rozhraní</w:t>
            </w:r>
          </w:p>
        </w:tc>
      </w:tr>
      <w:tr w:rsidR="008103D0" w14:paraId="68FB9D6C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72E6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Programovatelnost prostřednictvím NETCONF/YANG</w:t>
            </w:r>
          </w:p>
        </w:tc>
      </w:tr>
      <w:tr w:rsidR="008103D0" w14:paraId="1829CBE9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1719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SNMPv2/v3</w:t>
            </w:r>
          </w:p>
        </w:tc>
      </w:tr>
      <w:tr w:rsidR="008103D0" w14:paraId="5A0D6B8E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7B78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TACACS+ nebo RADIUS klient pro AAA (autentizace, autorizace, </w:t>
            </w:r>
            <w:proofErr w:type="spellStart"/>
            <w:r>
              <w:rPr>
                <w:color w:val="000000"/>
                <w:sz w:val="18"/>
                <w:szCs w:val="18"/>
              </w:rPr>
              <w:t>accounting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8103D0" w14:paraId="7BB72753" w14:textId="77777777">
        <w:trPr>
          <w:cantSplit/>
          <w:trHeight w:val="340"/>
          <w:jc w:val="center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12EE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NTPv3 server</w:t>
            </w:r>
          </w:p>
        </w:tc>
      </w:tr>
    </w:tbl>
    <w:p w14:paraId="3C6C8673" w14:textId="77777777" w:rsidR="008103D0" w:rsidRDefault="008103D0">
      <w:pPr>
        <w:pStyle w:val="Titulek"/>
        <w:rPr>
          <w:rFonts w:cs="Arial"/>
          <w:i w:val="0"/>
          <w:sz w:val="20"/>
          <w:szCs w:val="22"/>
        </w:rPr>
      </w:pPr>
    </w:p>
    <w:p w14:paraId="2A6EC7D0" w14:textId="77777777" w:rsidR="008103D0" w:rsidRDefault="002E1E31">
      <w:pPr>
        <w:keepNext/>
        <w:spacing w:before="240"/>
        <w:jc w:val="left"/>
        <w:rPr>
          <w:rFonts w:eastAsia="Times New Roman" w:cs="Times New Roman"/>
          <w:i/>
          <w:sz w:val="16"/>
          <w:szCs w:val="16"/>
        </w:rPr>
      </w:pPr>
      <w:r>
        <w:rPr>
          <w:rFonts w:eastAsia="Times New Roman" w:cs="Times New Roman"/>
          <w:i/>
          <w:sz w:val="16"/>
          <w:szCs w:val="16"/>
        </w:rPr>
        <w:t>Tabulka 2 - Nabízené Licence</w:t>
      </w:r>
    </w:p>
    <w:tbl>
      <w:tblPr>
        <w:tblW w:w="5081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  <w:gridCol w:w="3118"/>
      </w:tblGrid>
      <w:tr w:rsidR="008103D0" w14:paraId="0F16091F" w14:textId="77777777">
        <w:trPr>
          <w:trHeight w:val="284"/>
          <w:jc w:val="center"/>
        </w:trPr>
        <w:tc>
          <w:tcPr>
            <w:tcW w:w="6091" w:type="dxa"/>
            <w:shd w:val="clear" w:color="auto" w:fill="548DD4"/>
            <w:tcMar>
              <w:top w:w="4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F44ED3" w14:textId="77777777" w:rsidR="008103D0" w:rsidRDefault="002E1E31">
            <w:pPr>
              <w:contextualSpacing/>
              <w:jc w:val="center"/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Základní údaje</w:t>
            </w:r>
          </w:p>
        </w:tc>
        <w:tc>
          <w:tcPr>
            <w:tcW w:w="3118" w:type="dxa"/>
            <w:shd w:val="clear" w:color="auto" w:fill="548DD4"/>
            <w:tcMar>
              <w:top w:w="40" w:type="dxa"/>
              <w:left w:w="100" w:type="dxa"/>
              <w:bottom w:w="100" w:type="dxa"/>
              <w:right w:w="100" w:type="dxa"/>
            </w:tcMar>
            <w:vAlign w:val="center"/>
          </w:tcPr>
          <w:p w14:paraId="1580F3CF" w14:textId="77777777" w:rsidR="008103D0" w:rsidRDefault="002E1E31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FFFFFF"/>
              </w:rPr>
              <w:t>Nabízená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  <w:bCs/>
                <w:color w:val="FFFFFF"/>
              </w:rPr>
              <w:t>hodnota</w:t>
            </w:r>
          </w:p>
        </w:tc>
      </w:tr>
      <w:tr w:rsidR="008103D0" w14:paraId="4880DB87" w14:textId="77777777">
        <w:trPr>
          <w:trHeight w:val="284"/>
          <w:jc w:val="center"/>
        </w:trPr>
        <w:tc>
          <w:tcPr>
            <w:tcW w:w="6091" w:type="dxa"/>
            <w:tcMar>
              <w:top w:w="4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689139" w14:textId="77777777" w:rsidR="008103D0" w:rsidRDefault="002E1E31">
            <w:pPr>
              <w:contextualSpacing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Produktové číslo (typ) </w:t>
            </w:r>
            <w:r>
              <w:rPr>
                <w:rFonts w:eastAsia="Times New Roman"/>
                <w:color w:val="000000"/>
              </w:rPr>
              <w:t>nabízených Licencí (v případě, že jsou Licence popsány více produktovými čísly, uvede Poskytovatel hlavní produktové číslo nabízených Licencí)</w:t>
            </w:r>
          </w:p>
        </w:tc>
        <w:tc>
          <w:tcPr>
            <w:tcW w:w="3118" w:type="dxa"/>
            <w:tcMar>
              <w:top w:w="40" w:type="dxa"/>
              <w:left w:w="100" w:type="dxa"/>
              <w:bottom w:w="100" w:type="dxa"/>
              <w:right w:w="100" w:type="dxa"/>
            </w:tcMar>
            <w:vAlign w:val="center"/>
          </w:tcPr>
          <w:p w14:paraId="559822EE" w14:textId="77777777" w:rsidR="008103D0" w:rsidRDefault="002E1E31">
            <w:pPr>
              <w:contextualSpacing/>
              <w:jc w:val="center"/>
              <w:rPr>
                <w:rFonts w:eastAsia="Times New Roman"/>
              </w:rPr>
            </w:pPr>
            <w:r>
              <w:t>L-DNA-C8000V</w:t>
            </w:r>
          </w:p>
        </w:tc>
      </w:tr>
    </w:tbl>
    <w:p w14:paraId="1272A66F" w14:textId="77777777" w:rsidR="008103D0" w:rsidRDefault="008103D0">
      <w:pPr>
        <w:rPr>
          <w:sz w:val="22"/>
        </w:rPr>
      </w:pPr>
    </w:p>
    <w:p w14:paraId="5367A260" w14:textId="77777777" w:rsidR="008103D0" w:rsidRDefault="002E1E31">
      <w:pPr>
        <w:pStyle w:val="Titulek"/>
        <w:rPr>
          <w:rFonts w:cs="Arial"/>
        </w:rPr>
      </w:pPr>
      <w:r>
        <w:rPr>
          <w:rFonts w:cs="Arial"/>
        </w:rPr>
        <w:t>Tabulka 3 - Požadované parametry Licencí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8103D0" w14:paraId="5DDBA5E8" w14:textId="77777777">
        <w:trPr>
          <w:cantSplit/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9CD239A" w14:textId="77777777" w:rsidR="008103D0" w:rsidRDefault="002E1E31">
            <w:pPr>
              <w:spacing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Požadavky</w:t>
            </w:r>
          </w:p>
        </w:tc>
      </w:tr>
      <w:tr w:rsidR="008103D0" w14:paraId="0508880E" w14:textId="77777777">
        <w:trPr>
          <w:cantSplit/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A2C0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Veškeré potřebné SW Licence </w:t>
            </w:r>
            <w:r>
              <w:rPr>
                <w:color w:val="000000"/>
                <w:sz w:val="18"/>
                <w:szCs w:val="18"/>
              </w:rPr>
              <w:t>(subskripce) musí být na dobu minimálně 60 měsíců a v režimu on-Premise</w:t>
            </w:r>
          </w:p>
        </w:tc>
      </w:tr>
      <w:tr w:rsidR="008103D0" w14:paraId="58FF5454" w14:textId="77777777">
        <w:trPr>
          <w:cantSplit/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2E92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SD-WAN propustnost 1Gbps (oběma směry 2Gbps)</w:t>
            </w:r>
          </w:p>
        </w:tc>
      </w:tr>
      <w:tr w:rsidR="008103D0" w14:paraId="4ACDB231" w14:textId="77777777">
        <w:trPr>
          <w:cantSplit/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0AAF" w14:textId="77777777" w:rsidR="008103D0" w:rsidRDefault="002E1E31">
            <w:pPr>
              <w:spacing w:after="0"/>
              <w:contextualSpacing/>
              <w:rPr>
                <w:color w:val="000000"/>
                <w:sz w:val="18"/>
                <w:szCs w:val="18"/>
                <w:highlight w:val="green"/>
              </w:rPr>
            </w:pPr>
            <w:r>
              <w:rPr>
                <w:color w:val="000000"/>
                <w:sz w:val="18"/>
                <w:szCs w:val="18"/>
              </w:rPr>
              <w:t>Součástí dodaných Licencí musí být i právo Objednatele připojit SD</w:t>
            </w:r>
            <w:r>
              <w:rPr>
                <w:color w:val="000000"/>
                <w:sz w:val="18"/>
                <w:szCs w:val="18"/>
              </w:rPr>
              <w:noBreakHyphen/>
              <w:t xml:space="preserve">WAN routery, k nimž jsou Licence poskytovány, ke </w:t>
            </w:r>
            <w:r>
              <w:rPr>
                <w:color w:val="000000"/>
                <w:sz w:val="18"/>
                <w:szCs w:val="18"/>
              </w:rPr>
              <w:t xml:space="preserve">stejnému SD-WAN </w:t>
            </w:r>
            <w:proofErr w:type="spellStart"/>
            <w:r>
              <w:rPr>
                <w:color w:val="000000"/>
                <w:sz w:val="18"/>
                <w:szCs w:val="18"/>
              </w:rPr>
              <w:t>kontroleru</w:t>
            </w:r>
            <w:proofErr w:type="spellEnd"/>
            <w:r>
              <w:rPr>
                <w:color w:val="000000"/>
                <w:sz w:val="18"/>
                <w:szCs w:val="18"/>
              </w:rPr>
              <w:t>, který je schopen řídit poptávané i existující zařízení jako jednu SD-WAN.</w:t>
            </w:r>
          </w:p>
        </w:tc>
      </w:tr>
      <w:tr w:rsidR="008103D0" w14:paraId="568975CD" w14:textId="77777777">
        <w:trPr>
          <w:cantSplit/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DABD" w14:textId="77777777" w:rsidR="008103D0" w:rsidRDefault="002E1E31">
            <w:pPr>
              <w:contextualSpacing/>
              <w:rPr>
                <w:rFonts w:eastAsia="MS Mincho"/>
                <w:color w:val="000000"/>
                <w:sz w:val="18"/>
                <w:szCs w:val="18"/>
                <w:lang w:eastAsia="ja-JP" w:bidi="mr-IN"/>
              </w:rPr>
            </w:pPr>
            <w:r>
              <w:rPr>
                <w:rFonts w:eastAsia="MS Mincho"/>
                <w:color w:val="000000"/>
                <w:sz w:val="18"/>
                <w:szCs w:val="18"/>
                <w:lang w:eastAsia="ja-JP" w:bidi="mr-IN"/>
              </w:rPr>
              <w:t>Objednatel musí mít možnost otevřít servisní požadavek u Výrobce SW.</w:t>
            </w:r>
          </w:p>
        </w:tc>
      </w:tr>
    </w:tbl>
    <w:p w14:paraId="72791DF3" w14:textId="77777777" w:rsidR="008103D0" w:rsidRDefault="008103D0">
      <w:pPr>
        <w:autoSpaceDE w:val="0"/>
        <w:autoSpaceDN w:val="0"/>
        <w:adjustRightInd w:val="0"/>
        <w:spacing w:line="280" w:lineRule="atLeast"/>
        <w:jc w:val="center"/>
        <w:rPr>
          <w:b/>
        </w:rPr>
      </w:pPr>
    </w:p>
    <w:p w14:paraId="2B7EE35F" w14:textId="77777777" w:rsidR="008103D0" w:rsidRDefault="008103D0">
      <w:pPr>
        <w:spacing w:after="160" w:line="259" w:lineRule="auto"/>
        <w:jc w:val="left"/>
      </w:pPr>
    </w:p>
    <w:sectPr w:rsidR="008103D0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E106" w14:textId="77777777" w:rsidR="008103D0" w:rsidRDefault="002E1E31">
      <w:pPr>
        <w:spacing w:after="0"/>
      </w:pPr>
      <w:r>
        <w:separator/>
      </w:r>
    </w:p>
  </w:endnote>
  <w:endnote w:type="continuationSeparator" w:id="0">
    <w:p w14:paraId="239C8586" w14:textId="77777777" w:rsidR="008103D0" w:rsidRDefault="002E1E31">
      <w:pPr>
        <w:spacing w:after="0"/>
      </w:pPr>
      <w:r>
        <w:continuationSeparator/>
      </w:r>
    </w:p>
  </w:endnote>
  <w:endnote w:type="continuationNotice" w:id="1">
    <w:p w14:paraId="152249CA" w14:textId="77777777" w:rsidR="008103D0" w:rsidRDefault="008103D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0134015"/>
      <w:docPartObj>
        <w:docPartGallery w:val="Page Numbers (Bottom of Page)"/>
        <w:docPartUnique/>
      </w:docPartObj>
    </w:sdtPr>
    <w:sdtEndPr/>
    <w:sdtContent>
      <w:p w14:paraId="3AA6645E" w14:textId="77777777" w:rsidR="008103D0" w:rsidRDefault="002E1E3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654A95" w14:textId="77777777" w:rsidR="008103D0" w:rsidRDefault="008103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83AB" w14:textId="77777777" w:rsidR="008103D0" w:rsidRDefault="008103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58329" w14:textId="77777777" w:rsidR="008103D0" w:rsidRDefault="002E1E31">
      <w:pPr>
        <w:spacing w:after="0"/>
      </w:pPr>
      <w:r>
        <w:separator/>
      </w:r>
    </w:p>
  </w:footnote>
  <w:footnote w:type="continuationSeparator" w:id="0">
    <w:p w14:paraId="0B29B969" w14:textId="77777777" w:rsidR="008103D0" w:rsidRDefault="002E1E31">
      <w:pPr>
        <w:spacing w:after="0"/>
      </w:pPr>
      <w:r>
        <w:continuationSeparator/>
      </w:r>
    </w:p>
  </w:footnote>
  <w:footnote w:type="continuationNotice" w:id="1">
    <w:p w14:paraId="476980FE" w14:textId="77777777" w:rsidR="008103D0" w:rsidRDefault="008103D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1DE5" w14:textId="77777777" w:rsidR="008103D0" w:rsidRDefault="008103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AD6"/>
    <w:multiLevelType w:val="hybridMultilevel"/>
    <w:tmpl w:val="72E42D8E"/>
    <w:lvl w:ilvl="0" w:tplc="0C8E04BE">
      <w:start w:val="1"/>
      <w:numFmt w:val="bullet"/>
      <w:pStyle w:val="Obsah5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1" w15:restartNumberingAfterBreak="0">
    <w:nsid w:val="02F51F81"/>
    <w:multiLevelType w:val="multilevel"/>
    <w:tmpl w:val="8E9A157A"/>
    <w:lvl w:ilvl="0">
      <w:start w:val="1"/>
      <w:numFmt w:val="decimal"/>
      <w:pStyle w:val="Odstavec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67D06F7"/>
    <w:multiLevelType w:val="multilevel"/>
    <w:tmpl w:val="C95C6838"/>
    <w:styleLink w:val="List1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2000"/>
        </w:tabs>
        <w:ind w:left="2000" w:hanging="600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720"/>
        </w:tabs>
        <w:ind w:left="2720" w:hanging="6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6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900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5140"/>
        </w:tabs>
        <w:ind w:left="5140" w:hanging="9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2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6860"/>
        </w:tabs>
        <w:ind w:left="6860" w:hanging="1200"/>
      </w:pPr>
      <w:rPr>
        <w:color w:val="000000"/>
        <w:position w:val="0"/>
        <w:sz w:val="20"/>
        <w:szCs w:val="20"/>
        <w:u w:color="000000"/>
      </w:rPr>
    </w:lvl>
  </w:abstractNum>
  <w:abstractNum w:abstractNumId="3" w15:restartNumberingAfterBreak="0">
    <w:nsid w:val="0EF03ED2"/>
    <w:multiLevelType w:val="multilevel"/>
    <w:tmpl w:val="E9700348"/>
    <w:lvl w:ilvl="0">
      <w:start w:val="1"/>
      <w:numFmt w:val="upperRoman"/>
      <w:suff w:val="nothing"/>
      <w:lvlText w:val=""/>
      <w:lvlJc w:val="right"/>
      <w:pPr>
        <w:ind w:left="0" w:firstLine="0"/>
      </w:pPr>
      <w:rPr>
        <w:rFonts w:hint="default"/>
        <w:vanish w:val="0"/>
      </w:rPr>
    </w:lvl>
    <w:lvl w:ilvl="1">
      <w:start w:val="1"/>
      <w:numFmt w:val="decimal"/>
      <w:pStyle w:val="Txt1"/>
      <w:lvlText w:val="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1134" w:hanging="567"/>
      </w:pPr>
      <w:rPr>
        <w:rFonts w:ascii="Arial" w:hAnsi="Arial" w:hint="default"/>
        <w:b w:val="0"/>
        <w:sz w:val="20"/>
      </w:rPr>
    </w:lvl>
    <w:lvl w:ilvl="3">
      <w:start w:val="1"/>
      <w:numFmt w:val="decimal"/>
      <w:pStyle w:val="Txt111"/>
      <w:lvlText w:val="%2.%3.%4."/>
      <w:lvlJc w:val="left"/>
      <w:pPr>
        <w:ind w:left="1985" w:hanging="851"/>
      </w:pPr>
      <w:rPr>
        <w:rFonts w:hint="default"/>
        <w:b w:val="0"/>
      </w:rPr>
    </w:lvl>
    <w:lvl w:ilvl="4">
      <w:start w:val="1"/>
      <w:numFmt w:val="upperLetter"/>
      <w:lvlText w:val="%5."/>
      <w:lvlJc w:val="left"/>
      <w:pPr>
        <w:ind w:left="2268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8A69D9"/>
    <w:multiLevelType w:val="hybridMultilevel"/>
    <w:tmpl w:val="CFACA7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22D99"/>
    <w:multiLevelType w:val="hybridMultilevel"/>
    <w:tmpl w:val="A85E958E"/>
    <w:lvl w:ilvl="0" w:tplc="FC6A39F6">
      <w:start w:val="1"/>
      <w:numFmt w:val="decimal"/>
      <w:pStyle w:val="Odstavec1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CA15BE"/>
    <w:multiLevelType w:val="multilevel"/>
    <w:tmpl w:val="92A8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DF44B71"/>
    <w:multiLevelType w:val="multilevel"/>
    <w:tmpl w:val="DB5839CA"/>
    <w:styleLink w:val="Seznam31"/>
    <w:lvl w:ilvl="0">
      <w:numFmt w:val="bullet"/>
      <w:lvlText w:val="-"/>
      <w:lvlJc w:val="left"/>
      <w:pPr>
        <w:tabs>
          <w:tab w:val="num" w:pos="720"/>
        </w:tabs>
        <w:ind w:left="720" w:hanging="153"/>
      </w:pPr>
      <w:rPr>
        <w:color w:val="000000"/>
        <w:position w:val="0"/>
        <w:sz w:val="16"/>
        <w:szCs w:val="16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color w:val="000000"/>
        <w:position w:val="0"/>
        <w:sz w:val="20"/>
        <w:szCs w:val="20"/>
        <w:u w:color="000000"/>
      </w:rPr>
    </w:lvl>
  </w:abstractNum>
  <w:abstractNum w:abstractNumId="8" w15:restartNumberingAfterBreak="0">
    <w:nsid w:val="223B7061"/>
    <w:multiLevelType w:val="hybridMultilevel"/>
    <w:tmpl w:val="8314F4F4"/>
    <w:lvl w:ilvl="0" w:tplc="AB2098B0">
      <w:start w:val="1"/>
      <w:numFmt w:val="bullet"/>
      <w:pStyle w:val="COdrkysamotn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A460206"/>
    <w:multiLevelType w:val="multilevel"/>
    <w:tmpl w:val="6430EF84"/>
    <w:lvl w:ilvl="0">
      <w:start w:val="1"/>
      <w:numFmt w:val="decimal"/>
      <w:lvlText w:val="%1."/>
      <w:lvlJc w:val="left"/>
      <w:pPr>
        <w:ind w:left="5302" w:hanging="34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304" w:hanging="737"/>
      </w:pPr>
      <w:rPr>
        <w:rFonts w:hint="default"/>
        <w:color w:val="auto"/>
      </w:rPr>
    </w:lvl>
    <w:lvl w:ilvl="3">
      <w:start w:val="1"/>
      <w:numFmt w:val="none"/>
      <w:lvlText w:val="a)"/>
      <w:lvlJc w:val="left"/>
      <w:pPr>
        <w:ind w:left="1814" w:hanging="510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4247960"/>
    <w:multiLevelType w:val="hybridMultilevel"/>
    <w:tmpl w:val="43F8FD8E"/>
    <w:lvl w:ilvl="0" w:tplc="CE68F58E">
      <w:start w:val="1"/>
      <w:numFmt w:val="upperRoman"/>
      <w:pStyle w:val="Nadpis"/>
      <w:lvlText w:val="%1."/>
      <w:lvlJc w:val="left"/>
      <w:pPr>
        <w:ind w:left="32757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32419" w:hanging="360"/>
      </w:pPr>
    </w:lvl>
    <w:lvl w:ilvl="2" w:tplc="0405001B" w:tentative="1">
      <w:start w:val="1"/>
      <w:numFmt w:val="lowerRoman"/>
      <w:lvlText w:val="%3."/>
      <w:lvlJc w:val="right"/>
      <w:pPr>
        <w:ind w:left="-31699" w:hanging="180"/>
      </w:pPr>
    </w:lvl>
    <w:lvl w:ilvl="3" w:tplc="0405000F" w:tentative="1">
      <w:start w:val="1"/>
      <w:numFmt w:val="decimal"/>
      <w:lvlText w:val="%4."/>
      <w:lvlJc w:val="left"/>
      <w:pPr>
        <w:ind w:left="-30979" w:hanging="360"/>
      </w:pPr>
    </w:lvl>
    <w:lvl w:ilvl="4" w:tplc="04050019" w:tentative="1">
      <w:start w:val="1"/>
      <w:numFmt w:val="lowerLetter"/>
      <w:lvlText w:val="%5."/>
      <w:lvlJc w:val="left"/>
      <w:pPr>
        <w:ind w:left="-30259" w:hanging="360"/>
      </w:pPr>
    </w:lvl>
    <w:lvl w:ilvl="5" w:tplc="0405001B" w:tentative="1">
      <w:start w:val="1"/>
      <w:numFmt w:val="lowerRoman"/>
      <w:lvlText w:val="%6."/>
      <w:lvlJc w:val="right"/>
      <w:pPr>
        <w:ind w:left="-29539" w:hanging="180"/>
      </w:pPr>
    </w:lvl>
    <w:lvl w:ilvl="6" w:tplc="0405000F" w:tentative="1">
      <w:start w:val="1"/>
      <w:numFmt w:val="decimal"/>
      <w:lvlText w:val="%7."/>
      <w:lvlJc w:val="left"/>
      <w:pPr>
        <w:ind w:left="-28819" w:hanging="360"/>
      </w:pPr>
    </w:lvl>
    <w:lvl w:ilvl="7" w:tplc="04050019" w:tentative="1">
      <w:start w:val="1"/>
      <w:numFmt w:val="lowerLetter"/>
      <w:lvlText w:val="%8."/>
      <w:lvlJc w:val="left"/>
      <w:pPr>
        <w:ind w:left="-28099" w:hanging="360"/>
      </w:pPr>
    </w:lvl>
    <w:lvl w:ilvl="8" w:tplc="0405001B" w:tentative="1">
      <w:start w:val="1"/>
      <w:numFmt w:val="lowerRoman"/>
      <w:lvlText w:val="%9."/>
      <w:lvlJc w:val="right"/>
      <w:pPr>
        <w:ind w:left="-27379" w:hanging="180"/>
      </w:pPr>
    </w:lvl>
  </w:abstractNum>
  <w:abstractNum w:abstractNumId="11" w15:restartNumberingAfterBreak="0">
    <w:nsid w:val="362C6FCD"/>
    <w:multiLevelType w:val="multilevel"/>
    <w:tmpl w:val="15301E78"/>
    <w:lvl w:ilvl="0">
      <w:start w:val="1"/>
      <w:numFmt w:val="upperRoman"/>
      <w:pStyle w:val="TSlneksmlouvy"/>
      <w:suff w:val="nothing"/>
      <w:lvlText w:val="Čl. %1"/>
      <w:lvlJc w:val="left"/>
      <w:pPr>
        <w:ind w:left="453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TSTextlnkuslovan"/>
      <w:isLgl/>
      <w:lvlText w:val="%1.%2"/>
      <w:lvlJc w:val="left"/>
      <w:pPr>
        <w:tabs>
          <w:tab w:val="num" w:pos="1162"/>
        </w:tabs>
        <w:ind w:left="1162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67"/>
        </w:tabs>
        <w:ind w:left="2467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2864"/>
        </w:tabs>
        <w:ind w:left="2864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92"/>
        </w:tabs>
        <w:ind w:left="4792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93"/>
        </w:tabs>
        <w:ind w:left="2793" w:hanging="1800"/>
      </w:pPr>
      <w:rPr>
        <w:rFonts w:hint="default"/>
      </w:rPr>
    </w:lvl>
  </w:abstractNum>
  <w:abstractNum w:abstractNumId="12" w15:restartNumberingAfterBreak="0">
    <w:nsid w:val="3FE6191C"/>
    <w:multiLevelType w:val="hybridMultilevel"/>
    <w:tmpl w:val="C36EE2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87640"/>
    <w:multiLevelType w:val="multilevel"/>
    <w:tmpl w:val="BFF250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3B6640D"/>
    <w:multiLevelType w:val="hybridMultilevel"/>
    <w:tmpl w:val="0FCAFEF2"/>
    <w:lvl w:ilvl="0" w:tplc="4EBC15A4">
      <w:numFmt w:val="bullet"/>
      <w:pStyle w:val="odstavec1a"/>
      <w:lvlText w:val="-"/>
      <w:lvlJc w:val="left"/>
      <w:pPr>
        <w:ind w:left="720" w:hanging="360"/>
      </w:pPr>
      <w:rPr>
        <w:rFonts w:ascii="Arial" w:eastAsia="OCR A Extended" w:hAnsi="Arial" w:cs="Arial" w:hint="default"/>
      </w:rPr>
    </w:lvl>
    <w:lvl w:ilvl="1" w:tplc="7FD0EE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4062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1723A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EE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F24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6E6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ED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5A7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E710E"/>
    <w:multiLevelType w:val="multilevel"/>
    <w:tmpl w:val="91CE2E98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5286118"/>
    <w:multiLevelType w:val="multilevel"/>
    <w:tmpl w:val="3D28A2A0"/>
    <w:lvl w:ilvl="0">
      <w:start w:val="1"/>
      <w:numFmt w:val="upperRoman"/>
      <w:pStyle w:val="SSlnek"/>
      <w:suff w:val="nothing"/>
      <w:lvlText w:val="Článek %1."/>
      <w:lvlJc w:val="left"/>
      <w:pPr>
        <w:ind w:left="6881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SOdstavec"/>
      <w:lvlText w:val="%2."/>
      <w:lvlJc w:val="left"/>
      <w:pPr>
        <w:ind w:left="360" w:hanging="36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SSBod"/>
      <w:lvlText w:val="%2.%3."/>
      <w:lvlJc w:val="left"/>
      <w:pPr>
        <w:ind w:left="1353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SSPsmeno"/>
      <w:lvlText w:val="%4)"/>
      <w:lvlJc w:val="left"/>
      <w:pPr>
        <w:ind w:left="1440" w:hanging="360"/>
      </w:pPr>
      <w:rPr>
        <w:rFonts w:cs="Times New Roman" w:hint="default"/>
        <w:b w:val="0"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B53675F"/>
    <w:multiLevelType w:val="hybridMultilevel"/>
    <w:tmpl w:val="50983A1E"/>
    <w:lvl w:ilvl="0" w:tplc="9C701F64">
      <w:start w:val="1"/>
      <w:numFmt w:val="lowerLetter"/>
      <w:pStyle w:val="Nadpis4"/>
      <w:lvlText w:val="%1)"/>
      <w:lvlJc w:val="left"/>
      <w:pPr>
        <w:ind w:left="1154" w:hanging="360"/>
      </w:pPr>
    </w:lvl>
    <w:lvl w:ilvl="1" w:tplc="04050019" w:tentative="1">
      <w:start w:val="1"/>
      <w:numFmt w:val="lowerLetter"/>
      <w:lvlText w:val="%2."/>
      <w:lvlJc w:val="left"/>
      <w:pPr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8" w15:restartNumberingAfterBreak="0">
    <w:nsid w:val="6A161CA4"/>
    <w:multiLevelType w:val="multilevel"/>
    <w:tmpl w:val="9BD26424"/>
    <w:lvl w:ilvl="0">
      <w:start w:val="1"/>
      <w:numFmt w:val="upperRoman"/>
      <w:pStyle w:val="Slnek"/>
      <w:suff w:val="nothing"/>
      <w:lvlText w:val="Článek 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Odstavec"/>
      <w:lvlText w:val="%2."/>
      <w:lvlJc w:val="left"/>
      <w:pPr>
        <w:ind w:left="50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Bod"/>
      <w:lvlText w:val="%2.%3."/>
      <w:lvlJc w:val="left"/>
      <w:pPr>
        <w:ind w:left="121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SPsmeno"/>
      <w:lvlText w:val="%4)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81F0B32"/>
    <w:multiLevelType w:val="multilevel"/>
    <w:tmpl w:val="D1BA7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Nadpis30"/>
      <w:lvlText w:val="2.2."/>
      <w:lvlJc w:val="left"/>
      <w:pPr>
        <w:ind w:left="792" w:hanging="432"/>
      </w:pPr>
      <w:rPr>
        <w:rFonts w:ascii="Arial" w:hAnsi="Arial" w:hint="default"/>
        <w:b/>
        <w:color w:val="000000"/>
        <w:sz w:val="20"/>
        <w:szCs w:val="20"/>
      </w:rPr>
    </w:lvl>
    <w:lvl w:ilvl="2">
      <w:start w:val="1"/>
      <w:numFmt w:val="decimal"/>
      <w:pStyle w:val="Nadpis40"/>
      <w:lvlText w:val="%1.%2.%3."/>
      <w:lvlJc w:val="left"/>
      <w:pPr>
        <w:ind w:left="1224" w:hanging="504"/>
      </w:pPr>
      <w:rPr>
        <w:rFonts w:hint="default"/>
        <w:b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color w:val="4F81BD"/>
        <w:sz w:val="2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color w:val="4F81BD"/>
        <w:sz w:val="26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color w:val="4F81BD"/>
        <w:sz w:val="2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color w:val="4F81BD"/>
        <w:sz w:val="26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color w:val="4F81BD"/>
        <w:sz w:val="26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color w:val="4F81BD"/>
        <w:sz w:val="26"/>
      </w:rPr>
    </w:lvl>
  </w:abstractNum>
  <w:abstractNum w:abstractNumId="20" w15:restartNumberingAfterBreak="0">
    <w:nsid w:val="7D690695"/>
    <w:multiLevelType w:val="hybridMultilevel"/>
    <w:tmpl w:val="F82C5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12"/>
  </w:num>
  <w:num w:numId="6">
    <w:abstractNumId w:val="20"/>
  </w:num>
  <w:num w:numId="7">
    <w:abstractNumId w:val="14"/>
  </w:num>
  <w:num w:numId="8">
    <w:abstractNumId w:val="9"/>
  </w:num>
  <w:num w:numId="9">
    <w:abstractNumId w:val="0"/>
  </w:num>
  <w:num w:numId="10">
    <w:abstractNumId w:val="3"/>
  </w:num>
  <w:num w:numId="11">
    <w:abstractNumId w:val="1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6"/>
  </w:num>
  <w:num w:numId="16">
    <w:abstractNumId w:val="13"/>
  </w:num>
  <w:num w:numId="17">
    <w:abstractNumId w:val="19"/>
  </w:num>
  <w:num w:numId="18">
    <w:abstractNumId w:val="8"/>
  </w:num>
  <w:num w:numId="19">
    <w:abstractNumId w:val="6"/>
  </w:num>
  <w:num w:numId="20">
    <w:abstractNumId w:val="17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5"/>
  </w:num>
  <w:num w:numId="24">
    <w:abstractNumId w:val="15"/>
  </w:num>
  <w:num w:numId="25">
    <w:abstractNumId w:val="15"/>
  </w:num>
  <w:num w:numId="26">
    <w:abstractNumId w:val="17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4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D0"/>
    <w:rsid w:val="002E1E31"/>
    <w:rsid w:val="0081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0317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A Normální text"/>
    <w:qFormat/>
    <w:pPr>
      <w:spacing w:line="240" w:lineRule="auto"/>
      <w:jc w:val="both"/>
    </w:pPr>
    <w:rPr>
      <w:rFonts w:ascii="Arial" w:eastAsia="Calibri" w:hAnsi="Arial"/>
      <w:sz w:val="20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autoRedefine/>
    <w:uiPriority w:val="9"/>
    <w:qFormat/>
    <w:pPr>
      <w:keepNext/>
      <w:keepLines/>
      <w:numPr>
        <w:numId w:val="31"/>
      </w:numPr>
      <w:spacing w:after="120" w:line="276" w:lineRule="auto"/>
      <w:jc w:val="center"/>
      <w:outlineLvl w:val="0"/>
    </w:pPr>
    <w:rPr>
      <w:rFonts w:eastAsiaTheme="majorEastAsia" w:cs="Arial"/>
      <w:b/>
      <w:bCs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pPr>
      <w:numPr>
        <w:ilvl w:val="1"/>
        <w:numId w:val="31"/>
      </w:numPr>
      <w:spacing w:after="120" w:line="276" w:lineRule="auto"/>
      <w:ind w:left="578" w:hanging="578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pPr>
      <w:keepNext/>
      <w:keepLines/>
      <w:numPr>
        <w:ilvl w:val="2"/>
        <w:numId w:val="31"/>
      </w:numPr>
      <w:spacing w:after="120" w:line="276" w:lineRule="auto"/>
      <w:ind w:left="1287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"/>
    <w:unhideWhenUsed/>
    <w:qFormat/>
    <w:pPr>
      <w:keepNext/>
      <w:keepLines/>
      <w:numPr>
        <w:numId w:val="26"/>
      </w:numPr>
      <w:spacing w:after="120" w:line="276" w:lineRule="auto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uiPriority w:val="9"/>
    <w:rPr>
      <w:rFonts w:ascii="Arial" w:eastAsiaTheme="majorEastAsia" w:hAnsi="Arial" w:cs="Arial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Theme="majorEastAsia" w:hAnsi="Arial" w:cstheme="majorBidi"/>
      <w:bCs/>
      <w:sz w:val="20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Theme="majorEastAsia" w:hAnsi="Arial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Theme="majorEastAsia" w:hAnsi="Arial" w:cstheme="majorBidi"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xtkomenteChar1">
    <w:name w:val="Text komentáře Char1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1a">
    <w:name w:val="odstavec1a"/>
    <w:basedOn w:val="Normln"/>
    <w:qFormat/>
    <w:pPr>
      <w:numPr>
        <w:numId w:val="32"/>
      </w:numPr>
      <w:spacing w:after="0" w:line="276" w:lineRule="auto"/>
      <w:contextualSpacing/>
    </w:pPr>
    <w:rPr>
      <w:rFonts w:ascii="Tahoma" w:eastAsia="Times New Roman" w:hAnsi="Tahoma" w:cs="Tahoma"/>
      <w:szCs w:val="20"/>
      <w:lang w:eastAsia="cs-CZ"/>
    </w:rPr>
  </w:style>
  <w:style w:type="numbering" w:customStyle="1" w:styleId="List11">
    <w:name w:val="List 11"/>
    <w:basedOn w:val="Bezseznamu"/>
    <w:pPr>
      <w:numPr>
        <w:numId w:val="1"/>
      </w:numPr>
    </w:pPr>
  </w:style>
  <w:style w:type="paragraph" w:customStyle="1" w:styleId="Slnek">
    <w:name w:val="S_Článek"/>
    <w:basedOn w:val="Normln"/>
    <w:next w:val="Normln"/>
    <w:qFormat/>
    <w:pPr>
      <w:numPr>
        <w:numId w:val="36"/>
      </w:numPr>
      <w:spacing w:before="360" w:after="0"/>
      <w:jc w:val="center"/>
    </w:pPr>
    <w:rPr>
      <w:rFonts w:ascii="Calibri" w:hAnsi="Calibri"/>
      <w:b/>
      <w:sz w:val="28"/>
      <w:szCs w:val="28"/>
    </w:rPr>
  </w:style>
  <w:style w:type="paragraph" w:customStyle="1" w:styleId="SOdstavec">
    <w:name w:val="S_Odstavec"/>
    <w:basedOn w:val="Normln"/>
    <w:qFormat/>
    <w:pPr>
      <w:numPr>
        <w:ilvl w:val="1"/>
        <w:numId w:val="36"/>
      </w:numPr>
      <w:tabs>
        <w:tab w:val="left" w:pos="426"/>
      </w:tabs>
      <w:spacing w:before="120" w:after="0"/>
    </w:pPr>
    <w:rPr>
      <w:rFonts w:ascii="Calibri" w:hAnsi="Calibri"/>
      <w:sz w:val="22"/>
    </w:rPr>
  </w:style>
  <w:style w:type="paragraph" w:customStyle="1" w:styleId="SBod">
    <w:name w:val="S_Bod"/>
    <w:basedOn w:val="Normln"/>
    <w:qFormat/>
    <w:pPr>
      <w:numPr>
        <w:ilvl w:val="2"/>
        <w:numId w:val="36"/>
      </w:numPr>
      <w:tabs>
        <w:tab w:val="left" w:pos="993"/>
      </w:tabs>
      <w:spacing w:before="120" w:after="0"/>
    </w:pPr>
    <w:rPr>
      <w:rFonts w:ascii="Calibri" w:hAnsi="Calibri"/>
      <w:sz w:val="22"/>
    </w:rPr>
  </w:style>
  <w:style w:type="paragraph" w:customStyle="1" w:styleId="SPsmeno">
    <w:name w:val="S_Písmeno"/>
    <w:basedOn w:val="Normln"/>
    <w:qFormat/>
    <w:pPr>
      <w:numPr>
        <w:ilvl w:val="3"/>
        <w:numId w:val="36"/>
      </w:numPr>
      <w:tabs>
        <w:tab w:val="left" w:pos="1276"/>
      </w:tabs>
      <w:spacing w:before="60" w:after="0"/>
    </w:pPr>
    <w:rPr>
      <w:rFonts w:ascii="Calibri" w:hAnsi="Calibri"/>
      <w:sz w:val="22"/>
    </w:rPr>
  </w:style>
  <w:style w:type="paragraph" w:customStyle="1" w:styleId="TableBody">
    <w:name w:val="Table Body"/>
    <w:basedOn w:val="Normln"/>
    <w:link w:val="TableBodyChar"/>
    <w:pPr>
      <w:spacing w:after="0"/>
    </w:pPr>
    <w:rPr>
      <w:rFonts w:cs="Arial"/>
    </w:rPr>
  </w:style>
  <w:style w:type="character" w:customStyle="1" w:styleId="TableBodyChar">
    <w:name w:val="Table Body Char"/>
    <w:basedOn w:val="Standardnpsmoodstavce"/>
    <w:link w:val="TableBody"/>
    <w:locked/>
    <w:rPr>
      <w:rFonts w:ascii="Arial" w:eastAsia="Calibri" w:hAnsi="Arial" w:cs="Arial"/>
      <w:sz w:val="20"/>
    </w:rPr>
  </w:style>
  <w:style w:type="paragraph" w:customStyle="1" w:styleId="TableHeading">
    <w:name w:val="Table Heading"/>
    <w:basedOn w:val="TableBody"/>
    <w:rPr>
      <w:b/>
      <w:bCs/>
    </w:rPr>
  </w:style>
  <w:style w:type="paragraph" w:customStyle="1" w:styleId="Tabulkatext">
    <w:name w:val="Tabulka_text"/>
    <w:basedOn w:val="Zkladntext"/>
    <w:pPr>
      <w:ind w:left="57"/>
    </w:pPr>
    <w:rPr>
      <w:rFonts w:ascii="Arial" w:eastAsia="Times New Roman" w:hAnsi="Arial"/>
      <w:sz w:val="18"/>
      <w:szCs w:val="20"/>
    </w:rPr>
  </w:style>
  <w:style w:type="paragraph" w:styleId="Zkladntext">
    <w:name w:val="Body Text"/>
    <w:basedOn w:val="Normln"/>
    <w:link w:val="ZkladntextChar"/>
    <w:uiPriority w:val="99"/>
    <w:pPr>
      <w:spacing w:after="0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Times New Roman" w:eastAsia="Calibri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Arial" w:eastAsia="Calibri" w:hAnsi="Arial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eastAsia="Calibri" w:hAnsi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Arial" w:eastAsia="Calibri" w:hAnsi="Arial"/>
      <w:sz w:val="2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Pr>
      <w:rFonts w:ascii="Arial" w:eastAsia="Calibri" w:hAnsi="Arial"/>
      <w:sz w:val="20"/>
    </w:rPr>
  </w:style>
  <w:style w:type="paragraph" w:styleId="Titulek">
    <w:name w:val="caption"/>
    <w:aliases w:val="(MYCOM Legend)"/>
    <w:basedOn w:val="Normln"/>
    <w:next w:val="Normln"/>
    <w:link w:val="TitulekChar"/>
    <w:qFormat/>
    <w:pPr>
      <w:keepNext/>
      <w:spacing w:before="240" w:after="120"/>
      <w:jc w:val="left"/>
    </w:pPr>
    <w:rPr>
      <w:i/>
      <w:sz w:val="16"/>
      <w:szCs w:val="20"/>
    </w:rPr>
  </w:style>
  <w:style w:type="character" w:customStyle="1" w:styleId="TitulekChar">
    <w:name w:val="Titulek Char"/>
    <w:aliases w:val="(MYCOM Legend) Char"/>
    <w:link w:val="Titulek"/>
    <w:rPr>
      <w:rFonts w:ascii="Arial" w:eastAsia="Calibri" w:hAnsi="Arial"/>
      <w:i/>
      <w:sz w:val="16"/>
      <w:szCs w:val="20"/>
    </w:rPr>
  </w:style>
  <w:style w:type="character" w:styleId="Znakapoznpodarou">
    <w:name w:val="footnote reference"/>
    <w:uiPriority w:val="99"/>
    <w:semiHidden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character" w:styleId="slodku">
    <w:name w:val="line number"/>
    <w:basedOn w:val="Standardnpsmoodstavce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unhideWhenUsed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Pr>
      <w:rFonts w:ascii="Arial" w:eastAsia="Calibri" w:hAnsi="Arial"/>
      <w:sz w:val="20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Calibri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Calibri" w:hAnsi="Tahoma" w:cs="Tahoma"/>
      <w:sz w:val="16"/>
      <w:szCs w:val="16"/>
    </w:rPr>
  </w:style>
  <w:style w:type="paragraph" w:styleId="Bezmezer">
    <w:name w:val="No Spacing"/>
    <w:aliases w:val="Text"/>
    <w:autoRedefine/>
    <w:uiPriority w:val="1"/>
    <w:qFormat/>
    <w:pPr>
      <w:spacing w:after="0" w:line="240" w:lineRule="auto"/>
      <w:ind w:left="360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qFormat/>
    <w:locked/>
    <w:rPr>
      <w:rFonts w:ascii="Arial" w:eastAsia="Calibri" w:hAnsi="Arial"/>
      <w:sz w:val="20"/>
    </w:rPr>
  </w:style>
  <w:style w:type="table" w:styleId="Tabulkasmkou4zvraznn1">
    <w:name w:val="Grid Table 4 Accent 1"/>
    <w:basedOn w:val="Normlntabulka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TSdajeosmluvnstran">
    <w:name w:val="TS Údaje o smluvní straně"/>
    <w:basedOn w:val="Normln"/>
    <w:pPr>
      <w:spacing w:after="60" w:line="280" w:lineRule="exact"/>
      <w:jc w:val="left"/>
    </w:pPr>
    <w:rPr>
      <w:rFonts w:eastAsia="Times New Roman" w:cs="Times New Roman"/>
      <w:sz w:val="22"/>
      <w:szCs w:val="24"/>
    </w:rPr>
  </w:style>
  <w:style w:type="paragraph" w:customStyle="1" w:styleId="TSTextlnkuslovan">
    <w:name w:val="TS Text článku číslovaný"/>
    <w:basedOn w:val="Normln"/>
    <w:link w:val="TSTextlnkuslovanChar"/>
    <w:pPr>
      <w:numPr>
        <w:ilvl w:val="1"/>
        <w:numId w:val="22"/>
      </w:numPr>
      <w:spacing w:after="120" w:line="280" w:lineRule="exact"/>
    </w:pPr>
    <w:rPr>
      <w:rFonts w:eastAsia="Times New Roman" w:cs="Times New Roman"/>
      <w:sz w:val="22"/>
      <w:szCs w:val="24"/>
      <w:lang w:eastAsia="cs-CZ"/>
    </w:rPr>
  </w:style>
  <w:style w:type="paragraph" w:customStyle="1" w:styleId="TSlneksmlouvy">
    <w:name w:val="TS Článek smlouvy"/>
    <w:basedOn w:val="Normln"/>
    <w:next w:val="TSTextlnkuslovan"/>
    <w:pPr>
      <w:keepNext/>
      <w:numPr>
        <w:numId w:val="22"/>
      </w:numPr>
      <w:suppressAutoHyphens/>
      <w:spacing w:before="480" w:after="240" w:line="280" w:lineRule="exact"/>
      <w:jc w:val="center"/>
      <w:outlineLvl w:val="0"/>
    </w:pPr>
    <w:rPr>
      <w:rFonts w:eastAsia="Times New Roman" w:cs="Times New Roman"/>
      <w:b/>
      <w:sz w:val="22"/>
      <w:szCs w:val="24"/>
      <w:u w:val="single"/>
    </w:rPr>
  </w:style>
  <w:style w:type="character" w:customStyle="1" w:styleId="TSTextlnkuslovanChar">
    <w:name w:val="TS Text článku číslovaný Char"/>
    <w:basedOn w:val="Standardnpsmoodstavce"/>
    <w:link w:val="TSTextlnkuslovan"/>
    <w:rPr>
      <w:rFonts w:ascii="Arial" w:eastAsia="Times New Roman" w:hAnsi="Arial" w:cs="Times New Roman"/>
      <w:szCs w:val="24"/>
      <w:lang w:eastAsia="cs-CZ"/>
    </w:rPr>
  </w:style>
  <w:style w:type="numbering" w:customStyle="1" w:styleId="Seznam31">
    <w:name w:val="Seznam 31"/>
    <w:basedOn w:val="Bezseznamu"/>
    <w:pPr>
      <w:numPr>
        <w:numId w:val="2"/>
      </w:numPr>
    </w:pPr>
  </w:style>
  <w:style w:type="paragraph" w:customStyle="1" w:styleId="Nadpis">
    <w:name w:val="Nadpis"/>
    <w:basedOn w:val="Normln"/>
    <w:pPr>
      <w:keepNext/>
      <w:keepLines/>
      <w:numPr>
        <w:numId w:val="3"/>
      </w:numPr>
      <w:spacing w:before="240" w:after="0"/>
      <w:ind w:left="284" w:firstLine="0"/>
      <w:jc w:val="center"/>
    </w:pPr>
    <w:rPr>
      <w:rFonts w:ascii="Verdana" w:eastAsia="Times New Roman" w:hAnsi="Verdana" w:cs="Arial"/>
      <w:b/>
      <w:szCs w:val="20"/>
      <w:lang w:eastAsia="cs-CZ"/>
    </w:rPr>
  </w:style>
  <w:style w:type="paragraph" w:customStyle="1" w:styleId="BBezmezertext">
    <w:name w:val="B Bez mezer text"/>
    <w:basedOn w:val="Normln"/>
    <w:link w:val="BBezmezertextChar"/>
    <w:autoRedefine/>
    <w:pPr>
      <w:spacing w:after="0" w:line="276" w:lineRule="auto"/>
    </w:pPr>
    <w:rPr>
      <w:rFonts w:eastAsiaTheme="minorHAnsi" w:cs="Arial"/>
      <w:szCs w:val="20"/>
    </w:rPr>
  </w:style>
  <w:style w:type="character" w:customStyle="1" w:styleId="BBezmezertextChar">
    <w:name w:val="B Bez mezer text Char"/>
    <w:basedOn w:val="Standardnpsmoodstavce"/>
    <w:link w:val="BBezmezertext"/>
    <w:rPr>
      <w:rFonts w:ascii="Arial" w:hAnsi="Arial" w:cs="Arial"/>
      <w:sz w:val="20"/>
      <w:szCs w:val="20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Arial" w:eastAsia="Calibri" w:hAnsi="Arial"/>
      <w:sz w:val="20"/>
    </w:rPr>
  </w:style>
  <w:style w:type="paragraph" w:customStyle="1" w:styleId="SSlnek">
    <w:name w:val="SS_Článek"/>
    <w:basedOn w:val="Normln"/>
    <w:next w:val="Normln"/>
    <w:pPr>
      <w:keepNext/>
      <w:numPr>
        <w:numId w:val="15"/>
      </w:numPr>
      <w:spacing w:before="360" w:after="0"/>
      <w:jc w:val="center"/>
    </w:pPr>
    <w:rPr>
      <w:rFonts w:ascii="Verdana" w:hAnsi="Verdana"/>
      <w:b/>
      <w:sz w:val="28"/>
      <w:szCs w:val="28"/>
    </w:rPr>
  </w:style>
  <w:style w:type="paragraph" w:customStyle="1" w:styleId="SSOdstavec">
    <w:name w:val="SS_Odstavec"/>
    <w:basedOn w:val="Normln"/>
    <w:pPr>
      <w:numPr>
        <w:ilvl w:val="1"/>
        <w:numId w:val="15"/>
      </w:numPr>
      <w:tabs>
        <w:tab w:val="left" w:pos="426"/>
      </w:tabs>
      <w:spacing w:after="0"/>
    </w:pPr>
    <w:rPr>
      <w:rFonts w:ascii="Verdana" w:hAnsi="Verdana"/>
    </w:rPr>
  </w:style>
  <w:style w:type="paragraph" w:customStyle="1" w:styleId="SSBod">
    <w:name w:val="SS_Bod"/>
    <w:basedOn w:val="Normln"/>
    <w:pPr>
      <w:keepLines/>
      <w:numPr>
        <w:ilvl w:val="2"/>
        <w:numId w:val="15"/>
      </w:numPr>
      <w:tabs>
        <w:tab w:val="left" w:pos="851"/>
      </w:tabs>
      <w:spacing w:after="0"/>
    </w:pPr>
    <w:rPr>
      <w:rFonts w:ascii="Verdana" w:hAnsi="Verdana"/>
    </w:rPr>
  </w:style>
  <w:style w:type="paragraph" w:customStyle="1" w:styleId="SSPsmeno">
    <w:name w:val="SS_Písmeno"/>
    <w:basedOn w:val="Normln"/>
    <w:pPr>
      <w:numPr>
        <w:ilvl w:val="3"/>
        <w:numId w:val="15"/>
      </w:numPr>
      <w:tabs>
        <w:tab w:val="left" w:pos="1134"/>
      </w:tabs>
      <w:spacing w:before="60" w:after="0"/>
    </w:pPr>
    <w:rPr>
      <w:rFonts w:ascii="Verdana" w:hAnsi="Verdana"/>
    </w:rPr>
  </w:style>
  <w:style w:type="paragraph" w:styleId="Nzev">
    <w:name w:val="Title"/>
    <w:basedOn w:val="Normln"/>
    <w:link w:val="NzevChar"/>
    <w:uiPriority w:val="10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xt1">
    <w:name w:val="Txt1"/>
    <w:basedOn w:val="Normln"/>
    <w:autoRedefine/>
    <w:pPr>
      <w:numPr>
        <w:ilvl w:val="1"/>
        <w:numId w:val="10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D9D9D9" w:themeFill="background1" w:themeFillShade="D9"/>
      <w:spacing w:before="60" w:after="60"/>
    </w:pPr>
    <w:rPr>
      <w:rFonts w:eastAsia="Courier New" w:cs="Tahoma"/>
      <w:caps/>
    </w:rPr>
  </w:style>
  <w:style w:type="paragraph" w:customStyle="1" w:styleId="Txt11">
    <w:name w:val="Txt11"/>
    <w:basedOn w:val="Normln"/>
    <w:autoRedefine/>
    <w:pPr>
      <w:tabs>
        <w:tab w:val="left" w:pos="709"/>
      </w:tabs>
      <w:spacing w:before="60" w:after="60"/>
    </w:pPr>
    <w:rPr>
      <w:rFonts w:eastAsia="Courier New" w:cs="Tahoma"/>
      <w:b/>
    </w:rPr>
  </w:style>
  <w:style w:type="paragraph" w:customStyle="1" w:styleId="Txt111">
    <w:name w:val="Txt111"/>
    <w:basedOn w:val="Normln"/>
    <w:autoRedefine/>
    <w:pPr>
      <w:numPr>
        <w:ilvl w:val="3"/>
        <w:numId w:val="10"/>
      </w:numPr>
      <w:spacing w:before="60" w:after="60"/>
    </w:pPr>
    <w:rPr>
      <w:rFonts w:eastAsia="Courier New" w:cs="Tahoma"/>
    </w:rPr>
  </w:style>
  <w:style w:type="paragraph" w:customStyle="1" w:styleId="Odstavec">
    <w:name w:val="Odstavec"/>
    <w:basedOn w:val="Normln"/>
    <w:link w:val="OdstavecChar"/>
    <w:pPr>
      <w:numPr>
        <w:numId w:val="11"/>
      </w:numPr>
    </w:pPr>
  </w:style>
  <w:style w:type="character" w:customStyle="1" w:styleId="OdstavecChar">
    <w:name w:val="Odstavec Char"/>
    <w:basedOn w:val="Standardnpsmoodstavce"/>
    <w:link w:val="Odstavec"/>
    <w:rPr>
      <w:rFonts w:ascii="Arial" w:eastAsia="Calibri" w:hAnsi="Arial"/>
      <w:sz w:val="20"/>
    </w:rPr>
  </w:style>
  <w:style w:type="paragraph" w:customStyle="1" w:styleId="Barevnseznamzvraznn11">
    <w:name w:val="Barevný seznam – zvýraznění 11"/>
    <w:basedOn w:val="Normln"/>
    <w:uiPriority w:val="34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u w:color="000000"/>
      <w:lang w:eastAsia="cs-CZ"/>
    </w:rPr>
  </w:style>
  <w:style w:type="paragraph" w:customStyle="1" w:styleId="RLTextlnkuslovan">
    <w:name w:val="RL Text článku číslovaný"/>
    <w:basedOn w:val="Normln"/>
    <w:link w:val="RLTextlnkuslovanChar"/>
    <w:pPr>
      <w:tabs>
        <w:tab w:val="num" w:pos="1162"/>
      </w:tabs>
      <w:spacing w:line="280" w:lineRule="exact"/>
      <w:ind w:left="1162" w:hanging="737"/>
    </w:pPr>
    <w:rPr>
      <w:rFonts w:eastAsia="Times New Roman"/>
    </w:rPr>
  </w:style>
  <w:style w:type="character" w:customStyle="1" w:styleId="RLTextlnkuslovanChar">
    <w:name w:val="RL Text článku číslovaný Char"/>
    <w:link w:val="RLTextlnkuslovan"/>
    <w:locked/>
    <w:rPr>
      <w:rFonts w:ascii="Arial" w:eastAsia="Times New Roman" w:hAnsi="Arial"/>
      <w:sz w:val="20"/>
    </w:rPr>
  </w:style>
  <w:style w:type="paragraph" w:customStyle="1" w:styleId="RLlneksmlouvy">
    <w:name w:val="RL Článek smlouvy"/>
    <w:basedOn w:val="Normln"/>
    <w:next w:val="RLTextlnkuslovan"/>
    <w:pPr>
      <w:keepNext/>
      <w:suppressAutoHyphens/>
      <w:spacing w:before="360" w:line="280" w:lineRule="exact"/>
      <w:ind w:left="4537"/>
      <w:outlineLvl w:val="0"/>
    </w:pPr>
    <w:rPr>
      <w:rFonts w:eastAsia="Times New Roman" w:cs="Times New Roman"/>
      <w:b/>
      <w:szCs w:val="24"/>
    </w:rPr>
  </w:style>
  <w:style w:type="paragraph" w:customStyle="1" w:styleId="Odstavec1">
    <w:name w:val="Odstavec 1."/>
    <w:basedOn w:val="Zkladntext"/>
    <w:link w:val="Odstavec1Char"/>
    <w:pPr>
      <w:numPr>
        <w:numId w:val="14"/>
      </w:numPr>
      <w:spacing w:after="120"/>
    </w:pPr>
    <w:rPr>
      <w:rFonts w:eastAsia="Times New Roman" w:cs="Times New Roman"/>
      <w:lang w:val="x-none" w:eastAsia="x-none"/>
    </w:rPr>
  </w:style>
  <w:style w:type="character" w:customStyle="1" w:styleId="Odstavec1Char">
    <w:name w:val="Odstavec 1. Char"/>
    <w:link w:val="Odstave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Odstavecseseznamem"/>
    <w:link w:val="Styl2Char"/>
    <w:pPr>
      <w:numPr>
        <w:ilvl w:val="1"/>
        <w:numId w:val="16"/>
      </w:numPr>
      <w:autoSpaceDN w:val="0"/>
      <w:spacing w:after="0"/>
      <w:contextualSpacing w:val="0"/>
      <w:textAlignment w:val="baseline"/>
    </w:pPr>
    <w:rPr>
      <w:rFonts w:eastAsia="Times New Roman"/>
      <w:b/>
      <w:lang w:eastAsia="cs-CZ"/>
    </w:rPr>
  </w:style>
  <w:style w:type="character" w:customStyle="1" w:styleId="Styl2Char">
    <w:name w:val="Styl2 Char"/>
    <w:link w:val="Styl2"/>
    <w:rPr>
      <w:rFonts w:ascii="Arial" w:eastAsia="Times New Roman" w:hAnsi="Arial"/>
      <w:b/>
      <w:sz w:val="20"/>
      <w:lang w:eastAsia="cs-CZ"/>
    </w:rPr>
  </w:style>
  <w:style w:type="paragraph" w:customStyle="1" w:styleId="Nadpis20">
    <w:name w:val="Nadpis2"/>
    <w:basedOn w:val="Nadpis2"/>
    <w:link w:val="Nadpis2Char0"/>
    <w:pPr>
      <w:keepNext/>
      <w:keepLines/>
      <w:numPr>
        <w:ilvl w:val="0"/>
        <w:numId w:val="0"/>
      </w:numPr>
      <w:spacing w:before="480"/>
      <w:ind w:left="792" w:hanging="432"/>
      <w:jc w:val="left"/>
    </w:pPr>
    <w:rPr>
      <w:rFonts w:eastAsia="Times New Roman"/>
      <w:b/>
      <w:bCs w:val="0"/>
      <w:i/>
      <w:iCs/>
      <w:sz w:val="24"/>
    </w:rPr>
  </w:style>
  <w:style w:type="character" w:customStyle="1" w:styleId="Nadpis2Char0">
    <w:name w:val="Nadpis2 Char"/>
    <w:link w:val="Nadpis20"/>
    <w:rPr>
      <w:rFonts w:ascii="Arial" w:eastAsia="Times New Roman" w:hAnsi="Arial" w:cstheme="majorBidi"/>
      <w:b/>
      <w:i/>
      <w:iCs/>
      <w:sz w:val="24"/>
      <w:szCs w:val="26"/>
      <w:lang w:eastAsia="cs-CZ"/>
    </w:rPr>
  </w:style>
  <w:style w:type="paragraph" w:customStyle="1" w:styleId="Nadpis30">
    <w:name w:val="Nadpis3"/>
    <w:basedOn w:val="Titulek"/>
    <w:pPr>
      <w:numPr>
        <w:ilvl w:val="1"/>
        <w:numId w:val="17"/>
      </w:numPr>
    </w:pPr>
    <w:rPr>
      <w:rFonts w:eastAsia="Times New Roman" w:cs="Times New Roman"/>
      <w:b/>
      <w:i w:val="0"/>
      <w:iCs/>
      <w:sz w:val="22"/>
    </w:rPr>
  </w:style>
  <w:style w:type="paragraph" w:customStyle="1" w:styleId="Nadpis40">
    <w:name w:val="Nadpis4"/>
    <w:basedOn w:val="Titulek"/>
    <w:pPr>
      <w:numPr>
        <w:ilvl w:val="2"/>
        <w:numId w:val="17"/>
      </w:numPr>
    </w:pPr>
    <w:rPr>
      <w:rFonts w:eastAsia="Times New Roman" w:cs="Times New Roman"/>
      <w:b/>
      <w:i w:val="0"/>
      <w:iCs/>
      <w:sz w:val="20"/>
    </w:rPr>
  </w:style>
  <w:style w:type="paragraph" w:customStyle="1" w:styleId="COdrkysamotn">
    <w:name w:val="C Odrážky samotné"/>
    <w:basedOn w:val="BBezmezertext"/>
    <w:link w:val="COdrkysamotnChar"/>
    <w:pPr>
      <w:numPr>
        <w:numId w:val="18"/>
      </w:numPr>
    </w:pPr>
  </w:style>
  <w:style w:type="character" w:customStyle="1" w:styleId="COdrkysamotnChar">
    <w:name w:val="C Odrážky samotné Char"/>
    <w:basedOn w:val="BBezmezertextChar"/>
    <w:link w:val="COdrkysamotn"/>
    <w:rPr>
      <w:rFonts w:ascii="Arial" w:hAnsi="Arial" w:cs="Arial"/>
      <w:sz w:val="20"/>
      <w:szCs w:val="20"/>
    </w:rPr>
  </w:style>
  <w:style w:type="paragraph" w:customStyle="1" w:styleId="Txt11pod">
    <w:name w:val="Txt11_pod"/>
    <w:basedOn w:val="Normln"/>
    <w:pPr>
      <w:spacing w:before="60" w:after="60"/>
      <w:ind w:left="993"/>
    </w:pPr>
    <w:rPr>
      <w:rFonts w:ascii="Tahoma" w:eastAsia="Courier New" w:hAnsi="Tahoma" w:cs="Tahoma"/>
    </w:rPr>
  </w:style>
  <w:style w:type="paragraph" w:styleId="Obsah5">
    <w:name w:val="toc 5"/>
    <w:basedOn w:val="Normln"/>
    <w:next w:val="Normln"/>
    <w:autoRedefine/>
    <w:uiPriority w:val="39"/>
    <w:semiHidden/>
    <w:unhideWhenUsed/>
    <w:pPr>
      <w:numPr>
        <w:numId w:val="9"/>
      </w:numPr>
      <w:spacing w:after="100"/>
    </w:pPr>
  </w:style>
  <w:style w:type="paragraph" w:styleId="Obsah1">
    <w:name w:val="toc 1"/>
    <w:basedOn w:val="Normln"/>
    <w:next w:val="Normln"/>
    <w:autoRedefine/>
    <w:uiPriority w:val="39"/>
    <w:semiHidden/>
    <w:unhideWhenUsed/>
    <w:pPr>
      <w:autoSpaceDN w:val="0"/>
      <w:spacing w:after="100"/>
      <w:textAlignment w:val="baseline"/>
    </w:pPr>
    <w:rPr>
      <w:rFonts w:eastAsia="Times New Roman" w:cs="Times New Roman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pPr>
      <w:autoSpaceDN w:val="0"/>
      <w:spacing w:after="100"/>
      <w:ind w:left="200"/>
      <w:textAlignment w:val="baseline"/>
    </w:pPr>
    <w:rPr>
      <w:rFonts w:eastAsia="Times New Roman" w:cs="Times New Roman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pPr>
      <w:spacing w:after="100"/>
      <w:ind w:left="440"/>
      <w:jc w:val="left"/>
    </w:pPr>
    <w:rPr>
      <w:rFonts w:ascii="Calibri" w:eastAsia="Times New Roman" w:hAnsi="Calibri" w:cs="Times New Roman"/>
      <w:lang w:eastAsia="cs-CZ"/>
    </w:rPr>
  </w:style>
  <w:style w:type="character" w:styleId="Siln">
    <w:name w:val="Strong"/>
    <w:uiPriority w:val="22"/>
    <w:qFormat/>
    <w:rPr>
      <w:b/>
      <w:bCs/>
    </w:rPr>
  </w:style>
  <w:style w:type="character" w:styleId="Zdraznn">
    <w:name w:val="Emphasis"/>
    <w:uiPriority w:val="20"/>
    <w:qFormat/>
    <w:rPr>
      <w:i/>
      <w:i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numPr>
        <w:numId w:val="0"/>
      </w:numPr>
      <w:spacing w:before="240" w:after="0" w:line="240" w:lineRule="auto"/>
      <w:jc w:val="both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4472C4" w:themeColor="accent1"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datelna@vzp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sco.com/c/en/us/support/routers/catalyst-8000v-edge-software/serie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7" ma:contentTypeDescription="Vytvořit nový dokument" ma:contentTypeScope="" ma:versionID="056d6cd543c71964f837aae4853ea4e7">
  <xsd:schema xmlns:xsd="http://www.w3.org/2001/XMLSchema" xmlns:xs="http://www.w3.org/2001/XMLSchema" xmlns:p="http://schemas.microsoft.com/office/2006/metadata/properties" xmlns:ns3="5386a7db-36dc-47e8-aacb-0d5051febeea" xmlns:ns4="189c7478-f36e-4d06-b026-5479ab3e2b44" targetNamespace="http://schemas.microsoft.com/office/2006/metadata/properties" ma:root="true" ma:fieldsID="602e94e0be7be5c0c708fe5848e1e2ac" ns3:_="" ns4:_="">
    <xsd:import namespace="5386a7db-36dc-47e8-aacb-0d5051febeea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3:VZP_WorkflowHistoryBoolea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WorkflowHistoryBoolean" ma:index="14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9c7478-f36e-4d06-b026-5479ab3e2b44">
      <UserInfo>
        <DisplayName>Trojan Quido Ing. (VZP ČR Ústředí)</DisplayName>
        <AccountId>4623</AccountId>
        <AccountType/>
      </UserInfo>
      <UserInfo>
        <DisplayName>Chromčák Michael Ing. Bc. (VZP ČR Ústředí)</DisplayName>
        <AccountId>11916</AccountId>
        <AccountType/>
      </UserInfo>
      <UserInfo>
        <DisplayName>Dolejšová Veronika (VZP ČR Ústředí)</DisplayName>
        <AccountId>5213</AccountId>
        <AccountType/>
      </UserInfo>
      <UserInfo>
        <DisplayName>Legát Ctibor (VZP ČR Ústředí)</DisplayName>
        <AccountId>1220</AccountId>
        <AccountType/>
      </UserInfo>
      <UserInfo>
        <DisplayName>Bogač Jaroslav Mgr. MBA (VZP ČR Ústředí)</DisplayName>
        <AccountId>778</AccountId>
        <AccountType/>
      </UserInfo>
    </SharedWithUsers>
    <VZP_WorkflowHistoryBoolean xmlns="5386a7db-36dc-47e8-aacb-0d5051febeea">true</VZP_WorkflowHistoryBoolea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ABFFB8-C8C3-4D89-AC38-1AB4C1DF0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0980D-1413-4C64-88AC-BAD97ED1AD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467545-FD3D-4074-BDAF-A8B509C96458}">
  <ds:schemaRefs>
    <ds:schemaRef ds:uri="http://schemas.microsoft.com/office/2006/metadata/properties"/>
    <ds:schemaRef ds:uri="http://schemas.microsoft.com/office/infopath/2007/PartnerControls"/>
    <ds:schemaRef ds:uri="189c7478-f36e-4d06-b026-5479ab3e2b44"/>
    <ds:schemaRef ds:uri="5386a7db-36dc-47e8-aacb-0d5051febeea"/>
  </ds:schemaRefs>
</ds:datastoreItem>
</file>

<file path=customXml/itemProps4.xml><?xml version="1.0" encoding="utf-8"?>
<ds:datastoreItem xmlns:ds="http://schemas.openxmlformats.org/officeDocument/2006/customXml" ds:itemID="{258B33C7-BC04-42CF-B698-5903C6E82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4169</Words>
  <Characters>24603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2026-04-22T14:09:00Z</dcterms:created>
  <dcterms:modified xsi:type="dcterms:W3CDTF">2026-04-22T14:09:00Z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  <property fmtid="{D5CDD505-2E9C-101B-9397-08002B2CF9AE}" pid="3" name="MediaServiceImageTags">
    <vt:lpwstr/>
  </property>
</Properties>
</file>