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0487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048646/2026</w:t>
      </w:r>
    </w:p>
    <w:p w14:paraId="31808609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UID:spuess9df48cce</w:t>
      </w:r>
    </w:p>
    <w:p w14:paraId="2AA2DCB0" w14:textId="77777777"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4F92879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14:paraId="25929050" w14:textId="77777777"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02B70530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424EB7C9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14:paraId="60ED8072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 CZ01312774</w:t>
      </w:r>
    </w:p>
    <w:p w14:paraId="126591E0" w14:textId="77777777" w:rsidR="00D74F11" w:rsidRDefault="00D74F11" w:rsidP="00D74F11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D99E689" w14:textId="77777777"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42DFD64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5EED8D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0BCBF665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B82EB3" w14:textId="686F8EC4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Město Vyškov</w:t>
      </w:r>
      <w:r w:rsidRPr="005123A9">
        <w:rPr>
          <w:rFonts w:ascii="Arial" w:hAnsi="Arial" w:cs="Arial"/>
          <w:color w:val="000000"/>
          <w:sz w:val="22"/>
          <w:szCs w:val="22"/>
        </w:rPr>
        <w:t>, sídlo Masarykovo náměstí 108/1, Vyškov, PSČ 68201, IČO 00292427</w:t>
      </w:r>
      <w:r w:rsidR="00C419CC">
        <w:rPr>
          <w:rFonts w:ascii="Arial" w:hAnsi="Arial" w:cs="Arial"/>
          <w:color w:val="000000"/>
          <w:sz w:val="22"/>
          <w:szCs w:val="22"/>
        </w:rPr>
        <w:t xml:space="preserve">, zastoupené starostou </w:t>
      </w:r>
      <w:r w:rsidR="00364C11" w:rsidRPr="00364C11">
        <w:rPr>
          <w:rFonts w:ascii="Arial" w:hAnsi="Arial" w:cs="Arial"/>
          <w:color w:val="000000"/>
          <w:sz w:val="22"/>
          <w:szCs w:val="22"/>
        </w:rPr>
        <w:t>p. Karlem Jurkou</w:t>
      </w:r>
    </w:p>
    <w:p w14:paraId="76E450BB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2FFA0F9E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35F9A4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5CB6C8DD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B44C0A4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9F452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42D6A8C" w14:textId="77777777"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5D543A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1001992658</w:t>
      </w:r>
    </w:p>
    <w:p w14:paraId="207506F8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44992006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14:paraId="416E6E68" w14:textId="77777777"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Jihomoravský kraj, Katastrální pracoviště Vyškov  na LV 10 002:</w:t>
      </w:r>
    </w:p>
    <w:p w14:paraId="448E58A8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EC0CCF" w14:textId="77777777"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14:paraId="31B42AA1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D43CA0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Katastr nemovitostí - pozemkové</w:t>
      </w:r>
    </w:p>
    <w:p w14:paraId="5426B3AB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Vyškov</w:t>
      </w:r>
      <w:r w:rsidRPr="005123A9">
        <w:rPr>
          <w:rFonts w:ascii="Arial" w:hAnsi="Arial" w:cs="Arial"/>
          <w:sz w:val="18"/>
          <w:szCs w:val="18"/>
        </w:rPr>
        <w:tab/>
        <w:t>Dědice u Vyškova</w:t>
      </w:r>
      <w:r w:rsidRPr="005123A9">
        <w:rPr>
          <w:rFonts w:ascii="Arial" w:hAnsi="Arial" w:cs="Arial"/>
          <w:sz w:val="18"/>
          <w:szCs w:val="18"/>
        </w:rPr>
        <w:tab/>
        <w:t>4012/256</w:t>
      </w:r>
      <w:r w:rsidRPr="005123A9">
        <w:rPr>
          <w:rFonts w:ascii="Arial" w:hAnsi="Arial" w:cs="Arial"/>
          <w:sz w:val="18"/>
          <w:szCs w:val="18"/>
        </w:rPr>
        <w:tab/>
        <w:t>ostatní plocha</w:t>
      </w:r>
    </w:p>
    <w:p w14:paraId="6BC79663" w14:textId="5BC1C458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 xml:space="preserve">Nově vytvořeno GP: číslo 5995-356/2025 ze dne </w:t>
      </w:r>
      <w:r w:rsidR="008E7047">
        <w:rPr>
          <w:rFonts w:ascii="Arial" w:hAnsi="Arial" w:cs="Arial"/>
          <w:sz w:val="18"/>
          <w:szCs w:val="18"/>
        </w:rPr>
        <w:t>13.8.2025</w:t>
      </w:r>
      <w:r w:rsidRPr="005123A9">
        <w:rPr>
          <w:rFonts w:ascii="Arial" w:hAnsi="Arial" w:cs="Arial"/>
          <w:sz w:val="18"/>
          <w:szCs w:val="18"/>
        </w:rPr>
        <w:t xml:space="preserve"> z parcely č. KN 4012/133</w:t>
      </w:r>
    </w:p>
    <w:p w14:paraId="62E14A0D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E2B8C0" w14:textId="77777777"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14:paraId="74882D3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14:paraId="273B7FBB" w14:textId="77777777"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e)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 xml:space="preserve">, </w:t>
      </w:r>
      <w:r w:rsidR="00D3334B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30A00060" w14:textId="77777777"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14:paraId="053B3BBE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14:paraId="4C6FABD5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2BB9508A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14:paraId="7F539160" w14:textId="77777777"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 xml:space="preserve">vydaným územním plánem nebo vydaným regulačním plánem  k realizaci </w:t>
      </w:r>
      <w:r w:rsidR="002B22D8" w:rsidRPr="005123A9">
        <w:rPr>
          <w:rFonts w:ascii="Arial" w:hAnsi="Arial" w:cs="Arial"/>
          <w:sz w:val="22"/>
          <w:szCs w:val="22"/>
        </w:rPr>
        <w:t xml:space="preserve">veřejné </w:t>
      </w:r>
      <w:r w:rsidR="00714C19" w:rsidRPr="00AC5134">
        <w:rPr>
          <w:rFonts w:ascii="Arial" w:hAnsi="Arial" w:cs="Arial"/>
          <w:sz w:val="22"/>
          <w:szCs w:val="22"/>
        </w:rPr>
        <w:t>zeleně</w:t>
      </w:r>
      <w:r w:rsidR="00714C19">
        <w:rPr>
          <w:rFonts w:ascii="Arial" w:hAnsi="Arial" w:cs="Arial"/>
          <w:sz w:val="22"/>
          <w:szCs w:val="22"/>
        </w:rPr>
        <w:t xml:space="preserve"> - parkové a parkově upravené, ochranné a izolační, sídelní ostatní,</w:t>
      </w:r>
      <w:r w:rsidR="00A13B66" w:rsidRPr="005123A9">
        <w:rPr>
          <w:rFonts w:ascii="Arial" w:hAnsi="Arial" w:cs="Arial"/>
          <w:sz w:val="22"/>
          <w:szCs w:val="22"/>
        </w:rPr>
        <w:t xml:space="preserve"> </w:t>
      </w:r>
      <w:r w:rsidR="00885221">
        <w:rPr>
          <w:rFonts w:ascii="Arial" w:hAnsi="Arial" w:cs="Arial"/>
          <w:sz w:val="22"/>
          <w:szCs w:val="22"/>
        </w:rPr>
        <w:t xml:space="preserve"> </w:t>
      </w:r>
      <w:r w:rsidR="00A13B66" w:rsidRPr="005123A9">
        <w:rPr>
          <w:rFonts w:ascii="Arial" w:hAnsi="Arial" w:cs="Arial"/>
          <w:sz w:val="22"/>
          <w:szCs w:val="22"/>
        </w:rPr>
        <w:t>k realizaci veřejně prospěšných opatření anebo již k těmto účelům využité, převádí na nabyvatele bezúplatně.</w:t>
      </w:r>
    </w:p>
    <w:p w14:paraId="43FD0882" w14:textId="77777777" w:rsidR="00676A32" w:rsidRPr="007B7B6F" w:rsidRDefault="00676A32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  <w:r w:rsidRPr="00786B13"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676A32" w:rsidRPr="007B7B6F" w14:paraId="24F6B095" w14:textId="77777777" w:rsidTr="00F72B4E">
        <w:tc>
          <w:tcPr>
            <w:tcW w:w="2536" w:type="dxa"/>
          </w:tcPr>
          <w:p w14:paraId="5D3C4E26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559" w:type="dxa"/>
          </w:tcPr>
          <w:p w14:paraId="6D8EE95C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748" w:type="dxa"/>
          </w:tcPr>
          <w:p w14:paraId="1E9B5B4C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  <w:tc>
          <w:tcPr>
            <w:tcW w:w="2672" w:type="dxa"/>
          </w:tcPr>
          <w:p w14:paraId="490A233D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676A32" w:rsidRPr="007B7B6F" w14:paraId="191C1A87" w14:textId="77777777" w:rsidTr="00F72B4E">
        <w:tc>
          <w:tcPr>
            <w:tcW w:w="2536" w:type="dxa"/>
          </w:tcPr>
          <w:p w14:paraId="26E0FA4E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Dědice u Vyškova</w:t>
            </w:r>
          </w:p>
        </w:tc>
        <w:tc>
          <w:tcPr>
            <w:tcW w:w="1559" w:type="dxa"/>
          </w:tcPr>
          <w:p w14:paraId="1FEF4254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4012/256</w:t>
            </w:r>
          </w:p>
        </w:tc>
        <w:tc>
          <w:tcPr>
            <w:tcW w:w="2748" w:type="dxa"/>
          </w:tcPr>
          <w:p w14:paraId="38D048A3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 realizaci veřejné zeleně - sídelní ostatní</w:t>
            </w:r>
          </w:p>
        </w:tc>
        <w:tc>
          <w:tcPr>
            <w:tcW w:w="2672" w:type="dxa"/>
          </w:tcPr>
          <w:p w14:paraId="297F70EE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313,20 Kč</w:t>
            </w:r>
          </w:p>
        </w:tc>
      </w:tr>
    </w:tbl>
    <w:p w14:paraId="376B2BF2" w14:textId="77777777"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14:paraId="2581A35B" w14:textId="1C8152DB" w:rsidR="00240A48" w:rsidRDefault="007F426D" w:rsidP="008F106A">
      <w:pPr>
        <w:pStyle w:val="vnintext0"/>
        <w:ind w:firstLine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t>2)</w:t>
      </w:r>
      <w:r w:rsidR="00240A48" w:rsidRP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V případě změny územně plánovací dokumentace, která by v rámci hlavního funkčního využití plochy neumožnila naplnění účelu převodu pozemku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uvedeného v článku IV, písm. 1) nebo pozemek byl využit jinak než k realizaci veřejné zeleně</w:t>
      </w:r>
      <w:r w:rsidR="00885221">
        <w:rPr>
          <w:rFonts w:ascii="Arial" w:hAnsi="Arial" w:cs="Arial"/>
          <w:color w:val="000000"/>
          <w:sz w:val="22"/>
          <w:szCs w:val="22"/>
          <w:lang w:eastAsia="cs-CZ"/>
        </w:rPr>
        <w:t>,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nebo veřejně prospěšného opatření,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je obec povinna zemědělský pozemek převést zpět za stejných podmínek, za jakých byl na obec převeden, a to ve lhůtě do 90 dnů od nabytí právní moci změny územního plánu nebo změny regulačního plánu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>.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 xml:space="preserve"> Jestliže nebude možné pozemek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převést zpět, protože bude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ve vlastnictví třetí osoby, je obec povinna ve stejné lhůtě poskytnout Státnímu pozemkovému úřadu finanční náhradu ve výši ceny pozemku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zjištěné podle cenového předpisu platného ke dni uzavření smlouvy, podle které byl pozemek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obci převeden, a podle současného způsobu využití pozemku.</w:t>
      </w:r>
    </w:p>
    <w:p w14:paraId="796495A0" w14:textId="77777777" w:rsidR="000F674E" w:rsidRPr="005123A9" w:rsidRDefault="00240A48" w:rsidP="00CB76BB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AC5134">
        <w:rPr>
          <w:rFonts w:ascii="Arial" w:hAnsi="Arial" w:cs="Arial"/>
          <w:sz w:val="22"/>
          <w:szCs w:val="22"/>
        </w:rPr>
        <w:t xml:space="preserve">Tato povinnost platí po dobu </w:t>
      </w:r>
      <w:r>
        <w:rPr>
          <w:rFonts w:ascii="Arial" w:hAnsi="Arial" w:cs="Arial"/>
          <w:sz w:val="22"/>
          <w:szCs w:val="22"/>
        </w:rPr>
        <w:t>5</w:t>
      </w:r>
      <w:r w:rsidRPr="00AC5134">
        <w:rPr>
          <w:rFonts w:ascii="Arial" w:hAnsi="Arial" w:cs="Arial"/>
          <w:sz w:val="22"/>
          <w:szCs w:val="22"/>
        </w:rPr>
        <w:t xml:space="preserve"> let ode dne provedení vkladu vlastnického práva</w:t>
      </w:r>
      <w:r>
        <w:rPr>
          <w:rFonts w:ascii="Arial" w:hAnsi="Arial" w:cs="Arial"/>
        </w:rPr>
        <w:t xml:space="preserve"> </w:t>
      </w:r>
      <w:r w:rsidRPr="00AC5134">
        <w:rPr>
          <w:rFonts w:ascii="Arial" w:hAnsi="Arial" w:cs="Arial"/>
          <w:sz w:val="22"/>
          <w:szCs w:val="22"/>
        </w:rPr>
        <w:t>k zemědělskému pozemku do katastru nemovitostí ve prospěch obce.</w:t>
      </w:r>
      <w:r w:rsidR="000F674E" w:rsidRPr="005123A9">
        <w:rPr>
          <w:rFonts w:ascii="Arial" w:hAnsi="Arial" w:cs="Arial"/>
          <w:sz w:val="22"/>
          <w:szCs w:val="22"/>
        </w:rPr>
        <w:t xml:space="preserve"> </w:t>
      </w:r>
    </w:p>
    <w:p w14:paraId="22CD047A" w14:textId="77777777"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14:paraId="2E317EC8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D99CE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14:paraId="2665AA2E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53E7324" w14:textId="77777777"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7D3EA0B" w14:textId="77777777" w:rsidR="000F674E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64430ED0" w14:textId="0054164D" w:rsidR="00B326A1" w:rsidRPr="00B326A1" w:rsidRDefault="00B326A1" w:rsidP="00B326A1">
      <w:pPr>
        <w:pStyle w:val="vnitrni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B326A1">
        <w:rPr>
          <w:rFonts w:ascii="Arial" w:hAnsi="Arial" w:cs="Arial"/>
          <w:sz w:val="22"/>
          <w:szCs w:val="22"/>
        </w:rPr>
        <w:t>)</w:t>
      </w:r>
      <w:r w:rsidRPr="00B326A1">
        <w:rPr>
          <w:rFonts w:ascii="Arial" w:hAnsi="Arial" w:cs="Arial"/>
          <w:sz w:val="22"/>
          <w:szCs w:val="22"/>
        </w:rPr>
        <w:tab/>
        <w:t xml:space="preserve"> Na převáděném pozemku vázne věcné břemeno zřizování a provozování vedení NN pro EG.D </w:t>
      </w:r>
      <w:r w:rsidR="00D71B2E">
        <w:rPr>
          <w:rFonts w:ascii="Arial" w:hAnsi="Arial" w:cs="Arial"/>
          <w:sz w:val="22"/>
          <w:szCs w:val="22"/>
        </w:rPr>
        <w:t>s.r.o.</w:t>
      </w:r>
      <w:r w:rsidRPr="00B326A1">
        <w:rPr>
          <w:rFonts w:ascii="Arial" w:hAnsi="Arial" w:cs="Arial"/>
          <w:sz w:val="22"/>
          <w:szCs w:val="22"/>
        </w:rPr>
        <w:t xml:space="preserve">, zřízené smlouvou </w:t>
      </w:r>
      <w:r w:rsidR="00D71B2E">
        <w:rPr>
          <w:rFonts w:ascii="Arial" w:hAnsi="Arial" w:cs="Arial"/>
          <w:sz w:val="22"/>
          <w:szCs w:val="22"/>
        </w:rPr>
        <w:t>2007C</w:t>
      </w:r>
      <w:r w:rsidR="00656FD3">
        <w:rPr>
          <w:rFonts w:ascii="Arial" w:hAnsi="Arial" w:cs="Arial"/>
          <w:sz w:val="22"/>
          <w:szCs w:val="22"/>
        </w:rPr>
        <w:t>25/58.</w:t>
      </w:r>
    </w:p>
    <w:p w14:paraId="47C68A27" w14:textId="10F0710D" w:rsidR="000F674E" w:rsidRPr="005123A9" w:rsidRDefault="00B326A1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4</w:t>
      </w:r>
      <w:r w:rsidR="00C97A7C">
        <w:rPr>
          <w:rFonts w:ascii="Arial" w:hAnsi="Arial" w:cs="Arial"/>
          <w:sz w:val="22"/>
          <w:szCs w:val="22"/>
        </w:rPr>
        <w:t>)</w:t>
      </w:r>
      <w:r w:rsidR="00697524">
        <w:rPr>
          <w:rFonts w:ascii="Arial" w:hAnsi="Arial" w:cs="Arial"/>
          <w:sz w:val="22"/>
          <w:szCs w:val="22"/>
        </w:rPr>
        <w:t xml:space="preserve"> </w:t>
      </w:r>
      <w:r w:rsidR="00C97A7C"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="00C97A7C" w:rsidRPr="00AF080F">
        <w:rPr>
          <w:rFonts w:ascii="Arial" w:hAnsi="Arial" w:cs="Arial"/>
          <w:sz w:val="22"/>
          <w:szCs w:val="22"/>
        </w:rPr>
        <w:t>O</w:t>
      </w:r>
      <w:r w:rsidR="00C97A7C"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26AED210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BD65C3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14:paraId="4BF5BB49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4E0F56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2D1ECA5E" w14:textId="77777777" w:rsidR="004268A4" w:rsidRDefault="004268A4" w:rsidP="004268A4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14652BD" w14:textId="77777777" w:rsidR="004268A4" w:rsidRPr="0003365A" w:rsidRDefault="004268A4" w:rsidP="004268A4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1E0E74A" w14:textId="77777777" w:rsidR="004268A4" w:rsidRPr="0003365A" w:rsidRDefault="004268A4" w:rsidP="004268A4">
      <w:pPr>
        <w:pStyle w:val="vnintext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C15D86D" w14:textId="77777777"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D1C9F92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14:paraId="3E2272F0" w14:textId="77777777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>
        <w:rPr>
          <w:rFonts w:ascii="Arial" w:hAnsi="Arial" w:cs="Arial"/>
          <w:sz w:val="22"/>
          <w:szCs w:val="22"/>
        </w:rPr>
        <w:t>ve znění účinném ke dni 30.9.2025)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>
        <w:rPr>
          <w:rFonts w:ascii="Arial" w:hAnsi="Arial" w:cs="Arial"/>
          <w:sz w:val="22"/>
          <w:szCs w:val="22"/>
        </w:rPr>
        <w:t>ve znění účinném ke dni 30.9.2025)</w:t>
      </w:r>
      <w:r w:rsidRPr="005123A9">
        <w:rPr>
          <w:rFonts w:ascii="Arial" w:hAnsi="Arial" w:cs="Arial"/>
          <w:sz w:val="22"/>
          <w:szCs w:val="22"/>
        </w:rPr>
        <w:t>.</w:t>
      </w:r>
    </w:p>
    <w:p w14:paraId="4AA0454B" w14:textId="2861AAD9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lastRenderedPageBreak/>
        <w:t xml:space="preserve">2) Nabyvatel prohlašuje, že ve vztahu k převáděnému pozemku splňuje zákonem stanovené podmínky pro to, aby na něj mohl být podle § 7 odst. 1 písmeno e) 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>
        <w:rPr>
          <w:rFonts w:ascii="Arial" w:hAnsi="Arial" w:cs="Arial"/>
          <w:sz w:val="22"/>
          <w:szCs w:val="22"/>
        </w:rPr>
        <w:t>ve znění účinném ke dni 30.9.2025)</w:t>
      </w:r>
      <w:r w:rsidRPr="005123A9">
        <w:rPr>
          <w:rFonts w:ascii="Arial" w:hAnsi="Arial" w:cs="Arial"/>
          <w:sz w:val="22"/>
          <w:szCs w:val="22"/>
        </w:rPr>
        <w:t xml:space="preserve">, převeden dle </w:t>
      </w:r>
      <w:r w:rsidR="00317777">
        <w:rPr>
          <w:rFonts w:ascii="Arial" w:hAnsi="Arial" w:cs="Arial"/>
          <w:sz w:val="22"/>
          <w:szCs w:val="22"/>
        </w:rPr>
        <w:t xml:space="preserve">aktuálně platné </w:t>
      </w:r>
      <w:r w:rsidRPr="005123A9">
        <w:rPr>
          <w:rFonts w:ascii="Arial" w:hAnsi="Arial" w:cs="Arial"/>
          <w:sz w:val="22"/>
          <w:szCs w:val="22"/>
        </w:rPr>
        <w:t>změny územního plánu č. 1. města Vyškov ze dne 16.11.2022</w:t>
      </w:r>
      <w:r w:rsidR="00DE69C0">
        <w:rPr>
          <w:rFonts w:ascii="Arial" w:hAnsi="Arial" w:cs="Arial"/>
          <w:sz w:val="22"/>
          <w:szCs w:val="22"/>
        </w:rPr>
        <w:t xml:space="preserve"> a</w:t>
      </w:r>
      <w:r w:rsidRPr="005123A9">
        <w:rPr>
          <w:rFonts w:ascii="Arial" w:hAnsi="Arial" w:cs="Arial"/>
          <w:sz w:val="22"/>
          <w:szCs w:val="22"/>
        </w:rPr>
        <w:t>.</w:t>
      </w:r>
    </w:p>
    <w:p w14:paraId="018F1B80" w14:textId="5CA4A08D" w:rsidR="00D26AE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Nabyvatel prohlašuje, že nabytí pozemku odsouhlasilo zastupitelstvo města Vyškov dne 14.12.2022 usnesením č. II.ZM/180-02</w:t>
      </w:r>
      <w:r w:rsidR="0036653E">
        <w:rPr>
          <w:rFonts w:ascii="Arial" w:hAnsi="Arial" w:cs="Arial"/>
          <w:sz w:val="22"/>
          <w:szCs w:val="22"/>
        </w:rPr>
        <w:t xml:space="preserve">, které bylo změněno </w:t>
      </w:r>
      <w:r w:rsidR="001922EF">
        <w:rPr>
          <w:rFonts w:ascii="Arial" w:hAnsi="Arial" w:cs="Arial"/>
          <w:sz w:val="22"/>
          <w:szCs w:val="22"/>
        </w:rPr>
        <w:t xml:space="preserve">usnesením č. XXI. ZM/4151-02 ze dne </w:t>
      </w:r>
      <w:r w:rsidR="00FA7974">
        <w:rPr>
          <w:rFonts w:ascii="Arial" w:hAnsi="Arial" w:cs="Arial"/>
          <w:sz w:val="22"/>
          <w:szCs w:val="22"/>
        </w:rPr>
        <w:t>11.3.2026.</w:t>
      </w:r>
    </w:p>
    <w:p w14:paraId="6A1EBB63" w14:textId="77777777" w:rsidR="00CD64E1" w:rsidRPr="00AC5134" w:rsidRDefault="00CD64E1" w:rsidP="00CD64E1">
      <w:pPr>
        <w:pStyle w:val="vnintext0"/>
        <w:ind w:firstLine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3807C685" w14:textId="77777777" w:rsidR="00011AD3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1D579D6E" w14:textId="77777777"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3F58E1" w14:textId="77777777"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14:paraId="2A419A5D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1CBA778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Pr="005123A9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stejnopis(y) a ostatní jsou určeny pro převádějícího.</w:t>
      </w:r>
    </w:p>
    <w:p w14:paraId="6CE47D95" w14:textId="77777777" w:rsidR="00D726A5" w:rsidRDefault="00D726A5" w:rsidP="00D726A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4B2B8EA" w14:textId="77777777" w:rsidR="000D4FF8" w:rsidRDefault="000D4FF8" w:rsidP="000D4FF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D238E11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80DDA4D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IX.</w:t>
      </w:r>
    </w:p>
    <w:p w14:paraId="367C7153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F143D37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67D4C6F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FEA15EB" w14:textId="085D99C0"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Brně dne</w:t>
      </w:r>
      <w:r w:rsidRPr="005123A9">
        <w:rPr>
          <w:rFonts w:ascii="Arial" w:hAnsi="Arial" w:cs="Arial"/>
          <w:sz w:val="22"/>
          <w:szCs w:val="22"/>
        </w:rPr>
        <w:tab/>
        <w:t>V</w:t>
      </w:r>
      <w:r w:rsidR="00BC4E7E">
        <w:rPr>
          <w:rFonts w:ascii="Arial" w:hAnsi="Arial" w:cs="Arial"/>
          <w:sz w:val="22"/>
          <w:szCs w:val="22"/>
        </w:rPr>
        <w:t xml:space="preserve">e Vyškově </w:t>
      </w:r>
      <w:r w:rsidRPr="005123A9">
        <w:rPr>
          <w:rFonts w:ascii="Arial" w:hAnsi="Arial" w:cs="Arial"/>
          <w:sz w:val="22"/>
          <w:szCs w:val="22"/>
        </w:rPr>
        <w:t xml:space="preserve">dne </w:t>
      </w:r>
      <w:r w:rsidR="00BC4E7E">
        <w:rPr>
          <w:rFonts w:ascii="Arial" w:hAnsi="Arial" w:cs="Arial"/>
          <w:sz w:val="22"/>
          <w:szCs w:val="22"/>
        </w:rPr>
        <w:t>8.4.2026</w:t>
      </w:r>
    </w:p>
    <w:p w14:paraId="425798CF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8E1F22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91B1EB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6354B2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6B4FFB7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Město Vyškov</w:t>
      </w:r>
    </w:p>
    <w:p w14:paraId="08C2DB29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 Krajského pozemkového úřadu</w:t>
      </w:r>
      <w:r w:rsidRPr="005123A9">
        <w:rPr>
          <w:rFonts w:ascii="Arial" w:hAnsi="Arial" w:cs="Arial"/>
          <w:sz w:val="22"/>
          <w:szCs w:val="22"/>
        </w:rPr>
        <w:tab/>
        <w:t>nabyvatel</w:t>
      </w:r>
    </w:p>
    <w:p w14:paraId="365E78E8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Jihomoravský kraj</w:t>
      </w:r>
      <w:r w:rsidRPr="005123A9">
        <w:rPr>
          <w:rFonts w:ascii="Arial" w:hAnsi="Arial" w:cs="Arial"/>
          <w:sz w:val="22"/>
          <w:szCs w:val="22"/>
        </w:rPr>
        <w:tab/>
      </w:r>
    </w:p>
    <w:p w14:paraId="61511AEB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Pavel Zajíček</w:t>
      </w:r>
      <w:r w:rsidRPr="005123A9">
        <w:rPr>
          <w:rFonts w:ascii="Arial" w:hAnsi="Arial" w:cs="Arial"/>
          <w:sz w:val="22"/>
          <w:szCs w:val="22"/>
        </w:rPr>
        <w:tab/>
      </w:r>
    </w:p>
    <w:p w14:paraId="7F82A3E0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14:paraId="51D5C7E7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62C8C1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BC53CE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2503858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14:paraId="74E7C872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01A99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14:paraId="09D4AA9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EA1A332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JUDr. Jarmila Křížová</w:t>
      </w:r>
    </w:p>
    <w:p w14:paraId="59FE996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17507910" w14:textId="77777777"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05411077" w14:textId="77777777"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14:paraId="2C215ACE" w14:textId="77777777"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6A565CF" w14:textId="77777777"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Ing. Martin Berka</w:t>
      </w:r>
    </w:p>
    <w:p w14:paraId="623F68ED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A924D0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34F61BCD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14:paraId="609551F3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3DF26899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17A37A5E" w14:textId="77777777"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9A383E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14:paraId="386CA965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3BAB5FBC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3884732F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14:paraId="4C439B47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8A8DE64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616875DF" w14:textId="77777777"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14:paraId="7F7EDA27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40840AD2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249FEF7C" w14:textId="77777777" w:rsidR="000D4FF8" w:rsidRDefault="000D4FF8" w:rsidP="000D4FF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6B32FAE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38F290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ABE5BAB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73CFBBC2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0362FF6F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07EE05D7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5162CBA4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562B37C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………………..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308C2E2" w14:textId="77777777"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12294B45" w14:textId="77777777"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55395082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10AF" w14:textId="77777777" w:rsidR="00505DB0" w:rsidRDefault="00505DB0">
      <w:r>
        <w:separator/>
      </w:r>
    </w:p>
  </w:endnote>
  <w:endnote w:type="continuationSeparator" w:id="0">
    <w:p w14:paraId="54C44A68" w14:textId="77777777" w:rsidR="00505DB0" w:rsidRDefault="0050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C604" w14:textId="77777777" w:rsidR="00505DB0" w:rsidRDefault="00505DB0">
      <w:r>
        <w:separator/>
      </w:r>
    </w:p>
  </w:footnote>
  <w:footnote w:type="continuationSeparator" w:id="0">
    <w:p w14:paraId="098422BE" w14:textId="77777777" w:rsidR="00505DB0" w:rsidRDefault="0050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BB6B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674E"/>
    <w:rsid w:val="00011AD3"/>
    <w:rsid w:val="000164A2"/>
    <w:rsid w:val="0003365A"/>
    <w:rsid w:val="00035BE1"/>
    <w:rsid w:val="00040100"/>
    <w:rsid w:val="00054A79"/>
    <w:rsid w:val="00061AFD"/>
    <w:rsid w:val="000A1977"/>
    <w:rsid w:val="000D4FF8"/>
    <w:rsid w:val="000F674E"/>
    <w:rsid w:val="00107B1E"/>
    <w:rsid w:val="00110AFF"/>
    <w:rsid w:val="00123341"/>
    <w:rsid w:val="00136B70"/>
    <w:rsid w:val="00175955"/>
    <w:rsid w:val="001922EF"/>
    <w:rsid w:val="001A609E"/>
    <w:rsid w:val="001F2EF0"/>
    <w:rsid w:val="002022DB"/>
    <w:rsid w:val="0022481D"/>
    <w:rsid w:val="00240A48"/>
    <w:rsid w:val="00246929"/>
    <w:rsid w:val="002524DF"/>
    <w:rsid w:val="00261220"/>
    <w:rsid w:val="0029620C"/>
    <w:rsid w:val="0029718A"/>
    <w:rsid w:val="002B22D8"/>
    <w:rsid w:val="002B7376"/>
    <w:rsid w:val="002D2A6A"/>
    <w:rsid w:val="002D4382"/>
    <w:rsid w:val="002D697D"/>
    <w:rsid w:val="002F40A8"/>
    <w:rsid w:val="00307FB3"/>
    <w:rsid w:val="00317777"/>
    <w:rsid w:val="0032101A"/>
    <w:rsid w:val="00364C11"/>
    <w:rsid w:val="00365707"/>
    <w:rsid w:val="0036653E"/>
    <w:rsid w:val="0037452C"/>
    <w:rsid w:val="00380727"/>
    <w:rsid w:val="003965F9"/>
    <w:rsid w:val="003A4500"/>
    <w:rsid w:val="003C581D"/>
    <w:rsid w:val="003D5121"/>
    <w:rsid w:val="003D52B3"/>
    <w:rsid w:val="003D53C8"/>
    <w:rsid w:val="003E0B79"/>
    <w:rsid w:val="003E3ADA"/>
    <w:rsid w:val="003F64D6"/>
    <w:rsid w:val="00402472"/>
    <w:rsid w:val="0041107B"/>
    <w:rsid w:val="004227EE"/>
    <w:rsid w:val="004268A4"/>
    <w:rsid w:val="00495C9D"/>
    <w:rsid w:val="00497819"/>
    <w:rsid w:val="004C20F7"/>
    <w:rsid w:val="004E0F56"/>
    <w:rsid w:val="004E4596"/>
    <w:rsid w:val="00501E97"/>
    <w:rsid w:val="00505DB0"/>
    <w:rsid w:val="005123A9"/>
    <w:rsid w:val="00533D85"/>
    <w:rsid w:val="005908D1"/>
    <w:rsid w:val="005A734C"/>
    <w:rsid w:val="005C7EEF"/>
    <w:rsid w:val="006517A0"/>
    <w:rsid w:val="0065302D"/>
    <w:rsid w:val="00656FD3"/>
    <w:rsid w:val="006700F4"/>
    <w:rsid w:val="006704D9"/>
    <w:rsid w:val="006763E0"/>
    <w:rsid w:val="00676A32"/>
    <w:rsid w:val="00690118"/>
    <w:rsid w:val="00695F4D"/>
    <w:rsid w:val="00697524"/>
    <w:rsid w:val="006D72A5"/>
    <w:rsid w:val="006E7FBE"/>
    <w:rsid w:val="006F42BE"/>
    <w:rsid w:val="006F60C3"/>
    <w:rsid w:val="00714C19"/>
    <w:rsid w:val="00782C07"/>
    <w:rsid w:val="00786B13"/>
    <w:rsid w:val="007A4C9B"/>
    <w:rsid w:val="007B7B6F"/>
    <w:rsid w:val="007C4BBA"/>
    <w:rsid w:val="007D57CD"/>
    <w:rsid w:val="007F426D"/>
    <w:rsid w:val="00821CA3"/>
    <w:rsid w:val="00825E2D"/>
    <w:rsid w:val="00825F84"/>
    <w:rsid w:val="008369A2"/>
    <w:rsid w:val="00841366"/>
    <w:rsid w:val="008675D5"/>
    <w:rsid w:val="0086777B"/>
    <w:rsid w:val="008737EF"/>
    <w:rsid w:val="00885221"/>
    <w:rsid w:val="008E7047"/>
    <w:rsid w:val="008F106A"/>
    <w:rsid w:val="008F2045"/>
    <w:rsid w:val="00901A2A"/>
    <w:rsid w:val="00910573"/>
    <w:rsid w:val="00914293"/>
    <w:rsid w:val="009249A6"/>
    <w:rsid w:val="009366DA"/>
    <w:rsid w:val="00987824"/>
    <w:rsid w:val="009D1D85"/>
    <w:rsid w:val="009D6C48"/>
    <w:rsid w:val="009E3F58"/>
    <w:rsid w:val="00A13B66"/>
    <w:rsid w:val="00A31C3B"/>
    <w:rsid w:val="00A504B2"/>
    <w:rsid w:val="00A53C68"/>
    <w:rsid w:val="00AC5134"/>
    <w:rsid w:val="00AD7FDB"/>
    <w:rsid w:val="00AE5523"/>
    <w:rsid w:val="00AF080F"/>
    <w:rsid w:val="00B05308"/>
    <w:rsid w:val="00B1430A"/>
    <w:rsid w:val="00B25867"/>
    <w:rsid w:val="00B326A1"/>
    <w:rsid w:val="00B3615A"/>
    <w:rsid w:val="00B454F9"/>
    <w:rsid w:val="00B555D0"/>
    <w:rsid w:val="00B77330"/>
    <w:rsid w:val="00BC4E7E"/>
    <w:rsid w:val="00BD6554"/>
    <w:rsid w:val="00BE12A6"/>
    <w:rsid w:val="00C34702"/>
    <w:rsid w:val="00C419CC"/>
    <w:rsid w:val="00C9419D"/>
    <w:rsid w:val="00C97A7C"/>
    <w:rsid w:val="00CA00A2"/>
    <w:rsid w:val="00CB5380"/>
    <w:rsid w:val="00CB76BB"/>
    <w:rsid w:val="00CD64E1"/>
    <w:rsid w:val="00CF023C"/>
    <w:rsid w:val="00CF076C"/>
    <w:rsid w:val="00D02BDA"/>
    <w:rsid w:val="00D13A0C"/>
    <w:rsid w:val="00D26AE9"/>
    <w:rsid w:val="00D30B5D"/>
    <w:rsid w:val="00D3334B"/>
    <w:rsid w:val="00D71B2E"/>
    <w:rsid w:val="00D726A5"/>
    <w:rsid w:val="00D74F11"/>
    <w:rsid w:val="00D75276"/>
    <w:rsid w:val="00D821FA"/>
    <w:rsid w:val="00D911D5"/>
    <w:rsid w:val="00DB3E9C"/>
    <w:rsid w:val="00DE69C0"/>
    <w:rsid w:val="00DF2489"/>
    <w:rsid w:val="00E32B55"/>
    <w:rsid w:val="00E53FE2"/>
    <w:rsid w:val="00E64CAC"/>
    <w:rsid w:val="00E9112B"/>
    <w:rsid w:val="00EB0AD5"/>
    <w:rsid w:val="00EC4B62"/>
    <w:rsid w:val="00F23DB4"/>
    <w:rsid w:val="00F27A8C"/>
    <w:rsid w:val="00F344DA"/>
    <w:rsid w:val="00F53A92"/>
    <w:rsid w:val="00F72B4E"/>
    <w:rsid w:val="00F844E4"/>
    <w:rsid w:val="00FA0709"/>
    <w:rsid w:val="00FA7974"/>
    <w:rsid w:val="00FB17B4"/>
    <w:rsid w:val="00FB6C30"/>
    <w:rsid w:val="00FC4325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BD74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tylDoprava">
    <w:name w:val="Styl Doprava"/>
    <w:basedOn w:val="Normln"/>
    <w:rsid w:val="008675D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2026-03-17T10:04:00Z</dcterms:created>
  <dcterms:modified xsi:type="dcterms:W3CDTF">2026-04-22T10:27:00Z</dcterms:modified>
</cp:coreProperties>
</file>