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7BF0" w14:textId="7537990B" w:rsidR="00A61166" w:rsidRDefault="00A61166" w:rsidP="00A61166">
      <w:pPr>
        <w:rPr>
          <w:rFonts w:cs="Calibri"/>
          <w:b/>
          <w:sz w:val="24"/>
          <w:lang w:eastAsia="en-US"/>
        </w:rPr>
      </w:pPr>
      <w:r w:rsidRPr="00A61166">
        <w:rPr>
          <w:rFonts w:cs="Calibri"/>
          <w:b/>
          <w:sz w:val="24"/>
          <w:lang w:eastAsia="en-US"/>
        </w:rPr>
        <w:t>Stavba „</w:t>
      </w:r>
      <w:r w:rsidR="0083260B">
        <w:rPr>
          <w:rFonts w:cs="Calibri"/>
          <w:b/>
          <w:sz w:val="24"/>
          <w:lang w:eastAsia="en-US"/>
        </w:rPr>
        <w:t>SILNICE III/4915: SLUŠOVICE</w:t>
      </w:r>
      <w:r w:rsidRPr="00A61166">
        <w:rPr>
          <w:rFonts w:cs="Calibri"/>
          <w:b/>
          <w:sz w:val="24"/>
          <w:lang w:eastAsia="en-US"/>
        </w:rPr>
        <w:t xml:space="preserve"> (STAVEBNÍ ČÁST ŘSZK)“</w:t>
      </w:r>
    </w:p>
    <w:p w14:paraId="7ADD9D5B" w14:textId="30BA60D6" w:rsidR="0083260B" w:rsidRDefault="00826C61" w:rsidP="0083260B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 xml:space="preserve">Dodatek </w:t>
      </w:r>
      <w:r w:rsidR="00B55B19">
        <w:rPr>
          <w:rFonts w:cs="Calibri"/>
          <w:b/>
          <w:sz w:val="24"/>
          <w:lang w:eastAsia="en-US"/>
        </w:rPr>
        <w:t>č. 2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  <w:r w:rsidR="00326E03" w:rsidRPr="00326E03">
        <w:rPr>
          <w:rFonts w:cs="Calibri"/>
          <w:b/>
          <w:sz w:val="24"/>
          <w:lang w:eastAsia="en-US"/>
        </w:rPr>
        <w:t xml:space="preserve">č. </w:t>
      </w:r>
      <w:r w:rsidR="0083260B">
        <w:rPr>
          <w:rFonts w:cs="Calibri"/>
          <w:b/>
          <w:sz w:val="24"/>
          <w:lang w:eastAsia="en-US"/>
        </w:rPr>
        <w:t>SML/0109/25</w:t>
      </w:r>
    </w:p>
    <w:p w14:paraId="22EAB242" w14:textId="77777777" w:rsidR="0083260B" w:rsidRPr="001D2E86" w:rsidRDefault="0083260B" w:rsidP="0083260B">
      <w:r>
        <w:rPr>
          <w:rFonts w:cs="Calibri"/>
          <w:b/>
          <w:sz w:val="24"/>
          <w:lang w:eastAsia="en-US"/>
        </w:rPr>
        <w:t>č. zhotovitele 25001012</w:t>
      </w:r>
    </w:p>
    <w:p w14:paraId="6A941BC5" w14:textId="20C54DBE" w:rsidR="008877EC" w:rsidRPr="001D2E86" w:rsidRDefault="008877EC" w:rsidP="0083260B">
      <w:pPr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5D36D97E" w14:textId="2895926A" w:rsidR="0083260B" w:rsidRPr="001D2E86" w:rsidRDefault="0083260B" w:rsidP="0083260B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1C429F73" w14:textId="77777777" w:rsidR="0083260B" w:rsidRPr="001D2E86" w:rsidRDefault="0083260B" w:rsidP="0083260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42EBCF1A" w14:textId="77777777" w:rsidR="0083260B" w:rsidRPr="001D2E86" w:rsidRDefault="0083260B" w:rsidP="0083260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6B74E77E" w14:textId="77777777" w:rsidR="0083260B" w:rsidRPr="001D2E86" w:rsidRDefault="0083260B" w:rsidP="0083260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7EE1BED0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35621D16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1002A1A6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00009D0" w14:textId="45A7853A" w:rsidR="0083260B" w:rsidRPr="0097458B" w:rsidRDefault="0083260B" w:rsidP="0083260B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35E13">
        <w:rPr>
          <w:rFonts w:cs="Calibri"/>
          <w:szCs w:val="18"/>
        </w:rPr>
        <w:t>xxxxxxxxxxxxxxxxx</w:t>
      </w:r>
      <w:proofErr w:type="spellEnd"/>
    </w:p>
    <w:p w14:paraId="2C85465B" w14:textId="62CDAC66" w:rsidR="0083260B" w:rsidRPr="0097458B" w:rsidRDefault="0083260B" w:rsidP="0083260B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35E13">
        <w:rPr>
          <w:rFonts w:cs="Calibri"/>
          <w:szCs w:val="18"/>
        </w:rPr>
        <w:t>xxxxxxxx</w:t>
      </w:r>
      <w:proofErr w:type="spellEnd"/>
    </w:p>
    <w:p w14:paraId="0FE8EA14" w14:textId="2A0C9498" w:rsidR="0083260B" w:rsidRPr="0097458B" w:rsidRDefault="0083260B" w:rsidP="0083260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35E13">
        <w:rPr>
          <w:rFonts w:cs="Calibri"/>
          <w:szCs w:val="18"/>
        </w:rPr>
        <w:t>xxxx</w:t>
      </w:r>
      <w:proofErr w:type="spellEnd"/>
    </w:p>
    <w:p w14:paraId="7568ACA5" w14:textId="76C367E2" w:rsidR="0083260B" w:rsidRPr="0097458B" w:rsidRDefault="0083260B" w:rsidP="0083260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="00B35E13">
        <w:rPr>
          <w:rFonts w:cs="Calibri"/>
          <w:szCs w:val="18"/>
        </w:rPr>
        <w:t>x</w:t>
      </w:r>
    </w:p>
    <w:p w14:paraId="4BB43CA9" w14:textId="66B38243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B35E13">
          <w:rPr>
            <w:rStyle w:val="Hypertextovodkaz"/>
            <w:rFonts w:cs="Calibri"/>
            <w:szCs w:val="18"/>
          </w:rPr>
          <w:t>xxxxxxxx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5C881003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6ADB1D27" w14:textId="77777777" w:rsidR="0083260B" w:rsidRPr="00ED48A6" w:rsidRDefault="0083260B" w:rsidP="0083260B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72FA47BE" w14:textId="77777777" w:rsidR="0083260B" w:rsidRPr="00ED48A6" w:rsidRDefault="0083260B" w:rsidP="0083260B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069F377E" w14:textId="77777777" w:rsidR="0083260B" w:rsidRPr="00ED48A6" w:rsidRDefault="0083260B" w:rsidP="0083260B">
      <w:pPr>
        <w:widowControl w:val="0"/>
        <w:spacing w:before="120"/>
        <w:jc w:val="both"/>
        <w:rPr>
          <w:rFonts w:cs="Calibri"/>
          <w:b/>
          <w:szCs w:val="18"/>
        </w:rPr>
      </w:pPr>
      <w:bookmarkStart w:id="0" w:name="_Hlk191367567"/>
      <w:bookmarkStart w:id="1" w:name="_Hlk191367644"/>
      <w:r>
        <w:rPr>
          <w:rFonts w:cs="Calibri"/>
          <w:b/>
          <w:szCs w:val="18"/>
        </w:rPr>
        <w:t>SMO a. s.</w:t>
      </w:r>
    </w:p>
    <w:p w14:paraId="25208CCE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Zlínská 172, Kvítkovice, 765 02 Otrokovice</w:t>
      </w:r>
    </w:p>
    <w:p w14:paraId="6CC67EDE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Krajský soud v Brně, oddíl B, vložka 3624</w:t>
      </w:r>
    </w:p>
    <w:p w14:paraId="15FE0828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42339839</w:t>
      </w:r>
    </w:p>
    <w:p w14:paraId="4D8BA399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>
        <w:t>42339839</w:t>
      </w:r>
    </w:p>
    <w:p w14:paraId="010FFFD9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Michalem Dlabačem, členem správní rady</w:t>
      </w:r>
    </w:p>
    <w:p w14:paraId="5DD6E473" w14:textId="723D2709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B35E13">
        <w:rPr>
          <w:rFonts w:cs="Calibri"/>
          <w:szCs w:val="18"/>
        </w:rPr>
        <w:t>xxxxxx</w:t>
      </w:r>
      <w:proofErr w:type="spellEnd"/>
    </w:p>
    <w:bookmarkEnd w:id="0"/>
    <w:p w14:paraId="1806E799" w14:textId="382F140A" w:rsidR="0083260B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B35E13">
        <w:rPr>
          <w:rFonts w:cs="Calibri"/>
          <w:szCs w:val="18"/>
        </w:rPr>
        <w:t>xxxxxx</w:t>
      </w:r>
      <w:proofErr w:type="spellEnd"/>
    </w:p>
    <w:p w14:paraId="5BEF9306" w14:textId="5B8539C8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bookmarkStart w:id="2" w:name="_Hlk191367591"/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B35E13">
        <w:rPr>
          <w:rFonts w:cs="Calibri"/>
          <w:szCs w:val="18"/>
        </w:rPr>
        <w:t>x</w:t>
      </w:r>
    </w:p>
    <w:p w14:paraId="10E84119" w14:textId="4B397748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B35E13">
          <w:rPr>
            <w:rStyle w:val="Hypertextovodkaz"/>
            <w:rFonts w:cs="Calibri"/>
            <w:szCs w:val="18"/>
          </w:rPr>
          <w:t>xxxxxxx</w:t>
        </w:r>
      </w:hyperlink>
      <w:r>
        <w:rPr>
          <w:rFonts w:cs="Calibri"/>
          <w:szCs w:val="18"/>
        </w:rPr>
        <w:t xml:space="preserve"> </w:t>
      </w:r>
    </w:p>
    <w:p w14:paraId="39160F7C" w14:textId="77777777" w:rsidR="0083260B" w:rsidRPr="00ED48A6" w:rsidRDefault="0083260B" w:rsidP="0083260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 xml:space="preserve">Komerční banka, a. s., č. </w:t>
      </w:r>
      <w:proofErr w:type="spellStart"/>
      <w:r w:rsidRPr="00973705">
        <w:rPr>
          <w:rFonts w:cs="Calibri"/>
          <w:szCs w:val="18"/>
        </w:rPr>
        <w:t>ú.</w:t>
      </w:r>
      <w:proofErr w:type="spellEnd"/>
      <w:r w:rsidRPr="00973705">
        <w:rPr>
          <w:rFonts w:cs="Calibri"/>
          <w:szCs w:val="18"/>
        </w:rPr>
        <w:t xml:space="preserve"> 102946921/0100</w:t>
      </w:r>
    </w:p>
    <w:bookmarkEnd w:id="1"/>
    <w:bookmarkEnd w:id="2"/>
    <w:p w14:paraId="1E5CD2C1" w14:textId="77777777" w:rsidR="0083260B" w:rsidRPr="00ED48A6" w:rsidRDefault="0083260B" w:rsidP="0083260B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705E797E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3757F5BA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 w:rsidR="00302C45">
        <w:t>02</w:t>
      </w:r>
      <w:r w:rsidRPr="002C551F">
        <w:t>.</w:t>
      </w:r>
      <w:r>
        <w:t>0</w:t>
      </w:r>
      <w:r w:rsidR="00302C45">
        <w:t>4</w:t>
      </w:r>
      <w:r w:rsidRPr="002C551F">
        <w:t>.20</w:t>
      </w:r>
      <w:r>
        <w:t>2</w:t>
      </w:r>
      <w:r w:rsidR="005C5061">
        <w:t>5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5C5061">
        <w:t>0</w:t>
      </w:r>
      <w:r w:rsidR="00302C45">
        <w:t>109</w:t>
      </w:r>
      <w:r w:rsidRPr="002C551F">
        <w:t>/</w:t>
      </w:r>
      <w:r>
        <w:t>2</w:t>
      </w:r>
      <w:r w:rsidR="005C5061">
        <w:t>5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="00D63B33" w:rsidRPr="00D63B33">
        <w:t>„</w:t>
      </w:r>
      <w:r w:rsidR="0083260B">
        <w:t>SILNICE III/4915: SLUŠOVICE</w:t>
      </w:r>
      <w:r w:rsidR="005C5061" w:rsidRPr="005C5061">
        <w:t xml:space="preserve"> </w:t>
      </w:r>
      <w:r w:rsidR="00D63B33" w:rsidRPr="00D63B33">
        <w:t>(STAVEBNÍ ČÁST ŘSZK)“ (dále jako „Dílo“) v rámci společné veřejné zakázky dvou zadavatelů s názvem „</w:t>
      </w:r>
      <w:r w:rsidR="0083260B">
        <w:t>SILNICE III/4915: SLUŠOVICE</w:t>
      </w:r>
      <w:r w:rsidR="005C5061" w:rsidRPr="005C5061">
        <w:t xml:space="preserve"> </w:t>
      </w:r>
      <w:r w:rsidR="00D63B33" w:rsidRPr="00D63B33">
        <w:t xml:space="preserve">(Ředitelství silnic Zlínského kraje, příspěvková organizace a </w:t>
      </w:r>
      <w:r w:rsidR="005C5061">
        <w:t>obec Lutopecny</w:t>
      </w:r>
      <w:r w:rsidR="00D63B33" w:rsidRPr="00D63B33">
        <w:t xml:space="preserve"> – dále jen „</w:t>
      </w:r>
      <w:r w:rsidR="005C5061">
        <w:t>obec</w:t>
      </w:r>
      <w:r w:rsidR="00D63B33" w:rsidRPr="00D63B33">
        <w:t>“)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6C21C119" w14:textId="04E373DD" w:rsidR="00275BB6" w:rsidRPr="00D5394E" w:rsidRDefault="00275BB6" w:rsidP="00275BB6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stavební pr</w:t>
      </w:r>
      <w:r>
        <w:t>á</w:t>
      </w:r>
      <w:r w:rsidRPr="00D5394E">
        <w:t>c</w:t>
      </w:r>
      <w:r>
        <w:t>e nad rámec původního Díla</w:t>
      </w:r>
      <w:r w:rsidRPr="00D5394E">
        <w:t xml:space="preserve"> dle níže </w:t>
      </w:r>
      <w:r>
        <w:t xml:space="preserve">v odst. 2.2 </w:t>
      </w:r>
      <w:r w:rsidRPr="00D5394E">
        <w:t xml:space="preserve">uvedené specifikace. Tato změna je nepodstatnou změnou závazku ze smlouvy ve smyslu § 222, odst. 4, písm. b) ZZVZ, neboť nemění celkovou povahu </w:t>
      </w:r>
      <w:r>
        <w:t>V</w:t>
      </w:r>
      <w:r w:rsidRPr="00D5394E">
        <w:t xml:space="preserve">eřejné zakázky a její hodnota je nižší než 15 % původní hodnoty </w:t>
      </w:r>
      <w:r>
        <w:t>Veřejné zakázky</w:t>
      </w:r>
      <w:r w:rsidRPr="00D5394E">
        <w:t>.</w:t>
      </w:r>
    </w:p>
    <w:p w14:paraId="7A644675" w14:textId="57B87E48" w:rsid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="00B55B19">
        <w:t xml:space="preserve">ve znění dodatku č. 1 </w:t>
      </w:r>
      <w:r w:rsidRPr="00D5394E">
        <w:t xml:space="preserve">ve výši </w:t>
      </w:r>
      <w:r w:rsidR="00B55B19" w:rsidRPr="00B55B19">
        <w:t xml:space="preserve">37 246 129,36 </w:t>
      </w:r>
      <w:r w:rsidRPr="00D5394E">
        <w:t xml:space="preserve">Kč bez DPH se dodatkem </w:t>
      </w:r>
      <w:r w:rsidR="00B55B19">
        <w:t>č. 2</w:t>
      </w:r>
      <w:r w:rsidRPr="00D5394E">
        <w:t xml:space="preserve"> </w:t>
      </w:r>
      <w:r w:rsidR="00255015">
        <w:t xml:space="preserve">zvyšuje o hodnotu dodatečných prací ve výši </w:t>
      </w:r>
      <w:r w:rsidR="00B55B19">
        <w:t>78 199,</w:t>
      </w:r>
      <w:r w:rsidR="0083260B" w:rsidRPr="0083260B">
        <w:t>50</w:t>
      </w:r>
      <w:r w:rsidR="0083260B">
        <w:t xml:space="preserve"> </w:t>
      </w:r>
      <w:r w:rsidR="00255015">
        <w:t xml:space="preserve">Kč bez DPH </w:t>
      </w:r>
      <w:r w:rsidR="0083260B">
        <w:t>a zároveň snižuje</w:t>
      </w:r>
      <w:r w:rsidR="0083260B" w:rsidRPr="00D5394E">
        <w:t xml:space="preserve"> o </w:t>
      </w:r>
      <w:r w:rsidR="0083260B">
        <w:t>hodnotu neprovedených prací ve výši</w:t>
      </w:r>
      <w:r w:rsidR="0083260B" w:rsidRPr="00275BB6">
        <w:t xml:space="preserve"> </w:t>
      </w:r>
      <w:r w:rsidR="00B55B19">
        <w:t>98 971</w:t>
      </w:r>
      <w:r w:rsidR="0083260B" w:rsidRPr="0083260B">
        <w:t>,00</w:t>
      </w:r>
      <w:r w:rsidR="0083260B">
        <w:t xml:space="preserve"> </w:t>
      </w:r>
      <w:r w:rsidR="0083260B" w:rsidRPr="00D5394E">
        <w:t xml:space="preserve">Kč bez DPH </w:t>
      </w:r>
      <w:r w:rsidRPr="00D5394E">
        <w:t xml:space="preserve">na </w:t>
      </w:r>
      <w:r w:rsidR="00580A03">
        <w:t>cenu Díla</w:t>
      </w:r>
      <w:r w:rsidR="002C2B65">
        <w:t xml:space="preserve"> ve výši </w:t>
      </w:r>
      <w:r w:rsidR="0083260B" w:rsidRPr="0083260B">
        <w:t xml:space="preserve">37 </w:t>
      </w:r>
      <w:r w:rsidR="00B55B19">
        <w:t>225</w:t>
      </w:r>
      <w:r w:rsidR="0083260B" w:rsidRPr="0083260B">
        <w:t xml:space="preserve"> </w:t>
      </w:r>
      <w:r w:rsidR="00B55B19">
        <w:t>357</w:t>
      </w:r>
      <w:r w:rsidR="0083260B" w:rsidRPr="0083260B">
        <w:t>,</w:t>
      </w:r>
      <w:r w:rsidR="00B55B19">
        <w:t>8</w:t>
      </w:r>
      <w:r w:rsidR="0083260B" w:rsidRPr="0083260B">
        <w:t>6</w:t>
      </w:r>
      <w:r w:rsidR="0083260B">
        <w:t xml:space="preserve"> </w:t>
      </w:r>
      <w:r w:rsidRPr="00D5394E">
        <w:t>Kč bez DPH</w:t>
      </w:r>
      <w:r>
        <w:t xml:space="preserve"> </w:t>
      </w:r>
      <w:r w:rsidRPr="00ED6F06">
        <w:t xml:space="preserve">(tzn. </w:t>
      </w:r>
      <w:r w:rsidR="00B55B19" w:rsidRPr="00ED6F06">
        <w:t>snížení</w:t>
      </w:r>
      <w:r w:rsidR="002C2B65" w:rsidRPr="00ED6F06">
        <w:t xml:space="preserve"> </w:t>
      </w:r>
      <w:r w:rsidRPr="00ED6F06">
        <w:t>ceny</w:t>
      </w:r>
      <w:r w:rsidR="002C2B65" w:rsidRPr="00ED6F06">
        <w:t xml:space="preserve"> </w:t>
      </w:r>
      <w:r w:rsidR="00255015" w:rsidRPr="00ED6F06">
        <w:t xml:space="preserve">ve výši </w:t>
      </w:r>
      <w:r w:rsidR="00ED6F06" w:rsidRPr="00ED6F06">
        <w:t xml:space="preserve">20 771,50 </w:t>
      </w:r>
      <w:r w:rsidR="00255015" w:rsidRPr="00ED6F06">
        <w:t xml:space="preserve">Kč bez DPH, </w:t>
      </w:r>
      <w:r w:rsidR="00ED6F06" w:rsidRPr="00ED6F06">
        <w:t>celkový součet veškerých změn v průběhu realizace Díla představuje</w:t>
      </w:r>
      <w:r w:rsidR="00255015" w:rsidRPr="00ED6F06">
        <w:t xml:space="preserve"> </w:t>
      </w:r>
      <w:r w:rsidR="0083260B" w:rsidRPr="00ED6F06">
        <w:t>2,</w:t>
      </w:r>
      <w:r w:rsidR="002830A2">
        <w:t>58</w:t>
      </w:r>
      <w:r w:rsidR="005A3EBD" w:rsidRPr="00ED6F06">
        <w:t xml:space="preserve"> </w:t>
      </w:r>
      <w:r w:rsidRPr="00ED6F06">
        <w:t>%</w:t>
      </w:r>
      <w:r w:rsidR="00255015">
        <w:t xml:space="preserve"> </w:t>
      </w:r>
      <w:r w:rsidR="005A3EBD">
        <w:t xml:space="preserve">změny </w:t>
      </w:r>
      <w:r w:rsidR="00255015">
        <w:t>z původní ceny Díla</w:t>
      </w:r>
      <w:r>
        <w:t>)</w:t>
      </w:r>
      <w:r w:rsidRPr="00D5394E">
        <w:t xml:space="preserve">. </w:t>
      </w:r>
    </w:p>
    <w:p w14:paraId="745B1D33" w14:textId="710B2E03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44E75140" w14:textId="681F857F" w:rsidR="007663F1" w:rsidRPr="00BC4A1C" w:rsidRDefault="00AA3A3F" w:rsidP="00BC4A1C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BC4A1C">
        <w:rPr>
          <w:rFonts w:cs="Calibri"/>
          <w:szCs w:val="18"/>
          <w:lang w:eastAsia="en-US"/>
        </w:rPr>
        <w:t>K</w:t>
      </w:r>
      <w:r w:rsidR="00BC4A1C">
        <w:rPr>
          <w:rFonts w:cs="Calibri"/>
          <w:szCs w:val="18"/>
          <w:lang w:eastAsia="en-US"/>
        </w:rPr>
        <w:t> </w:t>
      </w:r>
      <w:r w:rsidRPr="00BC4A1C">
        <w:rPr>
          <w:rFonts w:cs="Calibri"/>
          <w:szCs w:val="18"/>
          <w:lang w:eastAsia="en-US"/>
        </w:rPr>
        <w:t>dosavadní</w:t>
      </w:r>
      <w:r w:rsidR="00BC4A1C">
        <w:rPr>
          <w:rFonts w:cs="Calibri"/>
          <w:szCs w:val="18"/>
          <w:lang w:eastAsia="en-US"/>
        </w:rPr>
        <w:t xml:space="preserve"> specifikaci</w:t>
      </w:r>
      <w:r w:rsidR="00851855" w:rsidRPr="00BC4A1C">
        <w:rPr>
          <w:rFonts w:cs="Calibri"/>
          <w:szCs w:val="18"/>
          <w:lang w:eastAsia="en-US"/>
        </w:rPr>
        <w:t xml:space="preserve"> </w:t>
      </w:r>
      <w:r w:rsidRPr="00BC4A1C">
        <w:rPr>
          <w:rFonts w:cs="Calibri"/>
          <w:szCs w:val="18"/>
          <w:lang w:eastAsia="en-US"/>
        </w:rPr>
        <w:t xml:space="preserve">SO se </w:t>
      </w:r>
      <w:r w:rsidR="00851855" w:rsidRPr="00BC4A1C">
        <w:rPr>
          <w:rFonts w:cs="Calibri"/>
          <w:szCs w:val="18"/>
          <w:lang w:eastAsia="en-US"/>
        </w:rPr>
        <w:t>doplňuje následující text</w:t>
      </w:r>
      <w:r w:rsidRPr="00BC4A1C">
        <w:rPr>
          <w:rFonts w:cs="Calibri"/>
          <w:szCs w:val="18"/>
          <w:lang w:eastAsia="en-US"/>
        </w:rPr>
        <w:t>:</w:t>
      </w:r>
    </w:p>
    <w:p w14:paraId="6F6CB9FD" w14:textId="77777777" w:rsidR="0083260B" w:rsidRPr="0083260B" w:rsidRDefault="0083260B" w:rsidP="0083260B">
      <w:pPr>
        <w:pStyle w:val="Odstavecseseznamem"/>
        <w:numPr>
          <w:ilvl w:val="2"/>
          <w:numId w:val="2"/>
        </w:numPr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3260B">
        <w:rPr>
          <w:rFonts w:cs="Calibri"/>
          <w:szCs w:val="18"/>
          <w:u w:val="single"/>
          <w:lang w:eastAsia="en-US"/>
        </w:rPr>
        <w:lastRenderedPageBreak/>
        <w:t>SO 202 Záporová stěna</w:t>
      </w:r>
    </w:p>
    <w:p w14:paraId="3FD22A3F" w14:textId="4767AE64" w:rsidR="00FB6DBA" w:rsidRDefault="00FB6DBA" w:rsidP="00FB6DB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 w:rsidR="0083260B"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</w:t>
      </w:r>
      <w:r w:rsidR="00B55B19">
        <w:rPr>
          <w:rFonts w:cs="Calibri"/>
          <w:szCs w:val="18"/>
          <w:lang w:eastAsia="en-US"/>
        </w:rPr>
        <w:t>2.</w:t>
      </w:r>
      <w:r w:rsidRPr="007663F1">
        <w:rPr>
          <w:rFonts w:cs="Calibri"/>
          <w:szCs w:val="18"/>
          <w:lang w:eastAsia="en-US"/>
        </w:rPr>
        <w:t>0</w:t>
      </w:r>
      <w:r w:rsidR="00B55B19">
        <w:rPr>
          <w:rFonts w:cs="Calibri"/>
          <w:szCs w:val="18"/>
          <w:lang w:eastAsia="en-US"/>
        </w:rPr>
        <w:t>1</w:t>
      </w:r>
    </w:p>
    <w:p w14:paraId="2A05CB42" w14:textId="07E2EB85" w:rsidR="005A4A1F" w:rsidRPr="005A4A1F" w:rsidRDefault="00B55B19" w:rsidP="005A4A1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B55B19">
        <w:rPr>
          <w:rFonts w:cs="Calibri"/>
          <w:szCs w:val="18"/>
          <w:lang w:eastAsia="en-US"/>
        </w:rPr>
        <w:t>Z důvodu možného sesuvu svahu byla záporová stěna rozměrově rozšířena (viz dod</w:t>
      </w:r>
      <w:r w:rsidR="005A4A1F">
        <w:rPr>
          <w:rFonts w:cs="Calibri"/>
          <w:szCs w:val="18"/>
          <w:lang w:eastAsia="en-US"/>
        </w:rPr>
        <w:t>atek</w:t>
      </w:r>
      <w:r w:rsidRPr="00B55B19">
        <w:rPr>
          <w:rFonts w:cs="Calibri"/>
          <w:szCs w:val="18"/>
          <w:lang w:eastAsia="en-US"/>
        </w:rPr>
        <w:t xml:space="preserve"> č. 1). V návaznosti na tuto změnu je nutné vyřešit nově vzniklý prostor za záporovou stěnou.</w:t>
      </w:r>
      <w:r w:rsidR="005A4A1F">
        <w:rPr>
          <w:rFonts w:cs="Calibri"/>
          <w:szCs w:val="18"/>
          <w:lang w:eastAsia="en-US"/>
        </w:rPr>
        <w:t xml:space="preserve"> Z toho důvodu </w:t>
      </w:r>
      <w:r w:rsidR="005A4A1F" w:rsidRPr="005A4A1F">
        <w:rPr>
          <w:rFonts w:cs="Calibri"/>
          <w:szCs w:val="18"/>
          <w:lang w:eastAsia="en-US"/>
        </w:rPr>
        <w:t xml:space="preserve">budou </w:t>
      </w:r>
      <w:r w:rsidR="005A4A1F">
        <w:rPr>
          <w:rFonts w:cs="Calibri"/>
          <w:szCs w:val="18"/>
          <w:lang w:eastAsia="en-US"/>
        </w:rPr>
        <w:t>n</w:t>
      </w:r>
      <w:r w:rsidRPr="005A4A1F">
        <w:rPr>
          <w:rFonts w:cs="Calibri"/>
          <w:szCs w:val="18"/>
          <w:lang w:eastAsia="en-US"/>
        </w:rPr>
        <w:t xml:space="preserve">a obou koncích záporové stěny vybudovány monolitické betonové zdi pro zabránění vysypání nově dosypaného doplněného materiálu v objemu 71,4 m3. Záporová stěna bude opatřena svislou izolací proti zemní vlhkosti. </w:t>
      </w:r>
    </w:p>
    <w:p w14:paraId="6C905879" w14:textId="00ADE3B8" w:rsidR="009F2F78" w:rsidRDefault="009F2F78" w:rsidP="00B55B19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</w:t>
      </w:r>
      <w:r w:rsidR="00B55B19">
        <w:rPr>
          <w:rFonts w:cs="Calibri"/>
          <w:szCs w:val="18"/>
          <w:lang w:eastAsia="en-US"/>
        </w:rPr>
        <w:t>2.</w:t>
      </w:r>
      <w:r w:rsidRPr="007663F1">
        <w:rPr>
          <w:rFonts w:cs="Calibri"/>
          <w:szCs w:val="18"/>
          <w:lang w:eastAsia="en-US"/>
        </w:rPr>
        <w:t>0</w:t>
      </w:r>
      <w:r w:rsidR="00B55B19">
        <w:rPr>
          <w:rFonts w:cs="Calibri"/>
          <w:szCs w:val="18"/>
          <w:lang w:eastAsia="en-US"/>
        </w:rPr>
        <w:t>2</w:t>
      </w:r>
    </w:p>
    <w:p w14:paraId="48204DF0" w14:textId="41DC7FF8" w:rsidR="005A4A1F" w:rsidRPr="005A4A1F" w:rsidRDefault="005A4A1F" w:rsidP="005A4A1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5A4A1F">
        <w:rPr>
          <w:rFonts w:cs="Calibri"/>
          <w:szCs w:val="18"/>
          <w:lang w:eastAsia="en-US"/>
        </w:rPr>
        <w:t xml:space="preserve">Kvůli změně rozměrů záporové stěny </w:t>
      </w:r>
      <w:r>
        <w:rPr>
          <w:rFonts w:cs="Calibri"/>
          <w:szCs w:val="18"/>
          <w:lang w:eastAsia="en-US"/>
        </w:rPr>
        <w:t>došlo ke</w:t>
      </w:r>
      <w:r w:rsidRPr="005A4A1F">
        <w:rPr>
          <w:rFonts w:cs="Calibri"/>
          <w:szCs w:val="18"/>
          <w:lang w:eastAsia="en-US"/>
        </w:rPr>
        <w:t xml:space="preserve"> změ</w:t>
      </w:r>
      <w:r>
        <w:rPr>
          <w:rFonts w:cs="Calibri"/>
          <w:szCs w:val="18"/>
          <w:lang w:eastAsia="en-US"/>
        </w:rPr>
        <w:t>ně</w:t>
      </w:r>
      <w:r w:rsidRPr="005A4A1F">
        <w:rPr>
          <w:rFonts w:cs="Calibri"/>
          <w:szCs w:val="18"/>
          <w:lang w:eastAsia="en-US"/>
        </w:rPr>
        <w:t xml:space="preserve"> sklon</w:t>
      </w:r>
      <w:r>
        <w:rPr>
          <w:rFonts w:cs="Calibri"/>
          <w:szCs w:val="18"/>
          <w:lang w:eastAsia="en-US"/>
        </w:rPr>
        <w:t>u</w:t>
      </w:r>
      <w:r w:rsidRPr="005A4A1F">
        <w:rPr>
          <w:rFonts w:cs="Calibri"/>
          <w:szCs w:val="18"/>
          <w:lang w:eastAsia="en-US"/>
        </w:rPr>
        <w:t xml:space="preserve"> svahu za ní. </w:t>
      </w:r>
      <w:r>
        <w:rPr>
          <w:rFonts w:cs="Calibri"/>
          <w:szCs w:val="18"/>
          <w:lang w:eastAsia="en-US"/>
        </w:rPr>
        <w:t xml:space="preserve">Z toho důvodu nebude proveden </w:t>
      </w:r>
      <w:r w:rsidRPr="005A4A1F">
        <w:rPr>
          <w:rFonts w:cs="Calibri"/>
          <w:szCs w:val="18"/>
          <w:lang w:eastAsia="en-US"/>
        </w:rPr>
        <w:t xml:space="preserve">odvodňovací žlab </w:t>
      </w:r>
      <w:r>
        <w:rPr>
          <w:rFonts w:cs="Calibri"/>
          <w:szCs w:val="18"/>
          <w:lang w:eastAsia="en-US"/>
        </w:rPr>
        <w:t xml:space="preserve">v délce 35 m </w:t>
      </w:r>
      <w:r w:rsidRPr="005A4A1F">
        <w:rPr>
          <w:rFonts w:cs="Calibri"/>
          <w:szCs w:val="18"/>
          <w:lang w:eastAsia="en-US"/>
        </w:rPr>
        <w:t>a navazující horsk</w:t>
      </w:r>
      <w:r>
        <w:rPr>
          <w:rFonts w:cs="Calibri"/>
          <w:szCs w:val="18"/>
          <w:lang w:eastAsia="en-US"/>
        </w:rPr>
        <w:t>á</w:t>
      </w:r>
      <w:r w:rsidRPr="005A4A1F">
        <w:rPr>
          <w:rFonts w:cs="Calibri"/>
          <w:szCs w:val="18"/>
          <w:lang w:eastAsia="en-US"/>
        </w:rPr>
        <w:t xml:space="preserve"> vpusť.</w:t>
      </w:r>
    </w:p>
    <w:p w14:paraId="4984A54A" w14:textId="4D7CCF0F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  <w:r w:rsidR="00BC4A1C">
        <w:rPr>
          <w:rFonts w:cs="Calibri"/>
          <w:szCs w:val="18"/>
          <w:lang w:eastAsia="en-US"/>
        </w:rPr>
        <w:t>, odst. 6.1</w:t>
      </w:r>
    </w:p>
    <w:p w14:paraId="11543B61" w14:textId="70DB17F0" w:rsidR="00AA3A3F" w:rsidRPr="00BC4A1C" w:rsidRDefault="00AA3A3F" w:rsidP="00BC4A1C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BC4A1C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BC4A1C">
        <w:rPr>
          <w:rFonts w:cs="Calibri"/>
          <w:szCs w:val="18"/>
          <w:lang w:eastAsia="en-US"/>
        </w:rPr>
        <w:t xml:space="preserve"> novým textem</w:t>
      </w:r>
      <w:r w:rsidRPr="00BC4A1C">
        <w:rPr>
          <w:rFonts w:cs="Calibri"/>
          <w:szCs w:val="18"/>
          <w:lang w:eastAsia="en-US"/>
        </w:rPr>
        <w:t>:</w:t>
      </w:r>
    </w:p>
    <w:p w14:paraId="186300BE" w14:textId="032BEB76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B16ECB" w:rsidRPr="00B16ECB">
        <w:rPr>
          <w:rFonts w:cs="Calibri"/>
          <w:szCs w:val="18"/>
          <w:lang w:eastAsia="en-US"/>
        </w:rPr>
        <w:t xml:space="preserve">37 225 357,86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210A6EAB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B16ECB" w:rsidRPr="00B16ECB">
        <w:rPr>
          <w:rFonts w:cs="Calibri"/>
          <w:szCs w:val="18"/>
          <w:lang w:eastAsia="en-US"/>
        </w:rPr>
        <w:t>7 817 325</w:t>
      </w:r>
      <w:r w:rsidR="0083260B" w:rsidRPr="0083260B">
        <w:rPr>
          <w:rFonts w:cs="Calibri"/>
          <w:szCs w:val="18"/>
          <w:lang w:eastAsia="en-US"/>
        </w:rPr>
        <w:t>,1</w:t>
      </w:r>
      <w:r w:rsidR="00B16ECB">
        <w:rPr>
          <w:rFonts w:cs="Calibri"/>
          <w:szCs w:val="18"/>
          <w:lang w:eastAsia="en-US"/>
        </w:rPr>
        <w:t>5</w:t>
      </w:r>
      <w:r w:rsidR="0083260B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360DEDDC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83260B" w:rsidRPr="0083260B">
        <w:rPr>
          <w:rFonts w:cs="Calibri"/>
          <w:szCs w:val="18"/>
          <w:lang w:eastAsia="en-US"/>
        </w:rPr>
        <w:t xml:space="preserve">45 </w:t>
      </w:r>
      <w:r w:rsidR="00B16ECB">
        <w:rPr>
          <w:rFonts w:cs="Calibri"/>
          <w:szCs w:val="18"/>
          <w:lang w:eastAsia="en-US"/>
        </w:rPr>
        <w:t>042</w:t>
      </w:r>
      <w:r w:rsidR="0083260B" w:rsidRPr="0083260B">
        <w:rPr>
          <w:rFonts w:cs="Calibri"/>
          <w:szCs w:val="18"/>
          <w:lang w:eastAsia="en-US"/>
        </w:rPr>
        <w:t xml:space="preserve"> </w:t>
      </w:r>
      <w:r w:rsidR="00B16ECB">
        <w:rPr>
          <w:rFonts w:cs="Calibri"/>
          <w:szCs w:val="18"/>
          <w:lang w:eastAsia="en-US"/>
        </w:rPr>
        <w:t>683</w:t>
      </w:r>
      <w:r w:rsidR="0083260B" w:rsidRPr="0083260B">
        <w:rPr>
          <w:rFonts w:cs="Calibri"/>
          <w:szCs w:val="18"/>
          <w:lang w:eastAsia="en-US"/>
        </w:rPr>
        <w:t>,</w:t>
      </w:r>
      <w:r w:rsidR="00B16ECB">
        <w:rPr>
          <w:rFonts w:cs="Calibri"/>
          <w:szCs w:val="18"/>
          <w:lang w:eastAsia="en-US"/>
        </w:rPr>
        <w:t>01</w:t>
      </w:r>
      <w:r w:rsidR="0083260B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0DDFE51F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83260B">
        <w:rPr>
          <w:rFonts w:cs="Calibri"/>
          <w:szCs w:val="18"/>
          <w:lang w:eastAsia="en-US"/>
        </w:rPr>
        <w:t>čtyřicet pět</w:t>
      </w:r>
      <w:r w:rsidR="00DF77CF">
        <w:rPr>
          <w:rFonts w:cs="Calibri"/>
          <w:szCs w:val="18"/>
          <w:lang w:eastAsia="en-US"/>
        </w:rPr>
        <w:t xml:space="preserve"> milionů </w:t>
      </w:r>
      <w:r w:rsidR="00B16ECB">
        <w:rPr>
          <w:rFonts w:cs="Calibri"/>
          <w:szCs w:val="18"/>
          <w:lang w:eastAsia="en-US"/>
        </w:rPr>
        <w:t>čtyřicet dva</w:t>
      </w:r>
      <w:r w:rsidR="00DF77CF">
        <w:rPr>
          <w:rFonts w:cs="Calibri"/>
          <w:szCs w:val="18"/>
          <w:lang w:eastAsia="en-US"/>
        </w:rPr>
        <w:t xml:space="preserve"> tisíc</w:t>
      </w:r>
      <w:r w:rsidR="00B16ECB">
        <w:rPr>
          <w:rFonts w:cs="Calibri"/>
          <w:szCs w:val="18"/>
          <w:lang w:eastAsia="en-US"/>
        </w:rPr>
        <w:t>e</w:t>
      </w:r>
      <w:r w:rsidR="002B5190">
        <w:rPr>
          <w:rFonts w:cs="Calibri"/>
          <w:szCs w:val="18"/>
          <w:lang w:eastAsia="en-US"/>
        </w:rPr>
        <w:t xml:space="preserve"> </w:t>
      </w:r>
      <w:r w:rsidR="00B16ECB">
        <w:rPr>
          <w:rFonts w:cs="Calibri"/>
          <w:szCs w:val="18"/>
          <w:lang w:eastAsia="en-US"/>
        </w:rPr>
        <w:t>šest</w:t>
      </w:r>
      <w:r w:rsidR="0083260B">
        <w:rPr>
          <w:rFonts w:cs="Calibri"/>
          <w:szCs w:val="18"/>
          <w:lang w:eastAsia="en-US"/>
        </w:rPr>
        <w:t xml:space="preserve"> set </w:t>
      </w:r>
      <w:r w:rsidR="00B16ECB">
        <w:rPr>
          <w:rFonts w:cs="Calibri"/>
          <w:szCs w:val="18"/>
          <w:lang w:eastAsia="en-US"/>
        </w:rPr>
        <w:t>osmdesát tři</w:t>
      </w:r>
      <w:r w:rsidR="00DF77CF">
        <w:rPr>
          <w:rFonts w:cs="Calibri"/>
          <w:szCs w:val="18"/>
          <w:lang w:eastAsia="en-US"/>
        </w:rPr>
        <w:t xml:space="preserve"> korun</w:t>
      </w:r>
      <w:r w:rsidR="00B16ECB">
        <w:rPr>
          <w:rFonts w:cs="Calibri"/>
          <w:szCs w:val="18"/>
          <w:lang w:eastAsia="en-US"/>
        </w:rPr>
        <w:t>y</w:t>
      </w:r>
      <w:r w:rsidR="00DF77CF">
        <w:rPr>
          <w:rFonts w:cs="Calibri"/>
          <w:szCs w:val="18"/>
          <w:lang w:eastAsia="en-US"/>
        </w:rPr>
        <w:t xml:space="preserve"> česk</w:t>
      </w:r>
      <w:r w:rsidR="00B16ECB">
        <w:rPr>
          <w:rFonts w:cs="Calibri"/>
          <w:szCs w:val="18"/>
          <w:lang w:eastAsia="en-US"/>
        </w:rPr>
        <w:t>é</w:t>
      </w:r>
      <w:r w:rsidR="00DF77CF">
        <w:rPr>
          <w:rFonts w:cs="Calibri"/>
          <w:szCs w:val="18"/>
          <w:lang w:eastAsia="en-US"/>
        </w:rPr>
        <w:t xml:space="preserve">, </w:t>
      </w:r>
      <w:r w:rsidR="00B16ECB">
        <w:rPr>
          <w:rFonts w:cs="Calibri"/>
          <w:szCs w:val="18"/>
          <w:lang w:eastAsia="en-US"/>
        </w:rPr>
        <w:t>01</w:t>
      </w:r>
      <w:r w:rsidR="00DF77CF">
        <w:rPr>
          <w:rFonts w:cs="Calibri"/>
          <w:szCs w:val="18"/>
          <w:lang w:eastAsia="en-US"/>
        </w:rPr>
        <w:t>/100)</w:t>
      </w:r>
    </w:p>
    <w:p w14:paraId="333A49B0" w14:textId="5C18FD1A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B55B19">
        <w:rPr>
          <w:rFonts w:cs="Calibri"/>
          <w:szCs w:val="18"/>
          <w:lang w:eastAsia="en-US"/>
        </w:rPr>
        <w:t>č. 2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3FC796A7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73718A3F" w:rsidR="00DD3DB2" w:rsidRPr="00D63B33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3" w:name="_Hlk524414502"/>
      <w:r w:rsidRPr="00D63B33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63B33">
          <w:rPr>
            <w:rFonts w:ascii="Calibri" w:hAnsi="Calibri" w:cs="Calibri"/>
            <w:sz w:val="18"/>
            <w:szCs w:val="18"/>
          </w:rPr>
          <w:t>1 a</w:t>
        </w:r>
      </w:smartTag>
      <w:r w:rsidRPr="00D63B33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B55B19">
        <w:rPr>
          <w:rFonts w:ascii="Calibri" w:hAnsi="Calibri" w:cs="Calibri"/>
          <w:sz w:val="18"/>
          <w:szCs w:val="18"/>
        </w:rPr>
        <w:t>č. 2</w:t>
      </w:r>
      <w:r w:rsidRPr="00D63B33">
        <w:rPr>
          <w:rFonts w:ascii="Calibri" w:hAnsi="Calibri" w:cs="Calibri"/>
          <w:sz w:val="18"/>
          <w:szCs w:val="18"/>
        </w:rPr>
        <w:t xml:space="preserve">.01 – </w:t>
      </w:r>
      <w:r w:rsidR="00B55B19">
        <w:rPr>
          <w:rFonts w:ascii="Calibri" w:hAnsi="Calibri" w:cs="Calibri"/>
          <w:sz w:val="18"/>
          <w:szCs w:val="18"/>
        </w:rPr>
        <w:t>2.</w:t>
      </w:r>
      <w:r w:rsidR="00D63B33" w:rsidRPr="00D63B33">
        <w:rPr>
          <w:rFonts w:ascii="Calibri" w:hAnsi="Calibri" w:cs="Calibri"/>
          <w:sz w:val="18"/>
          <w:szCs w:val="18"/>
        </w:rPr>
        <w:t>0</w:t>
      </w:r>
      <w:r w:rsidR="005A4A1F">
        <w:rPr>
          <w:rFonts w:ascii="Calibri" w:hAnsi="Calibri" w:cs="Calibri"/>
          <w:sz w:val="18"/>
          <w:szCs w:val="18"/>
        </w:rPr>
        <w:t>2</w:t>
      </w:r>
      <w:r w:rsidRPr="00D63B33">
        <w:rPr>
          <w:rFonts w:ascii="Calibri" w:hAnsi="Calibri" w:cs="Calibri"/>
          <w:sz w:val="18"/>
          <w:szCs w:val="18"/>
        </w:rPr>
        <w:t xml:space="preserve">. </w:t>
      </w:r>
    </w:p>
    <w:p w14:paraId="761D8529" w14:textId="48E981DB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B55B19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stranami.</w:t>
      </w:r>
    </w:p>
    <w:p w14:paraId="658A74D2" w14:textId="4D87BA1A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B55B19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B55B19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B55B19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58DBE2C3" w14:textId="77777777" w:rsidR="008B7BC6" w:rsidRDefault="008B7BC6" w:rsidP="008B7BC6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CD35B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CD35BF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CD35BF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CD35BF">
        <w:rPr>
          <w:rFonts w:ascii="Calibri" w:hAnsi="Calibri" w:cs="Calibri"/>
          <w:sz w:val="18"/>
          <w:szCs w:val="18"/>
        </w:rPr>
        <w:t xml:space="preserve"> elektronický originál. Je-li </w:t>
      </w:r>
      <w:r>
        <w:rPr>
          <w:rFonts w:ascii="Calibri" w:hAnsi="Calibri" w:cs="Calibri"/>
          <w:sz w:val="18"/>
          <w:szCs w:val="18"/>
        </w:rPr>
        <w:t>dodatek</w:t>
      </w:r>
      <w:r w:rsidRPr="00CD35BF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ohot</w:t>
      </w:r>
      <w:r w:rsidRPr="00CD35BF">
        <w:rPr>
          <w:rFonts w:ascii="Calibri" w:hAnsi="Calibri" w:cs="Calibri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>dodatku</w:t>
      </w:r>
      <w:r w:rsidRPr="00CD35BF">
        <w:rPr>
          <w:rFonts w:ascii="Calibri" w:hAnsi="Calibri" w:cs="Calibri"/>
          <w:sz w:val="18"/>
          <w:szCs w:val="18"/>
        </w:rPr>
        <w:t>.</w:t>
      </w:r>
    </w:p>
    <w:tbl>
      <w:tblPr>
        <w:tblStyle w:val="Mkatabul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787E64" w:rsidRPr="00ED48A6" w14:paraId="7372FA70" w14:textId="77777777" w:rsidTr="007663F1">
        <w:trPr>
          <w:trHeight w:val="314"/>
        </w:trPr>
        <w:tc>
          <w:tcPr>
            <w:tcW w:w="4553" w:type="dxa"/>
          </w:tcPr>
          <w:bookmarkEnd w:id="3"/>
          <w:p w14:paraId="39E4083E" w14:textId="53FDC05E" w:rsidR="00787E64" w:rsidRDefault="00216CEE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20.04.2026</w:t>
            </w:r>
          </w:p>
          <w:p w14:paraId="7FF1CEA7" w14:textId="77777777" w:rsidR="005A4A1F" w:rsidRDefault="005A4A1F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  <w:p w14:paraId="2F478E37" w14:textId="43261F97" w:rsidR="005A4A1F" w:rsidRPr="00ED48A6" w:rsidRDefault="005A4A1F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12DE3763" w14:textId="032AC8B5" w:rsidR="00787E64" w:rsidRDefault="00216CE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20.04.2026</w:t>
            </w:r>
          </w:p>
          <w:p w14:paraId="67278DAC" w14:textId="7A91E782" w:rsidR="005A4A1F" w:rsidRPr="00ED48A6" w:rsidRDefault="005A4A1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663F1">
        <w:trPr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D63B33" w:rsidRPr="00ED48A6" w14:paraId="0C07CC1C" w14:textId="77777777" w:rsidTr="007663F1">
        <w:trPr>
          <w:trHeight w:val="314"/>
        </w:trPr>
        <w:tc>
          <w:tcPr>
            <w:tcW w:w="4553" w:type="dxa"/>
            <w:hideMark/>
          </w:tcPr>
          <w:p w14:paraId="3EE8F000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94BF949" w14:textId="77777777" w:rsidR="00D63B33" w:rsidRPr="00ED48A6" w:rsidRDefault="00D63B33" w:rsidP="00147D3D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42A70B5C" w14:textId="77777777" w:rsidR="00D63B33" w:rsidRPr="00ED48A6" w:rsidRDefault="00D63B33" w:rsidP="00147D3D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1D6B97D9" w14:textId="77777777" w:rsidR="00D63B33" w:rsidRPr="00ED48A6" w:rsidRDefault="00D63B33" w:rsidP="00147D3D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43AD27FD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64E3EBAD" w14:textId="77777777" w:rsidR="00D63B33" w:rsidRPr="00152522" w:rsidRDefault="00D63B33" w:rsidP="00147D3D">
            <w:pPr>
              <w:rPr>
                <w:b/>
              </w:rPr>
            </w:pPr>
            <w:r>
              <w:rPr>
                <w:b/>
              </w:rPr>
              <w:t>SMO a. s.</w:t>
            </w:r>
          </w:p>
          <w:p w14:paraId="2E31C1D2" w14:textId="77777777" w:rsidR="00DE6BC0" w:rsidRDefault="00D63B33" w:rsidP="00147D3D">
            <w:pPr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Michal Dlabač, člen správní rady</w:t>
            </w:r>
          </w:p>
          <w:p w14:paraId="16D532BA" w14:textId="7DD63E47" w:rsidR="00DE6BC0" w:rsidRPr="00D84FF0" w:rsidRDefault="00DE6BC0" w:rsidP="0083260B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</w:tbl>
    <w:p w14:paraId="2081D14F" w14:textId="17470DAD" w:rsidR="00C17F25" w:rsidRPr="00ED48A6" w:rsidRDefault="00C17F25" w:rsidP="00261EAC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51F6" w14:textId="77777777" w:rsidR="00AE5860" w:rsidRDefault="00AE5860" w:rsidP="00F20287">
      <w:r>
        <w:separator/>
      </w:r>
    </w:p>
  </w:endnote>
  <w:endnote w:type="continuationSeparator" w:id="0">
    <w:p w14:paraId="6AACEEAA" w14:textId="77777777" w:rsidR="00AE5860" w:rsidRDefault="00AE5860" w:rsidP="00F20287">
      <w:r>
        <w:continuationSeparator/>
      </w:r>
    </w:p>
  </w:endnote>
  <w:endnote w:type="continuationNotice" w:id="1">
    <w:p w14:paraId="2985513F" w14:textId="77777777" w:rsidR="00AE5860" w:rsidRDefault="00AE5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EDFE" w14:textId="77777777" w:rsidR="00AE5860" w:rsidRDefault="00AE5860" w:rsidP="00F20287">
      <w:r>
        <w:separator/>
      </w:r>
    </w:p>
  </w:footnote>
  <w:footnote w:type="continuationSeparator" w:id="0">
    <w:p w14:paraId="717E58F2" w14:textId="77777777" w:rsidR="00AE5860" w:rsidRDefault="00AE5860" w:rsidP="00F20287">
      <w:r>
        <w:continuationSeparator/>
      </w:r>
    </w:p>
  </w:footnote>
  <w:footnote w:type="continuationNotice" w:id="1">
    <w:p w14:paraId="5320EBEC" w14:textId="77777777" w:rsidR="00AE5860" w:rsidRDefault="00AE5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3CF" w14:textId="77777777" w:rsidR="00326E03" w:rsidRDefault="00326E03" w:rsidP="00326E03">
    <w:pPr>
      <w:pStyle w:val="Zhlav"/>
      <w:jc w:val="right"/>
    </w:pPr>
    <w:r>
      <w:t>Ředitelství silnic Zlínského kraje, příspěvková organizace</w:t>
    </w:r>
  </w:p>
  <w:p w14:paraId="5485F7C4" w14:textId="77777777" w:rsidR="00326E03" w:rsidRDefault="00326E03" w:rsidP="00326E03">
    <w:pPr>
      <w:pStyle w:val="Zhlav"/>
      <w:jc w:val="right"/>
    </w:pPr>
    <w:r>
      <w:t>K Majáku 5001, 760 01 Zlín, IČO: 70934860</w:t>
    </w:r>
  </w:p>
  <w:p w14:paraId="32E9D609" w14:textId="77777777" w:rsidR="002C18F6" w:rsidRPr="00326E03" w:rsidRDefault="002C18F6" w:rsidP="0032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DF50754"/>
    <w:multiLevelType w:val="hybridMultilevel"/>
    <w:tmpl w:val="36A857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03B"/>
    <w:multiLevelType w:val="hybridMultilevel"/>
    <w:tmpl w:val="B728E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4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597D82"/>
    <w:multiLevelType w:val="multilevel"/>
    <w:tmpl w:val="F4B440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13231B"/>
    <w:multiLevelType w:val="hybridMultilevel"/>
    <w:tmpl w:val="BCD26412"/>
    <w:lvl w:ilvl="0" w:tplc="6F5C908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A4672"/>
    <w:multiLevelType w:val="multilevel"/>
    <w:tmpl w:val="7932D5A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6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9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70734457"/>
    <w:multiLevelType w:val="multilevel"/>
    <w:tmpl w:val="081090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CD6DA5"/>
    <w:multiLevelType w:val="multilevel"/>
    <w:tmpl w:val="3D88FA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10"/>
  </w:num>
  <w:num w:numId="3" w16cid:durableId="106514294">
    <w:abstractNumId w:val="13"/>
  </w:num>
  <w:num w:numId="4" w16cid:durableId="2058043574">
    <w:abstractNumId w:val="5"/>
  </w:num>
  <w:num w:numId="5" w16cid:durableId="1033454669">
    <w:abstractNumId w:val="4"/>
  </w:num>
  <w:num w:numId="6" w16cid:durableId="34501551">
    <w:abstractNumId w:val="9"/>
  </w:num>
  <w:num w:numId="7" w16cid:durableId="777525223">
    <w:abstractNumId w:val="0"/>
  </w:num>
  <w:num w:numId="8" w16cid:durableId="1129977168">
    <w:abstractNumId w:val="8"/>
  </w:num>
  <w:num w:numId="9" w16cid:durableId="1855027718">
    <w:abstractNumId w:val="1"/>
  </w:num>
  <w:num w:numId="10" w16cid:durableId="1255475299">
    <w:abstractNumId w:val="7"/>
  </w:num>
  <w:num w:numId="11" w16cid:durableId="623191650">
    <w:abstractNumId w:val="2"/>
  </w:num>
  <w:num w:numId="12" w16cid:durableId="17436147">
    <w:abstractNumId w:val="6"/>
  </w:num>
  <w:num w:numId="13" w16cid:durableId="2079474847">
    <w:abstractNumId w:val="12"/>
  </w:num>
  <w:num w:numId="14" w16cid:durableId="203105677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49C"/>
    <w:rsid w:val="00000625"/>
    <w:rsid w:val="00000C35"/>
    <w:rsid w:val="00001041"/>
    <w:rsid w:val="000046F3"/>
    <w:rsid w:val="00005EDE"/>
    <w:rsid w:val="000107AC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6E6F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A8D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14C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1F6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495C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6CEE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1EAC"/>
    <w:rsid w:val="002643B6"/>
    <w:rsid w:val="0026546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5BB6"/>
    <w:rsid w:val="00276619"/>
    <w:rsid w:val="002778DE"/>
    <w:rsid w:val="00282987"/>
    <w:rsid w:val="002829B2"/>
    <w:rsid w:val="00282D66"/>
    <w:rsid w:val="00282F66"/>
    <w:rsid w:val="002830A2"/>
    <w:rsid w:val="00284062"/>
    <w:rsid w:val="0028446F"/>
    <w:rsid w:val="00285661"/>
    <w:rsid w:val="00285873"/>
    <w:rsid w:val="002874E8"/>
    <w:rsid w:val="002940D6"/>
    <w:rsid w:val="002962E0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5190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061A"/>
    <w:rsid w:val="002F3A43"/>
    <w:rsid w:val="002F48F6"/>
    <w:rsid w:val="002F6706"/>
    <w:rsid w:val="002F6EFD"/>
    <w:rsid w:val="002F7FBE"/>
    <w:rsid w:val="00300E7F"/>
    <w:rsid w:val="00302C45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6E03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127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2EC"/>
    <w:rsid w:val="004B45B3"/>
    <w:rsid w:val="004B4628"/>
    <w:rsid w:val="004B51DC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3EBD"/>
    <w:rsid w:val="005A4A1F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5061"/>
    <w:rsid w:val="005C6C56"/>
    <w:rsid w:val="005C7F78"/>
    <w:rsid w:val="005D1FFD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DE5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637B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00CB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4C73"/>
    <w:rsid w:val="00755927"/>
    <w:rsid w:val="00756029"/>
    <w:rsid w:val="00756525"/>
    <w:rsid w:val="00763E01"/>
    <w:rsid w:val="007647AC"/>
    <w:rsid w:val="00766138"/>
    <w:rsid w:val="007663F1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53D4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1DA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29A8"/>
    <w:rsid w:val="007F355B"/>
    <w:rsid w:val="007F390A"/>
    <w:rsid w:val="007F4483"/>
    <w:rsid w:val="007F4752"/>
    <w:rsid w:val="008013CE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4BC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260B"/>
    <w:rsid w:val="0083568A"/>
    <w:rsid w:val="00840604"/>
    <w:rsid w:val="00840F3A"/>
    <w:rsid w:val="00842D3E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45FB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B7BC6"/>
    <w:rsid w:val="008C06C7"/>
    <w:rsid w:val="008C2F82"/>
    <w:rsid w:val="008C483E"/>
    <w:rsid w:val="008C5D72"/>
    <w:rsid w:val="008C62C3"/>
    <w:rsid w:val="008D2639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58E8"/>
    <w:rsid w:val="008E711A"/>
    <w:rsid w:val="008E7792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12D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2F78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981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166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B90"/>
    <w:rsid w:val="00AB7DD6"/>
    <w:rsid w:val="00AC4159"/>
    <w:rsid w:val="00AC4BEF"/>
    <w:rsid w:val="00AC595F"/>
    <w:rsid w:val="00AC600E"/>
    <w:rsid w:val="00AC626E"/>
    <w:rsid w:val="00AC6DEC"/>
    <w:rsid w:val="00AC7B4A"/>
    <w:rsid w:val="00AD06C9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860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6ECB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35E13"/>
    <w:rsid w:val="00B40537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5B19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0F68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4A1C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CD9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079F"/>
    <w:rsid w:val="00C812F5"/>
    <w:rsid w:val="00C81D56"/>
    <w:rsid w:val="00C84557"/>
    <w:rsid w:val="00C85385"/>
    <w:rsid w:val="00C853D7"/>
    <w:rsid w:val="00C875AD"/>
    <w:rsid w:val="00C90B9B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CF7F0D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3B33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6CD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6BC0"/>
    <w:rsid w:val="00DF041D"/>
    <w:rsid w:val="00DF0E84"/>
    <w:rsid w:val="00DF2003"/>
    <w:rsid w:val="00DF2842"/>
    <w:rsid w:val="00DF48E9"/>
    <w:rsid w:val="00DF4A54"/>
    <w:rsid w:val="00DF6DA3"/>
    <w:rsid w:val="00DF77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1F03"/>
    <w:rsid w:val="00E1575A"/>
    <w:rsid w:val="00E17499"/>
    <w:rsid w:val="00E20053"/>
    <w:rsid w:val="00E20655"/>
    <w:rsid w:val="00E2218E"/>
    <w:rsid w:val="00E2446C"/>
    <w:rsid w:val="00E253F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55BD5"/>
    <w:rsid w:val="00E60FB9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6F06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2404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5B71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DBA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884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ka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o@s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2025-12-04T09:12:00Z</cp:lastPrinted>
  <dcterms:created xsi:type="dcterms:W3CDTF">2026-04-21T09:50:00Z</dcterms:created>
  <dcterms:modified xsi:type="dcterms:W3CDTF">2026-04-21T09:50:00Z</dcterms:modified>
</cp:coreProperties>
</file>