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69BF" w14:textId="05BFE63F" w:rsidR="00335684" w:rsidRDefault="003865AB" w:rsidP="005F3E59">
      <w:pPr>
        <w:jc w:val="center"/>
      </w:pPr>
      <w:r w:rsidRPr="006368D9">
        <w:rPr>
          <w:noProof/>
        </w:rPr>
        <w:drawing>
          <wp:anchor distT="0" distB="0" distL="114300" distR="114300" simplePos="0" relativeHeight="251658240" behindDoc="0" locked="0" layoutInCell="1" allowOverlap="1" wp14:anchorId="04B5D6B4" wp14:editId="4EFA6EC3">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2DF0B729" w14:textId="77777777" w:rsidR="005F3E59" w:rsidRPr="006368D9" w:rsidRDefault="005F3E59" w:rsidP="005F3E59">
      <w:pPr>
        <w:jc w:val="center"/>
      </w:pPr>
    </w:p>
    <w:p w14:paraId="0FFEA9C5" w14:textId="77777777" w:rsidR="000E51F6" w:rsidRPr="006368D9" w:rsidRDefault="000E51F6" w:rsidP="00D7357B">
      <w:pPr>
        <w:pStyle w:val="Zkladntext32"/>
        <w:tabs>
          <w:tab w:val="left" w:pos="7740"/>
        </w:tabs>
        <w:spacing w:line="240" w:lineRule="auto"/>
        <w:rPr>
          <w:rFonts w:ascii="Koop Office" w:hAnsi="Koop Office" w:cs="Arial"/>
          <w:b/>
          <w:bCs/>
          <w:i/>
        </w:rPr>
      </w:pPr>
    </w:p>
    <w:p w14:paraId="37C394D4" w14:textId="77777777" w:rsidR="000E51F6" w:rsidRPr="006368D9" w:rsidRDefault="000E51F6" w:rsidP="00D7357B">
      <w:pPr>
        <w:pStyle w:val="Zkladntext32"/>
        <w:tabs>
          <w:tab w:val="left" w:pos="7740"/>
        </w:tabs>
        <w:spacing w:line="240" w:lineRule="auto"/>
        <w:rPr>
          <w:rFonts w:ascii="Koop Office" w:hAnsi="Koop Office" w:cs="Arial"/>
          <w:b/>
          <w:bCs/>
          <w:i/>
        </w:rPr>
      </w:pPr>
    </w:p>
    <w:p w14:paraId="65314D93" w14:textId="77777777" w:rsidR="000E51F6" w:rsidRPr="006368D9" w:rsidRDefault="000E51F6" w:rsidP="00D7357B">
      <w:pPr>
        <w:pStyle w:val="Zkladntext32"/>
        <w:tabs>
          <w:tab w:val="left" w:pos="7740"/>
        </w:tabs>
        <w:spacing w:line="240" w:lineRule="auto"/>
        <w:rPr>
          <w:rFonts w:ascii="Koop Office" w:hAnsi="Koop Office" w:cs="Arial"/>
          <w:b/>
          <w:bCs/>
          <w:i/>
        </w:rPr>
      </w:pPr>
    </w:p>
    <w:p w14:paraId="2F79E1F6" w14:textId="77777777" w:rsidR="000E51F6" w:rsidRPr="006368D9" w:rsidRDefault="000E51F6" w:rsidP="00D7357B">
      <w:pPr>
        <w:pStyle w:val="Zkladntext32"/>
        <w:tabs>
          <w:tab w:val="left" w:pos="7740"/>
        </w:tabs>
        <w:spacing w:line="240" w:lineRule="auto"/>
        <w:rPr>
          <w:rFonts w:ascii="Koop Office" w:hAnsi="Koop Office" w:cs="Arial"/>
          <w:b/>
          <w:bCs/>
          <w:i/>
        </w:rPr>
      </w:pPr>
    </w:p>
    <w:p w14:paraId="71DE60DF" w14:textId="77777777" w:rsidR="000E51F6" w:rsidRPr="006368D9" w:rsidRDefault="000E51F6" w:rsidP="00D7357B">
      <w:pPr>
        <w:pStyle w:val="Zkladntext32"/>
        <w:tabs>
          <w:tab w:val="left" w:pos="7740"/>
        </w:tabs>
        <w:spacing w:line="240" w:lineRule="auto"/>
        <w:rPr>
          <w:rFonts w:ascii="Koop Office" w:hAnsi="Koop Office" w:cs="Arial"/>
          <w:b/>
          <w:bCs/>
          <w:i/>
        </w:rPr>
      </w:pPr>
    </w:p>
    <w:p w14:paraId="7B37484A" w14:textId="77777777" w:rsidR="000E51F6" w:rsidRPr="006368D9" w:rsidRDefault="000E51F6" w:rsidP="00D7357B">
      <w:pPr>
        <w:pStyle w:val="Zkladntext32"/>
        <w:tabs>
          <w:tab w:val="left" w:pos="7740"/>
        </w:tabs>
        <w:spacing w:line="240" w:lineRule="auto"/>
        <w:rPr>
          <w:rFonts w:ascii="Koop Office" w:hAnsi="Koop Office" w:cs="Arial"/>
          <w:b/>
          <w:bCs/>
          <w:i/>
        </w:rPr>
      </w:pPr>
    </w:p>
    <w:p w14:paraId="12DD33B3" w14:textId="77777777" w:rsidR="00E647D9" w:rsidRPr="00E647D9" w:rsidRDefault="00C04539" w:rsidP="00E647D9">
      <w:pPr>
        <w:pStyle w:val="Zkladntext32"/>
        <w:spacing w:line="240" w:lineRule="auto"/>
        <w:jc w:val="right"/>
        <w:rPr>
          <w:rFonts w:ascii="Koop Office" w:hAnsi="Koop Office" w:cs="Arial"/>
          <w:b/>
          <w:bCs/>
          <w:i/>
        </w:rPr>
      </w:pPr>
      <w:r w:rsidRPr="006368D9">
        <w:rPr>
          <w:rFonts w:ascii="Koop Office" w:hAnsi="Koop Office" w:cs="Arial"/>
          <w:b/>
          <w:bCs/>
          <w:i/>
        </w:rPr>
        <w:tab/>
      </w:r>
      <w:bookmarkStart w:id="0" w:name="Priloha_1"/>
      <w:bookmarkEnd w:id="0"/>
    </w:p>
    <w:p w14:paraId="4B151465" w14:textId="77777777" w:rsidR="00E647D9" w:rsidRDefault="00E647D9" w:rsidP="00E647D9">
      <w:pPr>
        <w:pStyle w:val="Zkladntext32"/>
        <w:tabs>
          <w:tab w:val="left" w:pos="7740"/>
        </w:tabs>
        <w:spacing w:line="240" w:lineRule="auto"/>
        <w:rPr>
          <w:rFonts w:ascii="Koop Office" w:hAnsi="Koop Office" w:cs="Arial"/>
          <w:b/>
          <w:bCs/>
          <w:i/>
        </w:rPr>
      </w:pPr>
    </w:p>
    <w:p w14:paraId="0DE1721A" w14:textId="77777777" w:rsidR="00A35B21" w:rsidRPr="00E647D9" w:rsidRDefault="00A35B21" w:rsidP="00E647D9">
      <w:pPr>
        <w:pStyle w:val="Zkladntext32"/>
        <w:tabs>
          <w:tab w:val="left" w:pos="7740"/>
        </w:tabs>
        <w:spacing w:line="240" w:lineRule="auto"/>
        <w:rPr>
          <w:rFonts w:ascii="Koop Office" w:hAnsi="Koop Office" w:cs="Arial"/>
          <w:b/>
          <w:bCs/>
          <w:i/>
        </w:rPr>
      </w:pPr>
    </w:p>
    <w:p w14:paraId="058B48E1" w14:textId="4D360591" w:rsidR="0086321A" w:rsidRPr="007E383D" w:rsidRDefault="0086321A" w:rsidP="0086321A">
      <w:pPr>
        <w:rPr>
          <w:rFonts w:cs="Arial"/>
          <w:b/>
          <w:sz w:val="32"/>
        </w:rPr>
      </w:pPr>
      <w:r w:rsidRPr="007E383D">
        <w:rPr>
          <w:rFonts w:cs="Arial"/>
          <w:b/>
          <w:sz w:val="32"/>
        </w:rPr>
        <w:t xml:space="preserve">Dodatek č. </w:t>
      </w:r>
      <w:r w:rsidR="005029A5" w:rsidRPr="007E383D">
        <w:rPr>
          <w:rFonts w:cs="Arial"/>
          <w:b/>
          <w:sz w:val="32"/>
        </w:rPr>
        <w:t>4</w:t>
      </w:r>
    </w:p>
    <w:p w14:paraId="4B77A220" w14:textId="77777777" w:rsidR="0086321A" w:rsidRPr="007E383D" w:rsidRDefault="0086321A" w:rsidP="0086321A">
      <w:pPr>
        <w:rPr>
          <w:rFonts w:cs="Arial"/>
          <w:b/>
          <w:sz w:val="32"/>
        </w:rPr>
      </w:pPr>
      <w:r w:rsidRPr="007E383D">
        <w:rPr>
          <w:rFonts w:cs="Arial"/>
          <w:b/>
          <w:sz w:val="32"/>
        </w:rPr>
        <w:t>k pojistné smlouvě č. 7721160512</w:t>
      </w:r>
    </w:p>
    <w:p w14:paraId="47937CEB" w14:textId="4A6C859F" w:rsidR="0086321A" w:rsidRPr="007E383D" w:rsidRDefault="0086321A" w:rsidP="0086321A">
      <w:pPr>
        <w:spacing w:before="120" w:after="480"/>
        <w:rPr>
          <w:rFonts w:cs="Arial"/>
        </w:rPr>
      </w:pPr>
    </w:p>
    <w:p w14:paraId="002C0E4E" w14:textId="77777777" w:rsidR="0086321A" w:rsidRPr="007E383D" w:rsidRDefault="0086321A" w:rsidP="0086321A">
      <w:pPr>
        <w:rPr>
          <w:rFonts w:cs="Arial"/>
          <w:b/>
          <w:spacing w:val="20"/>
          <w:sz w:val="32"/>
        </w:rPr>
      </w:pPr>
      <w:r w:rsidRPr="007E383D">
        <w:rPr>
          <w:rFonts w:cs="Arial"/>
          <w:b/>
          <w:spacing w:val="20"/>
          <w:sz w:val="32"/>
        </w:rPr>
        <w:t xml:space="preserve">Kooperativa pojišťovna, a.s., </w:t>
      </w:r>
      <w:proofErr w:type="spellStart"/>
      <w:r w:rsidRPr="007E383D">
        <w:rPr>
          <w:rFonts w:cs="Arial"/>
          <w:b/>
          <w:spacing w:val="20"/>
          <w:sz w:val="32"/>
        </w:rPr>
        <w:t>Vienna</w:t>
      </w:r>
      <w:proofErr w:type="spellEnd"/>
      <w:r w:rsidRPr="007E383D">
        <w:rPr>
          <w:rFonts w:cs="Arial"/>
          <w:b/>
          <w:spacing w:val="20"/>
          <w:sz w:val="32"/>
        </w:rPr>
        <w:t xml:space="preserve"> </w:t>
      </w:r>
      <w:proofErr w:type="spellStart"/>
      <w:r w:rsidRPr="007E383D">
        <w:rPr>
          <w:rFonts w:cs="Arial"/>
          <w:b/>
          <w:spacing w:val="20"/>
          <w:sz w:val="32"/>
        </w:rPr>
        <w:t>Insurance</w:t>
      </w:r>
      <w:proofErr w:type="spellEnd"/>
      <w:r w:rsidRPr="007E383D">
        <w:rPr>
          <w:rFonts w:cs="Arial"/>
          <w:b/>
          <w:spacing w:val="20"/>
          <w:sz w:val="32"/>
        </w:rPr>
        <w:t xml:space="preserve"> Group</w:t>
      </w:r>
    </w:p>
    <w:p w14:paraId="352D6C07" w14:textId="77777777" w:rsidR="0086321A" w:rsidRPr="007E383D" w:rsidRDefault="0086321A" w:rsidP="0086321A">
      <w:pPr>
        <w:rPr>
          <w:rFonts w:cs="Arial"/>
          <w:b/>
        </w:rPr>
      </w:pPr>
      <w:r w:rsidRPr="007E383D">
        <w:rPr>
          <w:rFonts w:cs="Arial"/>
          <w:b/>
        </w:rPr>
        <w:t xml:space="preserve">se sídlem Praha 8, Pobřežní 665/21, PSČ 186 00 </w:t>
      </w:r>
    </w:p>
    <w:p w14:paraId="2A960A09" w14:textId="77777777" w:rsidR="0086321A" w:rsidRPr="007E383D" w:rsidRDefault="0086321A" w:rsidP="0086321A">
      <w:pPr>
        <w:rPr>
          <w:rFonts w:cs="Arial"/>
          <w:b/>
        </w:rPr>
      </w:pPr>
      <w:r w:rsidRPr="007E383D">
        <w:rPr>
          <w:rFonts w:cs="Arial"/>
          <w:b/>
        </w:rPr>
        <w:t xml:space="preserve">IČO: 47116617 </w:t>
      </w:r>
    </w:p>
    <w:p w14:paraId="590BB3B0" w14:textId="77777777" w:rsidR="0086321A" w:rsidRPr="007E383D" w:rsidRDefault="0086321A" w:rsidP="0086321A">
      <w:pPr>
        <w:rPr>
          <w:rFonts w:cs="Arial"/>
          <w:sz w:val="20"/>
        </w:rPr>
      </w:pPr>
      <w:r w:rsidRPr="007E383D">
        <w:rPr>
          <w:rFonts w:cs="Arial"/>
          <w:sz w:val="20"/>
        </w:rPr>
        <w:t xml:space="preserve">zapsaná v obchodním rejstříku u Městského soudu v Praze, </w:t>
      </w:r>
      <w:proofErr w:type="spellStart"/>
      <w:r w:rsidRPr="007E383D">
        <w:rPr>
          <w:rFonts w:cs="Arial"/>
          <w:sz w:val="20"/>
        </w:rPr>
        <w:t>sp</w:t>
      </w:r>
      <w:proofErr w:type="spellEnd"/>
      <w:r w:rsidRPr="007E383D">
        <w:rPr>
          <w:rFonts w:cs="Arial"/>
          <w:sz w:val="20"/>
        </w:rPr>
        <w:t>. zn. B 1897</w:t>
      </w:r>
    </w:p>
    <w:p w14:paraId="30F95E86" w14:textId="77777777" w:rsidR="0086321A" w:rsidRPr="007E383D" w:rsidRDefault="0086321A" w:rsidP="0086321A">
      <w:pPr>
        <w:rPr>
          <w:rFonts w:cs="Arial"/>
          <w:sz w:val="20"/>
        </w:rPr>
      </w:pPr>
      <w:r w:rsidRPr="007E383D">
        <w:rPr>
          <w:rFonts w:cs="Arial"/>
          <w:sz w:val="20"/>
        </w:rPr>
        <w:t>(dále jen „</w:t>
      </w:r>
      <w:r w:rsidRPr="007E383D">
        <w:rPr>
          <w:rFonts w:cs="Arial"/>
          <w:b/>
          <w:sz w:val="20"/>
        </w:rPr>
        <w:t>pojistitel</w:t>
      </w:r>
      <w:r w:rsidRPr="007E383D">
        <w:rPr>
          <w:rFonts w:cs="Arial"/>
          <w:sz w:val="20"/>
        </w:rPr>
        <w:t>“)</w:t>
      </w:r>
    </w:p>
    <w:p w14:paraId="1F7C0100" w14:textId="1BE05ED1" w:rsidR="003C0223" w:rsidRPr="007E383D" w:rsidRDefault="003C0223" w:rsidP="003C0223">
      <w:pPr>
        <w:tabs>
          <w:tab w:val="left" w:pos="1985"/>
        </w:tabs>
        <w:spacing w:line="240" w:lineRule="exact"/>
        <w:ind w:left="1985" w:hanging="1985"/>
        <w:jc w:val="both"/>
        <w:rPr>
          <w:rFonts w:cs="Arial"/>
          <w:sz w:val="20"/>
          <w:szCs w:val="20"/>
        </w:rPr>
      </w:pPr>
      <w:r w:rsidRPr="007E383D">
        <w:rPr>
          <w:rFonts w:cs="Arial"/>
          <w:sz w:val="20"/>
          <w:szCs w:val="20"/>
        </w:rPr>
        <w:t>kterého zastupují</w:t>
      </w:r>
      <w:r w:rsidRPr="007E383D">
        <w:rPr>
          <w:rFonts w:cs="Arial"/>
          <w:sz w:val="20"/>
          <w:szCs w:val="16"/>
        </w:rPr>
        <w:t>:</w:t>
      </w:r>
      <w:r w:rsidRPr="007E383D">
        <w:rPr>
          <w:rFonts w:cs="Arial"/>
          <w:sz w:val="20"/>
          <w:szCs w:val="20"/>
        </w:rPr>
        <w:t xml:space="preserve"> </w:t>
      </w:r>
      <w:r w:rsidRPr="007E383D">
        <w:rPr>
          <w:rFonts w:cs="Arial"/>
          <w:sz w:val="20"/>
          <w:szCs w:val="20"/>
        </w:rPr>
        <w:tab/>
      </w:r>
      <w:r w:rsidR="006E5BDA">
        <w:rPr>
          <w:rFonts w:cs="Arial"/>
          <w:sz w:val="20"/>
          <w:szCs w:val="20"/>
        </w:rPr>
        <w:t>XXXXXX</w:t>
      </w:r>
    </w:p>
    <w:p w14:paraId="733F1AE3" w14:textId="4531EF47" w:rsidR="003C0223" w:rsidRPr="007E383D" w:rsidRDefault="003C0223" w:rsidP="003C0223">
      <w:pPr>
        <w:tabs>
          <w:tab w:val="left" w:pos="1985"/>
        </w:tabs>
        <w:spacing w:line="240" w:lineRule="exact"/>
        <w:ind w:left="1985" w:hanging="1985"/>
        <w:jc w:val="both"/>
        <w:rPr>
          <w:rFonts w:cs="Arial"/>
          <w:sz w:val="20"/>
          <w:szCs w:val="20"/>
        </w:rPr>
      </w:pPr>
      <w:r w:rsidRPr="007E383D">
        <w:rPr>
          <w:rFonts w:cs="Arial"/>
          <w:sz w:val="20"/>
          <w:szCs w:val="20"/>
        </w:rPr>
        <w:tab/>
      </w:r>
      <w:r w:rsidR="006E5BDA">
        <w:rPr>
          <w:rFonts w:cs="Arial"/>
          <w:sz w:val="20"/>
          <w:szCs w:val="20"/>
        </w:rPr>
        <w:t>XXXXXX</w:t>
      </w:r>
    </w:p>
    <w:p w14:paraId="09068AB8" w14:textId="3F2C946E" w:rsidR="003C0223" w:rsidRPr="007E383D" w:rsidRDefault="003C0223" w:rsidP="0086321A">
      <w:pPr>
        <w:spacing w:before="20"/>
        <w:ind w:left="2410" w:hanging="2410"/>
        <w:rPr>
          <w:rFonts w:cs="Arial"/>
          <w:sz w:val="20"/>
          <w:szCs w:val="20"/>
        </w:rPr>
      </w:pPr>
    </w:p>
    <w:p w14:paraId="5B0457FC" w14:textId="77777777" w:rsidR="0086321A" w:rsidRPr="007E383D" w:rsidRDefault="0086321A" w:rsidP="0086321A">
      <w:pPr>
        <w:spacing w:before="20"/>
        <w:ind w:left="2410" w:hanging="2410"/>
        <w:rPr>
          <w:sz w:val="20"/>
          <w:szCs w:val="20"/>
        </w:rPr>
      </w:pPr>
      <w:r w:rsidRPr="007E383D">
        <w:rPr>
          <w:sz w:val="20"/>
          <w:szCs w:val="20"/>
        </w:rPr>
        <w:t xml:space="preserve">Pracoviště: Kooperativa pojišťovna, a.s., </w:t>
      </w:r>
      <w:proofErr w:type="spellStart"/>
      <w:r w:rsidRPr="007E383D">
        <w:rPr>
          <w:sz w:val="20"/>
          <w:szCs w:val="20"/>
        </w:rPr>
        <w:t>Vienna</w:t>
      </w:r>
      <w:proofErr w:type="spellEnd"/>
      <w:r w:rsidRPr="007E383D">
        <w:rPr>
          <w:sz w:val="20"/>
          <w:szCs w:val="20"/>
        </w:rPr>
        <w:t xml:space="preserve"> </w:t>
      </w:r>
      <w:proofErr w:type="spellStart"/>
      <w:r w:rsidRPr="007E383D">
        <w:rPr>
          <w:sz w:val="20"/>
          <w:szCs w:val="20"/>
        </w:rPr>
        <w:t>Insurance</w:t>
      </w:r>
      <w:proofErr w:type="spellEnd"/>
      <w:r w:rsidRPr="007E383D">
        <w:rPr>
          <w:sz w:val="20"/>
          <w:szCs w:val="20"/>
        </w:rPr>
        <w:t xml:space="preserve"> Group, Praha 8, Pobřežní 665/21, PSČ 186 00</w:t>
      </w:r>
    </w:p>
    <w:p w14:paraId="1486D318" w14:textId="77777777" w:rsidR="0086321A" w:rsidRPr="007E383D" w:rsidRDefault="0086321A" w:rsidP="0086321A">
      <w:pPr>
        <w:pStyle w:val="Zkladntext32"/>
        <w:tabs>
          <w:tab w:val="clear" w:pos="-720"/>
        </w:tabs>
        <w:spacing w:before="240" w:after="240" w:line="240" w:lineRule="auto"/>
        <w:rPr>
          <w:rFonts w:ascii="Koop Office" w:hAnsi="Koop Office" w:cs="Arial"/>
        </w:rPr>
      </w:pPr>
      <w:r w:rsidRPr="007E383D">
        <w:rPr>
          <w:rFonts w:ascii="Koop Office" w:hAnsi="Koop Office" w:cs="Arial"/>
        </w:rPr>
        <w:t>a</w:t>
      </w:r>
    </w:p>
    <w:p w14:paraId="135D0900" w14:textId="77777777" w:rsidR="0086321A" w:rsidRPr="007E383D" w:rsidRDefault="0086321A" w:rsidP="0086321A">
      <w:r w:rsidRPr="007E383D">
        <w:rPr>
          <w:b/>
          <w:sz w:val="32"/>
        </w:rPr>
        <w:t>Letiště Praha, a.s.</w:t>
      </w:r>
    </w:p>
    <w:p w14:paraId="732F1133" w14:textId="77777777" w:rsidR="0086321A" w:rsidRPr="007E383D" w:rsidRDefault="0086321A" w:rsidP="0086321A">
      <w:r w:rsidRPr="007E383D">
        <w:rPr>
          <w:b/>
        </w:rPr>
        <w:t>se sídlem K Letišti 1019/6, Ruzyně, 161 00 Praha 6, Česká republika</w:t>
      </w:r>
    </w:p>
    <w:p w14:paraId="6FB3C750" w14:textId="77777777" w:rsidR="0086321A" w:rsidRPr="007E383D" w:rsidRDefault="0086321A" w:rsidP="0086321A">
      <w:r w:rsidRPr="007E383D">
        <w:rPr>
          <w:b/>
        </w:rPr>
        <w:t>IČO:</w:t>
      </w:r>
      <w:r w:rsidRPr="007E383D">
        <w:t xml:space="preserve"> </w:t>
      </w:r>
      <w:r w:rsidRPr="007E383D">
        <w:rPr>
          <w:b/>
        </w:rPr>
        <w:t>282 44 532</w:t>
      </w:r>
      <w:r w:rsidRPr="007E383D">
        <w:t xml:space="preserve"> </w:t>
      </w:r>
    </w:p>
    <w:p w14:paraId="5EF23695" w14:textId="77777777" w:rsidR="0086321A" w:rsidRPr="007E383D" w:rsidRDefault="0086321A" w:rsidP="0086321A">
      <w:pPr>
        <w:rPr>
          <w:sz w:val="20"/>
          <w:szCs w:val="20"/>
        </w:rPr>
      </w:pPr>
      <w:r w:rsidRPr="007E383D">
        <w:rPr>
          <w:sz w:val="20"/>
          <w:szCs w:val="20"/>
        </w:rPr>
        <w:t xml:space="preserve">zapsaná v obchodním rejstříku u Městského soudu v Praze, </w:t>
      </w:r>
      <w:proofErr w:type="spellStart"/>
      <w:r w:rsidRPr="007E383D">
        <w:rPr>
          <w:sz w:val="20"/>
          <w:szCs w:val="20"/>
        </w:rPr>
        <w:t>sp</w:t>
      </w:r>
      <w:proofErr w:type="spellEnd"/>
      <w:r w:rsidRPr="007E383D">
        <w:rPr>
          <w:sz w:val="20"/>
          <w:szCs w:val="20"/>
        </w:rPr>
        <w:t>. zn. B 14003</w:t>
      </w:r>
    </w:p>
    <w:p w14:paraId="0D24C8F9" w14:textId="77777777" w:rsidR="0086321A" w:rsidRPr="007E383D" w:rsidRDefault="0086321A" w:rsidP="0086321A">
      <w:pPr>
        <w:rPr>
          <w:sz w:val="20"/>
          <w:szCs w:val="20"/>
        </w:rPr>
      </w:pPr>
      <w:r w:rsidRPr="007E383D">
        <w:rPr>
          <w:sz w:val="20"/>
          <w:szCs w:val="20"/>
        </w:rPr>
        <w:t>(dále jen „</w:t>
      </w:r>
      <w:r w:rsidRPr="007E383D">
        <w:rPr>
          <w:b/>
          <w:sz w:val="20"/>
          <w:szCs w:val="20"/>
        </w:rPr>
        <w:t>pojistník</w:t>
      </w:r>
      <w:r w:rsidRPr="007E383D">
        <w:rPr>
          <w:sz w:val="20"/>
          <w:szCs w:val="20"/>
        </w:rPr>
        <w:t>“)</w:t>
      </w:r>
    </w:p>
    <w:p w14:paraId="573EBFF0" w14:textId="61F493BB" w:rsidR="0086321A" w:rsidRPr="007E383D" w:rsidRDefault="0086321A" w:rsidP="0086321A">
      <w:pPr>
        <w:tabs>
          <w:tab w:val="left" w:pos="2410"/>
        </w:tabs>
        <w:rPr>
          <w:rFonts w:cs="Arial"/>
          <w:sz w:val="20"/>
        </w:rPr>
      </w:pPr>
      <w:r w:rsidRPr="007E383D">
        <w:rPr>
          <w:rFonts w:cs="Arial"/>
          <w:sz w:val="20"/>
          <w:szCs w:val="20"/>
        </w:rPr>
        <w:t>kterého zastupují</w:t>
      </w:r>
      <w:r w:rsidRPr="007E383D">
        <w:rPr>
          <w:rFonts w:cs="Arial"/>
          <w:sz w:val="20"/>
        </w:rPr>
        <w:t>:</w:t>
      </w:r>
      <w:r w:rsidRPr="007E383D">
        <w:rPr>
          <w:rFonts w:cs="Arial"/>
          <w:sz w:val="20"/>
        </w:rPr>
        <w:tab/>
      </w:r>
      <w:r w:rsidR="006E5BDA">
        <w:rPr>
          <w:rFonts w:cs="Arial"/>
          <w:sz w:val="20"/>
        </w:rPr>
        <w:t>XXXXXX</w:t>
      </w:r>
    </w:p>
    <w:p w14:paraId="1D563EF8" w14:textId="172EDD0F" w:rsidR="0086321A" w:rsidRPr="007E383D" w:rsidRDefault="006E5BDA" w:rsidP="0086321A">
      <w:pPr>
        <w:ind w:left="2410" w:firstLine="3"/>
        <w:rPr>
          <w:rFonts w:cs="Arial"/>
          <w:sz w:val="20"/>
        </w:rPr>
      </w:pPr>
      <w:r>
        <w:rPr>
          <w:rFonts w:cs="Arial"/>
          <w:sz w:val="20"/>
        </w:rPr>
        <w:t>XXXXXX</w:t>
      </w:r>
    </w:p>
    <w:p w14:paraId="10BA6F56" w14:textId="77777777" w:rsidR="0086321A" w:rsidRPr="007E383D" w:rsidRDefault="0086321A" w:rsidP="00231969">
      <w:pPr>
        <w:spacing w:before="120"/>
        <w:rPr>
          <w:rFonts w:cs="Arial"/>
          <w:sz w:val="20"/>
          <w:u w:val="single"/>
        </w:rPr>
      </w:pPr>
      <w:r w:rsidRPr="007E383D">
        <w:rPr>
          <w:rFonts w:cs="Arial"/>
          <w:bCs/>
          <w:sz w:val="20"/>
        </w:rPr>
        <w:t>Korespondenční adresa pojistníka je totožná s výše uvedenou adresou pojistníka.</w:t>
      </w:r>
    </w:p>
    <w:p w14:paraId="0486613D" w14:textId="77777777" w:rsidR="0067242E" w:rsidRPr="007E383D" w:rsidRDefault="0067242E" w:rsidP="0067242E">
      <w:pPr>
        <w:spacing w:before="20"/>
        <w:rPr>
          <w:rFonts w:cs="Arial"/>
          <w:bCs/>
          <w:sz w:val="20"/>
        </w:rPr>
      </w:pPr>
    </w:p>
    <w:p w14:paraId="4F65E22F" w14:textId="77777777" w:rsidR="0067242E" w:rsidRPr="007E383D" w:rsidRDefault="0067242E" w:rsidP="0067242E">
      <w:pPr>
        <w:spacing w:before="20"/>
        <w:rPr>
          <w:rFonts w:cs="Arial"/>
          <w:bCs/>
          <w:sz w:val="20"/>
        </w:rPr>
      </w:pPr>
    </w:p>
    <w:p w14:paraId="31081383" w14:textId="324D0281" w:rsidR="0067242E" w:rsidRPr="007E383D" w:rsidRDefault="0067242E" w:rsidP="0067242E">
      <w:pPr>
        <w:spacing w:before="20"/>
        <w:rPr>
          <w:rFonts w:cs="Arial"/>
          <w:bCs/>
          <w:sz w:val="20"/>
        </w:rPr>
      </w:pPr>
      <w:r w:rsidRPr="007E383D">
        <w:rPr>
          <w:rFonts w:cs="Arial"/>
          <w:bCs/>
          <w:sz w:val="20"/>
        </w:rPr>
        <w:t xml:space="preserve">uzavírají </w:t>
      </w:r>
    </w:p>
    <w:p w14:paraId="10091CAB" w14:textId="77777777" w:rsidR="00231969" w:rsidRPr="007E383D" w:rsidRDefault="00231969" w:rsidP="0067242E">
      <w:pPr>
        <w:spacing w:before="20"/>
        <w:rPr>
          <w:rFonts w:cs="Arial"/>
          <w:bCs/>
          <w:sz w:val="20"/>
        </w:rPr>
      </w:pPr>
    </w:p>
    <w:p w14:paraId="5C7CEA88" w14:textId="77777777" w:rsidR="00231969" w:rsidRPr="007E383D" w:rsidRDefault="00231969" w:rsidP="0067242E">
      <w:pPr>
        <w:spacing w:before="20"/>
        <w:rPr>
          <w:rFonts w:cs="Arial"/>
          <w:bCs/>
          <w:sz w:val="20"/>
        </w:rPr>
      </w:pPr>
    </w:p>
    <w:p w14:paraId="1DE1644E" w14:textId="489D7ACD" w:rsidR="0067242E" w:rsidRPr="007E383D" w:rsidRDefault="0067242E" w:rsidP="0067242E">
      <w:pPr>
        <w:spacing w:before="20"/>
        <w:rPr>
          <w:rFonts w:cs="Arial"/>
          <w:bCs/>
          <w:sz w:val="20"/>
        </w:rPr>
      </w:pPr>
      <w:r w:rsidRPr="007E383D">
        <w:rPr>
          <w:rFonts w:cs="Arial"/>
          <w:bCs/>
          <w:sz w:val="20"/>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14:paraId="42736BD3" w14:textId="77777777" w:rsidR="0086321A" w:rsidRPr="007E383D" w:rsidRDefault="0086321A" w:rsidP="0086321A">
      <w:pPr>
        <w:rPr>
          <w:rFonts w:cs="Arial"/>
          <w:sz w:val="20"/>
        </w:rPr>
      </w:pPr>
    </w:p>
    <w:p w14:paraId="60FC637A" w14:textId="77777777" w:rsidR="0086321A" w:rsidRPr="007E383D" w:rsidRDefault="0086321A" w:rsidP="0086321A">
      <w:pPr>
        <w:rPr>
          <w:rFonts w:cs="Arial"/>
          <w:sz w:val="20"/>
        </w:rPr>
      </w:pPr>
    </w:p>
    <w:p w14:paraId="23C03806" w14:textId="77777777" w:rsidR="00DA70B6" w:rsidRPr="007E383D" w:rsidRDefault="00DA70B6" w:rsidP="00DA70B6">
      <w:pPr>
        <w:spacing w:before="20"/>
        <w:rPr>
          <w:rFonts w:cs="Arial"/>
          <w:bCs/>
          <w:sz w:val="20"/>
        </w:rPr>
      </w:pPr>
      <w:r w:rsidRPr="007E383D">
        <w:rPr>
          <w:rFonts w:cs="Arial"/>
          <w:bCs/>
          <w:sz w:val="20"/>
        </w:rPr>
        <w:t xml:space="preserve">Tento dodatek byl sjednán prostřednictvím samostatného zprostředkovatele </w:t>
      </w:r>
    </w:p>
    <w:p w14:paraId="7191734F" w14:textId="3B84BA2D" w:rsidR="0086321A" w:rsidRPr="007E383D" w:rsidRDefault="0086321A" w:rsidP="0086321A">
      <w:pPr>
        <w:rPr>
          <w:rFonts w:cs="Arial"/>
          <w:b/>
          <w:sz w:val="32"/>
        </w:rPr>
      </w:pPr>
      <w:r w:rsidRPr="007E383D">
        <w:rPr>
          <w:rFonts w:cs="Arial"/>
          <w:b/>
          <w:sz w:val="32"/>
        </w:rPr>
        <w:t>RENOMIA, a.</w:t>
      </w:r>
      <w:r w:rsidR="00A04B41" w:rsidRPr="007E383D">
        <w:rPr>
          <w:rFonts w:cs="Arial"/>
          <w:b/>
          <w:sz w:val="32"/>
        </w:rPr>
        <w:t xml:space="preserve"> </w:t>
      </w:r>
      <w:r w:rsidRPr="007E383D">
        <w:rPr>
          <w:rFonts w:cs="Arial"/>
          <w:b/>
          <w:sz w:val="32"/>
        </w:rPr>
        <w:t>s.</w:t>
      </w:r>
    </w:p>
    <w:p w14:paraId="74018180" w14:textId="77777777" w:rsidR="0086321A" w:rsidRPr="007E383D" w:rsidRDefault="0086321A" w:rsidP="0086321A">
      <w:pPr>
        <w:rPr>
          <w:rFonts w:cs="Arial"/>
          <w:b/>
        </w:rPr>
      </w:pPr>
      <w:r w:rsidRPr="007E383D">
        <w:rPr>
          <w:rFonts w:cs="Arial"/>
          <w:b/>
        </w:rPr>
        <w:t>se sídlem Brno-střed, Štýřice, Holandská 874/8, PSČ 639 00, Česká republika</w:t>
      </w:r>
    </w:p>
    <w:p w14:paraId="78D2099A" w14:textId="77777777" w:rsidR="0086321A" w:rsidRPr="007E383D" w:rsidRDefault="0086321A" w:rsidP="0086321A">
      <w:pPr>
        <w:rPr>
          <w:rFonts w:cs="Arial"/>
          <w:b/>
        </w:rPr>
      </w:pPr>
      <w:r w:rsidRPr="007E383D">
        <w:rPr>
          <w:rFonts w:cs="Arial"/>
          <w:b/>
        </w:rPr>
        <w:t>IČO: 48391301</w:t>
      </w:r>
    </w:p>
    <w:p w14:paraId="2CC74DC3" w14:textId="77777777" w:rsidR="0086321A" w:rsidRPr="007E383D" w:rsidRDefault="0086321A" w:rsidP="0086321A">
      <w:pPr>
        <w:jc w:val="both"/>
        <w:rPr>
          <w:rFonts w:cs="Arial"/>
          <w:bCs/>
          <w:sz w:val="20"/>
          <w:szCs w:val="20"/>
        </w:rPr>
      </w:pPr>
      <w:r w:rsidRPr="007E383D">
        <w:rPr>
          <w:rFonts w:cs="Arial"/>
          <w:bCs/>
          <w:sz w:val="20"/>
          <w:szCs w:val="20"/>
        </w:rPr>
        <w:t>(dále jen „</w:t>
      </w:r>
      <w:r w:rsidRPr="007E383D">
        <w:rPr>
          <w:rFonts w:cs="Arial"/>
          <w:b/>
          <w:sz w:val="20"/>
          <w:szCs w:val="20"/>
        </w:rPr>
        <w:t>samostatný zprostředkovatel</w:t>
      </w:r>
      <w:r w:rsidRPr="007E383D">
        <w:rPr>
          <w:rFonts w:cs="Arial"/>
          <w:sz w:val="20"/>
          <w:szCs w:val="20"/>
        </w:rPr>
        <w:t>“</w:t>
      </w:r>
      <w:r w:rsidRPr="007E383D">
        <w:rPr>
          <w:rFonts w:cs="Arial"/>
          <w:bCs/>
          <w:sz w:val="20"/>
          <w:szCs w:val="20"/>
        </w:rPr>
        <w:t>)</w:t>
      </w:r>
    </w:p>
    <w:p w14:paraId="74FEEC35" w14:textId="77777777" w:rsidR="0086321A" w:rsidRPr="007E383D" w:rsidRDefault="0086321A" w:rsidP="0086321A">
      <w:pPr>
        <w:spacing w:before="20"/>
        <w:jc w:val="both"/>
        <w:rPr>
          <w:rFonts w:cs="Arial"/>
          <w:bCs/>
          <w:sz w:val="20"/>
          <w:szCs w:val="20"/>
        </w:rPr>
      </w:pPr>
      <w:r w:rsidRPr="007E383D">
        <w:rPr>
          <w:rFonts w:cs="Arial"/>
          <w:bCs/>
          <w:sz w:val="20"/>
          <w:szCs w:val="20"/>
        </w:rPr>
        <w:t>Korespondenční adresa: Na Florenci 15, Budova Florentinum, vstup C, 110 00 Praha.</w:t>
      </w:r>
    </w:p>
    <w:p w14:paraId="7AF8CABC" w14:textId="77777777" w:rsidR="00735797" w:rsidRPr="007E383D" w:rsidRDefault="00735797" w:rsidP="0086321A">
      <w:pPr>
        <w:spacing w:before="20"/>
        <w:jc w:val="both"/>
        <w:rPr>
          <w:rFonts w:cs="Arial"/>
          <w:bCs/>
          <w:sz w:val="20"/>
          <w:szCs w:val="20"/>
        </w:rPr>
      </w:pPr>
    </w:p>
    <w:p w14:paraId="079C84AA" w14:textId="0E507071" w:rsidR="00735797" w:rsidRPr="007E383D" w:rsidRDefault="00735797" w:rsidP="00735797">
      <w:pPr>
        <w:spacing w:before="20"/>
        <w:rPr>
          <w:rFonts w:cs="Arial"/>
          <w:bCs/>
          <w:sz w:val="20"/>
        </w:rPr>
      </w:pPr>
      <w:r w:rsidRPr="007E383D">
        <w:rPr>
          <w:rFonts w:cs="Arial"/>
          <w:bCs/>
          <w:sz w:val="20"/>
        </w:rPr>
        <w:t>Sjednání tohoto dodatku zprostředkoval pro pojistníka samostatný zprostředkovatel v postavení pojišťovacího makléře.</w:t>
      </w:r>
    </w:p>
    <w:p w14:paraId="0D747319" w14:textId="4D5CB04E" w:rsidR="00735797" w:rsidRPr="007E383D" w:rsidRDefault="000E0C9E" w:rsidP="00D7357B">
      <w:pPr>
        <w:jc w:val="center"/>
        <w:rPr>
          <w:rFonts w:cs="Arial"/>
          <w:b/>
          <w:sz w:val="24"/>
        </w:rPr>
      </w:pPr>
      <w:r w:rsidRPr="007E383D">
        <w:rPr>
          <w:rFonts w:cs="Arial"/>
          <w:b/>
          <w:sz w:val="24"/>
        </w:rPr>
        <w:br w:type="column"/>
      </w:r>
    </w:p>
    <w:p w14:paraId="530D1F0A" w14:textId="65767BB3" w:rsidR="00D7357B" w:rsidRPr="007E383D" w:rsidRDefault="00D7357B" w:rsidP="00D7357B">
      <w:pPr>
        <w:jc w:val="center"/>
        <w:rPr>
          <w:rFonts w:cs="Arial"/>
          <w:b/>
          <w:sz w:val="24"/>
        </w:rPr>
      </w:pPr>
      <w:r w:rsidRPr="007E383D">
        <w:rPr>
          <w:rFonts w:cs="Arial"/>
          <w:b/>
          <w:sz w:val="24"/>
        </w:rPr>
        <w:t>Článek I.</w:t>
      </w:r>
    </w:p>
    <w:p w14:paraId="396C9F66" w14:textId="77777777" w:rsidR="00D7357B" w:rsidRPr="007E383D" w:rsidRDefault="00D7357B" w:rsidP="00D7357B">
      <w:pPr>
        <w:jc w:val="center"/>
        <w:rPr>
          <w:rFonts w:cs="Arial"/>
          <w:b/>
          <w:sz w:val="24"/>
        </w:rPr>
      </w:pPr>
      <w:r w:rsidRPr="007E383D">
        <w:rPr>
          <w:rFonts w:cs="Arial"/>
          <w:b/>
          <w:sz w:val="24"/>
        </w:rPr>
        <w:t>Úvodní ustanovení</w:t>
      </w:r>
    </w:p>
    <w:p w14:paraId="172BD197" w14:textId="77777777" w:rsidR="006E2B90" w:rsidRPr="007E383D" w:rsidRDefault="006E2B90" w:rsidP="00D21F23">
      <w:pPr>
        <w:keepNext/>
        <w:numPr>
          <w:ilvl w:val="0"/>
          <w:numId w:val="14"/>
        </w:numPr>
        <w:tabs>
          <w:tab w:val="left" w:pos="-1418"/>
        </w:tabs>
        <w:spacing w:before="120"/>
        <w:jc w:val="both"/>
        <w:rPr>
          <w:rFonts w:cs="Arial"/>
          <w:sz w:val="20"/>
        </w:rPr>
      </w:pPr>
      <w:r w:rsidRPr="007E383D">
        <w:rPr>
          <w:rFonts w:cs="Arial"/>
          <w:sz w:val="20"/>
        </w:rPr>
        <w:t>Pojištěným je:</w:t>
      </w:r>
    </w:p>
    <w:p w14:paraId="3257064E" w14:textId="3792F119" w:rsidR="00CA16F0" w:rsidRPr="007E383D" w:rsidRDefault="008B5368" w:rsidP="00CA16F0">
      <w:pPr>
        <w:pStyle w:val="Odstavecseseznamem"/>
        <w:numPr>
          <w:ilvl w:val="0"/>
          <w:numId w:val="13"/>
        </w:numPr>
        <w:tabs>
          <w:tab w:val="left" w:pos="-720"/>
        </w:tabs>
        <w:spacing w:after="0" w:line="240" w:lineRule="exact"/>
        <w:ind w:left="782" w:hanging="357"/>
        <w:jc w:val="both"/>
        <w:rPr>
          <w:rFonts w:ascii="Koop Office" w:hAnsi="Koop Office" w:cs="Arial"/>
          <w:sz w:val="20"/>
          <w:szCs w:val="20"/>
        </w:rPr>
      </w:pPr>
      <w:r w:rsidRPr="007E383D">
        <w:rPr>
          <w:rFonts w:ascii="Koop Office" w:hAnsi="Koop Office" w:cs="Arial"/>
          <w:sz w:val="20"/>
          <w:szCs w:val="20"/>
        </w:rPr>
        <w:t>Pojistník</w:t>
      </w:r>
    </w:p>
    <w:p w14:paraId="4F99BA1F" w14:textId="3023705F" w:rsidR="00CA16F0" w:rsidRPr="007E383D" w:rsidRDefault="00CA16F0" w:rsidP="00CA16F0">
      <w:pPr>
        <w:pStyle w:val="Odstavecseseznamem"/>
        <w:numPr>
          <w:ilvl w:val="0"/>
          <w:numId w:val="13"/>
        </w:numPr>
        <w:tabs>
          <w:tab w:val="left" w:pos="-720"/>
        </w:tabs>
        <w:spacing w:after="0" w:line="240" w:lineRule="exact"/>
        <w:ind w:left="782" w:hanging="357"/>
        <w:jc w:val="both"/>
        <w:rPr>
          <w:rFonts w:ascii="Koop Office" w:hAnsi="Koop Office" w:cs="Arial"/>
          <w:sz w:val="20"/>
          <w:szCs w:val="20"/>
        </w:rPr>
      </w:pPr>
      <w:r w:rsidRPr="007E383D">
        <w:rPr>
          <w:rFonts w:ascii="Koop Office" w:hAnsi="Koop Office" w:cs="Arial"/>
          <w:sz w:val="20"/>
          <w:szCs w:val="20"/>
        </w:rPr>
        <w:t>Czech Airlines Technics, a.s., se sídlem Praha 6</w:t>
      </w:r>
      <w:r w:rsidR="008214CD" w:rsidRPr="007E383D">
        <w:rPr>
          <w:rFonts w:ascii="Koop Office" w:hAnsi="Koop Office" w:cs="Arial"/>
          <w:sz w:val="20"/>
          <w:szCs w:val="20"/>
        </w:rPr>
        <w:t xml:space="preserve"> - Ruzyně</w:t>
      </w:r>
      <w:r w:rsidRPr="007E383D">
        <w:rPr>
          <w:rFonts w:ascii="Koop Office" w:hAnsi="Koop Office" w:cs="Arial"/>
          <w:sz w:val="20"/>
          <w:szCs w:val="20"/>
        </w:rPr>
        <w:t xml:space="preserve">, Jana Kašpara 1069/1, </w:t>
      </w:r>
      <w:r w:rsidR="008214CD" w:rsidRPr="007E383D">
        <w:rPr>
          <w:rFonts w:ascii="Koop Office" w:hAnsi="Koop Office" w:cs="Arial"/>
          <w:sz w:val="20"/>
          <w:szCs w:val="20"/>
        </w:rPr>
        <w:t xml:space="preserve">PSČ </w:t>
      </w:r>
      <w:r w:rsidR="00845654" w:rsidRPr="007E383D">
        <w:rPr>
          <w:rFonts w:ascii="Koop Office" w:hAnsi="Koop Office" w:cs="Arial"/>
          <w:sz w:val="20"/>
          <w:szCs w:val="20"/>
        </w:rPr>
        <w:t>16</w:t>
      </w:r>
      <w:r w:rsidR="009A14EC" w:rsidRPr="007E383D">
        <w:rPr>
          <w:rFonts w:ascii="Koop Office" w:hAnsi="Koop Office" w:cs="Arial"/>
          <w:sz w:val="20"/>
          <w:szCs w:val="20"/>
        </w:rPr>
        <w:t>1 00</w:t>
      </w:r>
      <w:r w:rsidR="00845654" w:rsidRPr="007E383D">
        <w:rPr>
          <w:rFonts w:ascii="Koop Office" w:hAnsi="Koop Office" w:cs="Arial"/>
          <w:sz w:val="20"/>
          <w:szCs w:val="20"/>
        </w:rPr>
        <w:t xml:space="preserve">, </w:t>
      </w:r>
      <w:r w:rsidRPr="007E383D">
        <w:rPr>
          <w:rFonts w:ascii="Koop Office" w:hAnsi="Koop Office" w:cs="Arial"/>
          <w:sz w:val="20"/>
          <w:szCs w:val="20"/>
        </w:rPr>
        <w:t xml:space="preserve">IČO: 27145573, zapsaná v obchodním rejstříku u Městského soudu v Praze, </w:t>
      </w:r>
      <w:proofErr w:type="spellStart"/>
      <w:r w:rsidRPr="007E383D">
        <w:rPr>
          <w:rFonts w:ascii="Koop Office" w:hAnsi="Koop Office" w:cs="Arial"/>
          <w:sz w:val="20"/>
          <w:szCs w:val="20"/>
        </w:rPr>
        <w:t>sp</w:t>
      </w:r>
      <w:proofErr w:type="spellEnd"/>
      <w:r w:rsidRPr="007E383D">
        <w:rPr>
          <w:rFonts w:ascii="Koop Office" w:hAnsi="Koop Office" w:cs="Arial"/>
          <w:sz w:val="20"/>
          <w:szCs w:val="20"/>
        </w:rPr>
        <w:t>.</w:t>
      </w:r>
      <w:r w:rsidR="008B5368" w:rsidRPr="007E383D">
        <w:rPr>
          <w:rFonts w:ascii="Koop Office" w:hAnsi="Koop Office" w:cs="Arial"/>
          <w:sz w:val="20"/>
          <w:szCs w:val="20"/>
        </w:rPr>
        <w:t xml:space="preserve"> zn. B 9307</w:t>
      </w:r>
    </w:p>
    <w:p w14:paraId="578624A8" w14:textId="733F4952" w:rsidR="00CA16F0" w:rsidRPr="007E383D" w:rsidRDefault="00733F8E" w:rsidP="00CA16F0">
      <w:pPr>
        <w:pStyle w:val="Odstavecseseznamem"/>
        <w:numPr>
          <w:ilvl w:val="0"/>
          <w:numId w:val="13"/>
        </w:numPr>
        <w:tabs>
          <w:tab w:val="left" w:pos="-720"/>
        </w:tabs>
        <w:spacing w:after="0" w:line="240" w:lineRule="exact"/>
        <w:ind w:left="782" w:hanging="357"/>
        <w:jc w:val="both"/>
        <w:rPr>
          <w:rFonts w:ascii="Koop Office" w:hAnsi="Koop Office" w:cs="Arial"/>
          <w:sz w:val="20"/>
          <w:szCs w:val="20"/>
        </w:rPr>
      </w:pPr>
      <w:r w:rsidRPr="007E383D">
        <w:rPr>
          <w:rFonts w:ascii="Koop Office" w:hAnsi="Koop Office" w:cs="Arial"/>
          <w:sz w:val="20"/>
          <w:szCs w:val="20"/>
        </w:rPr>
        <w:t xml:space="preserve">Czech Airlines </w:t>
      </w:r>
      <w:proofErr w:type="spellStart"/>
      <w:r w:rsidRPr="007E383D">
        <w:rPr>
          <w:rFonts w:ascii="Koop Office" w:hAnsi="Koop Office" w:cs="Arial"/>
          <w:sz w:val="20"/>
          <w:szCs w:val="20"/>
        </w:rPr>
        <w:t>Handling</w:t>
      </w:r>
      <w:proofErr w:type="spellEnd"/>
      <w:r w:rsidRPr="007E383D">
        <w:rPr>
          <w:rFonts w:ascii="Koop Office" w:hAnsi="Koop Office" w:cs="Arial"/>
          <w:sz w:val="20"/>
          <w:szCs w:val="20"/>
        </w:rPr>
        <w:t>, a.s., se sídlem Praha 6 - Ruzyně, K letišti 1040/10, PSČ 161 00</w:t>
      </w:r>
      <w:r w:rsidR="00D66DC1" w:rsidRPr="007E383D">
        <w:rPr>
          <w:rFonts w:ascii="Koop Office" w:hAnsi="Koop Office" w:cs="Arial"/>
          <w:sz w:val="20"/>
          <w:szCs w:val="20"/>
        </w:rPr>
        <w:t xml:space="preserve">, </w:t>
      </w:r>
      <w:r w:rsidR="00CA16F0" w:rsidRPr="007E383D">
        <w:rPr>
          <w:rFonts w:ascii="Koop Office" w:hAnsi="Koop Office" w:cs="Arial"/>
          <w:sz w:val="20"/>
          <w:szCs w:val="20"/>
        </w:rPr>
        <w:t xml:space="preserve">IČO: 25674285, zapsaná v obchodním rejstříku u Městského soudu v Praze, </w:t>
      </w:r>
      <w:proofErr w:type="spellStart"/>
      <w:r w:rsidR="00CA16F0" w:rsidRPr="007E383D">
        <w:rPr>
          <w:rFonts w:ascii="Koop Office" w:hAnsi="Koop Office" w:cs="Arial"/>
          <w:sz w:val="20"/>
          <w:szCs w:val="20"/>
        </w:rPr>
        <w:t>sp</w:t>
      </w:r>
      <w:proofErr w:type="spellEnd"/>
      <w:r w:rsidR="00CA16F0" w:rsidRPr="007E383D">
        <w:rPr>
          <w:rFonts w:ascii="Koop Office" w:hAnsi="Koop Office" w:cs="Arial"/>
          <w:sz w:val="20"/>
          <w:szCs w:val="20"/>
        </w:rPr>
        <w:t xml:space="preserve">. </w:t>
      </w:r>
      <w:r w:rsidR="008B5368" w:rsidRPr="007E383D">
        <w:rPr>
          <w:rFonts w:ascii="Koop Office" w:hAnsi="Koop Office" w:cs="Arial"/>
          <w:sz w:val="20"/>
          <w:szCs w:val="20"/>
        </w:rPr>
        <w:t>zn. B 17139</w:t>
      </w:r>
    </w:p>
    <w:p w14:paraId="5039225D" w14:textId="371FDAAB" w:rsidR="000A10CA" w:rsidRPr="007E383D" w:rsidRDefault="00D7357B" w:rsidP="00D21F23">
      <w:pPr>
        <w:keepNext/>
        <w:numPr>
          <w:ilvl w:val="0"/>
          <w:numId w:val="14"/>
        </w:numPr>
        <w:tabs>
          <w:tab w:val="left" w:pos="-1418"/>
        </w:tabs>
        <w:spacing w:before="120"/>
        <w:jc w:val="both"/>
        <w:rPr>
          <w:rFonts w:cs="Arial"/>
          <w:sz w:val="20"/>
        </w:rPr>
      </w:pPr>
      <w:r w:rsidRPr="007E383D">
        <w:rPr>
          <w:rFonts w:cs="Arial"/>
          <w:sz w:val="20"/>
        </w:rPr>
        <w:t xml:space="preserve">K tomuto pojištění se vztahují: Všeobecné pojistné podmínky (dále jen </w:t>
      </w:r>
      <w:r w:rsidR="00A40B91" w:rsidRPr="007E383D">
        <w:rPr>
          <w:rFonts w:cs="Arial"/>
          <w:sz w:val="20"/>
        </w:rPr>
        <w:t>„</w:t>
      </w:r>
      <w:r w:rsidRPr="007E383D">
        <w:rPr>
          <w:rFonts w:cs="Arial"/>
          <w:sz w:val="20"/>
        </w:rPr>
        <w:t>VPP</w:t>
      </w:r>
      <w:r w:rsidR="00282B75" w:rsidRPr="007E383D">
        <w:rPr>
          <w:rFonts w:cs="Arial"/>
          <w:sz w:val="20"/>
        </w:rPr>
        <w:t>)</w:t>
      </w:r>
      <w:r w:rsidR="00A41696" w:rsidRPr="007E383D">
        <w:rPr>
          <w:rFonts w:cs="Arial"/>
          <w:sz w:val="20"/>
        </w:rPr>
        <w:t xml:space="preserve"> a</w:t>
      </w:r>
      <w:r w:rsidR="00C47431" w:rsidRPr="007E383D">
        <w:rPr>
          <w:rFonts w:cs="Arial"/>
          <w:sz w:val="20"/>
        </w:rPr>
        <w:t xml:space="preserve"> Smluvní ujednání pro pojištění terorismu</w:t>
      </w:r>
      <w:r w:rsidRPr="007E383D">
        <w:rPr>
          <w:rFonts w:cs="Arial"/>
          <w:sz w:val="20"/>
        </w:rPr>
        <w:t>.</w:t>
      </w:r>
    </w:p>
    <w:p w14:paraId="3AE821C0" w14:textId="77777777" w:rsidR="001B10AD" w:rsidRPr="007E383D" w:rsidRDefault="001B10AD" w:rsidP="001B10AD">
      <w:pPr>
        <w:pStyle w:val="Styl10bTunZarovnatdobloku"/>
      </w:pPr>
    </w:p>
    <w:p w14:paraId="7663A607" w14:textId="77777777" w:rsidR="001B10AD" w:rsidRPr="007E383D" w:rsidRDefault="001B10AD" w:rsidP="001B10AD">
      <w:pPr>
        <w:pStyle w:val="Styl10bTunZarovnatdobloku"/>
      </w:pPr>
      <w:r w:rsidRPr="007E383D">
        <w:t xml:space="preserve">Všeobecné pojistné podmínky </w:t>
      </w:r>
    </w:p>
    <w:p w14:paraId="67E54E3B" w14:textId="77777777" w:rsidR="001B10AD" w:rsidRPr="007E383D" w:rsidRDefault="00E27E29" w:rsidP="00E27E29">
      <w:pPr>
        <w:tabs>
          <w:tab w:val="left" w:pos="426"/>
        </w:tabs>
        <w:rPr>
          <w:rFonts w:cs="Arial"/>
          <w:sz w:val="20"/>
          <w:szCs w:val="20"/>
        </w:rPr>
      </w:pPr>
      <w:r w:rsidRPr="007E383D">
        <w:rPr>
          <w:rFonts w:cs="Arial"/>
          <w:sz w:val="20"/>
          <w:szCs w:val="20"/>
        </w:rPr>
        <w:tab/>
      </w:r>
      <w:r w:rsidR="001B10AD" w:rsidRPr="007E383D">
        <w:rPr>
          <w:rFonts w:cs="Arial"/>
          <w:sz w:val="20"/>
          <w:szCs w:val="20"/>
        </w:rPr>
        <w:t>VPP P-100/14 - pro pojištění majetku a odpovědnosti</w:t>
      </w:r>
    </w:p>
    <w:p w14:paraId="2CC1C3B5" w14:textId="1C7BF7DA" w:rsidR="00C47431" w:rsidRPr="007E383D" w:rsidRDefault="00C47431" w:rsidP="006E2B90">
      <w:pPr>
        <w:keepNext/>
        <w:tabs>
          <w:tab w:val="left" w:pos="-720"/>
          <w:tab w:val="left" w:pos="426"/>
        </w:tabs>
        <w:rPr>
          <w:rFonts w:cs="Arial"/>
          <w:b/>
          <w:bCs/>
          <w:sz w:val="20"/>
        </w:rPr>
      </w:pPr>
    </w:p>
    <w:p w14:paraId="30F0A833" w14:textId="6E422A0D" w:rsidR="00C47431" w:rsidRPr="007E383D" w:rsidRDefault="00C47431" w:rsidP="006E2B90">
      <w:pPr>
        <w:keepNext/>
        <w:tabs>
          <w:tab w:val="left" w:pos="-720"/>
          <w:tab w:val="left" w:pos="426"/>
        </w:tabs>
        <w:rPr>
          <w:rFonts w:cs="Arial"/>
          <w:b/>
          <w:bCs/>
          <w:sz w:val="20"/>
        </w:rPr>
      </w:pPr>
      <w:r w:rsidRPr="007E383D">
        <w:rPr>
          <w:rFonts w:cs="Arial"/>
          <w:b/>
          <w:bCs/>
          <w:sz w:val="20"/>
        </w:rPr>
        <w:tab/>
      </w:r>
      <w:r w:rsidRPr="007E383D">
        <w:rPr>
          <w:rFonts w:cs="Arial"/>
          <w:b/>
          <w:sz w:val="20"/>
          <w:szCs w:val="20"/>
        </w:rPr>
        <w:t>Smluvní ujednání pro pojištění terorismu</w:t>
      </w:r>
    </w:p>
    <w:p w14:paraId="2531E778" w14:textId="40AE4695" w:rsidR="006E2B90" w:rsidRPr="007E383D" w:rsidRDefault="006E17F2" w:rsidP="006E17F2">
      <w:pPr>
        <w:keepNext/>
        <w:tabs>
          <w:tab w:val="left" w:pos="-720"/>
          <w:tab w:val="left" w:pos="426"/>
        </w:tabs>
        <w:ind w:left="426"/>
        <w:jc w:val="both"/>
        <w:rPr>
          <w:rFonts w:cs="Arial"/>
          <w:sz w:val="20"/>
          <w:szCs w:val="20"/>
        </w:rPr>
      </w:pPr>
      <w:r w:rsidRPr="007E383D">
        <w:rPr>
          <w:sz w:val="20"/>
          <w:szCs w:val="20"/>
        </w:rPr>
        <w:t xml:space="preserve">Pojištění hmotné </w:t>
      </w:r>
      <w:r w:rsidR="00A12237" w:rsidRPr="007E383D">
        <w:rPr>
          <w:sz w:val="20"/>
          <w:szCs w:val="20"/>
        </w:rPr>
        <w:t>ztráty nebo škody</w:t>
      </w:r>
      <w:r w:rsidRPr="007E383D">
        <w:rPr>
          <w:sz w:val="20"/>
          <w:szCs w:val="20"/>
        </w:rPr>
        <w:t xml:space="preserve"> v důsledku výtržností, stávek, občanských nepokojů, úmyslného poškození, terorismu a sabotáže</w:t>
      </w:r>
      <w:r w:rsidR="004718BE" w:rsidRPr="007E383D">
        <w:rPr>
          <w:sz w:val="20"/>
          <w:szCs w:val="20"/>
        </w:rPr>
        <w:t xml:space="preserve">, </w:t>
      </w:r>
      <w:r w:rsidR="00854389" w:rsidRPr="007E383D">
        <w:rPr>
          <w:sz w:val="20"/>
          <w:szCs w:val="20"/>
        </w:rPr>
        <w:t xml:space="preserve">Rozšíření </w:t>
      </w:r>
      <w:r w:rsidR="003B1811" w:rsidRPr="007E383D">
        <w:rPr>
          <w:sz w:val="20"/>
          <w:szCs w:val="20"/>
        </w:rPr>
        <w:t>o pojištění přerušení provozu,</w:t>
      </w:r>
      <w:r w:rsidR="00AB70D0" w:rsidRPr="007E383D">
        <w:rPr>
          <w:sz w:val="20"/>
          <w:szCs w:val="20"/>
        </w:rPr>
        <w:t xml:space="preserve"> </w:t>
      </w:r>
      <w:r w:rsidR="004718BE" w:rsidRPr="007E383D">
        <w:rPr>
          <w:sz w:val="20"/>
          <w:szCs w:val="20"/>
        </w:rPr>
        <w:t xml:space="preserve">Doložka O klientech &amp; dodavatelích, Doložka Zamezení přístupu, Doložka </w:t>
      </w:r>
      <w:r w:rsidR="00E92407" w:rsidRPr="007E383D">
        <w:rPr>
          <w:sz w:val="20"/>
          <w:szCs w:val="20"/>
        </w:rPr>
        <w:t>Náklady na demolici, odvoz suti, likvidace zbytků</w:t>
      </w:r>
      <w:r w:rsidR="004718BE" w:rsidRPr="007E383D">
        <w:rPr>
          <w:sz w:val="20"/>
          <w:szCs w:val="20"/>
        </w:rPr>
        <w:t xml:space="preserve">, Doložka </w:t>
      </w:r>
      <w:r w:rsidR="00E92407" w:rsidRPr="007E383D">
        <w:rPr>
          <w:sz w:val="20"/>
          <w:szCs w:val="20"/>
        </w:rPr>
        <w:t>Stavební úpravy a de/re-montáž ostatních nepoškozených pojištěných věcí provedené v souvislosti se znovupořízením nebo opravou věcí poškozených, zničených nebo ztracených při pojistné události</w:t>
      </w:r>
      <w:r w:rsidR="004718BE" w:rsidRPr="007E383D">
        <w:rPr>
          <w:sz w:val="20"/>
          <w:szCs w:val="20"/>
        </w:rPr>
        <w:t xml:space="preserve">, Doložka </w:t>
      </w:r>
      <w:r w:rsidR="00E92407" w:rsidRPr="007E383D">
        <w:rPr>
          <w:sz w:val="20"/>
          <w:szCs w:val="20"/>
        </w:rPr>
        <w:t>O dočasné přemístění nepoškozeného majetku i mimo místo pojištění</w:t>
      </w:r>
      <w:r w:rsidR="004718BE" w:rsidRPr="007E383D">
        <w:rPr>
          <w:sz w:val="20"/>
          <w:szCs w:val="20"/>
        </w:rPr>
        <w:t>, Doložka O přírůstku hodnoty</w:t>
      </w:r>
      <w:r w:rsidR="00D73C9A" w:rsidRPr="007E383D">
        <w:rPr>
          <w:sz w:val="20"/>
          <w:szCs w:val="20"/>
        </w:rPr>
        <w:t>,</w:t>
      </w:r>
      <w:r w:rsidR="00AB70D0" w:rsidRPr="007E383D">
        <w:rPr>
          <w:sz w:val="20"/>
          <w:szCs w:val="20"/>
        </w:rPr>
        <w:t xml:space="preserve"> Doložka o kontrole škody, </w:t>
      </w:r>
      <w:r w:rsidR="00D73C9A" w:rsidRPr="007E383D">
        <w:rPr>
          <w:sz w:val="20"/>
          <w:szCs w:val="20"/>
        </w:rPr>
        <w:t xml:space="preserve"> </w:t>
      </w:r>
      <w:r w:rsidR="002E282B" w:rsidRPr="007E383D">
        <w:rPr>
          <w:sz w:val="20"/>
          <w:szCs w:val="20"/>
        </w:rPr>
        <w:t xml:space="preserve">Pojištění odpovědnosti za újmu v důsledku terorismu </w:t>
      </w:r>
      <w:r w:rsidRPr="007E383D">
        <w:rPr>
          <w:rFonts w:cs="Arial"/>
          <w:sz w:val="20"/>
          <w:szCs w:val="20"/>
        </w:rPr>
        <w:t>(</w:t>
      </w:r>
      <w:r w:rsidR="004718BE" w:rsidRPr="007E383D">
        <w:rPr>
          <w:rFonts w:cs="Arial"/>
          <w:sz w:val="20"/>
          <w:szCs w:val="20"/>
        </w:rPr>
        <w:t xml:space="preserve">vše </w:t>
      </w:r>
      <w:r w:rsidRPr="007E383D">
        <w:rPr>
          <w:rFonts w:cs="Arial"/>
          <w:sz w:val="20"/>
          <w:szCs w:val="20"/>
        </w:rPr>
        <w:t>dále jen „Smluvní ujednání pro pojištění terorismu“).</w:t>
      </w:r>
    </w:p>
    <w:p w14:paraId="6D719673" w14:textId="1C2A9B2D" w:rsidR="006E17F2" w:rsidRPr="007E383D" w:rsidRDefault="006E17F2" w:rsidP="006E17F2">
      <w:pPr>
        <w:keepNext/>
        <w:tabs>
          <w:tab w:val="left" w:pos="-720"/>
          <w:tab w:val="left" w:pos="709"/>
          <w:tab w:val="left" w:pos="1418"/>
        </w:tabs>
        <w:spacing w:before="120"/>
        <w:ind w:left="426"/>
        <w:jc w:val="both"/>
        <w:rPr>
          <w:rFonts w:cs="Arial"/>
          <w:sz w:val="20"/>
        </w:rPr>
      </w:pPr>
      <w:r w:rsidRPr="007E383D">
        <w:rPr>
          <w:rFonts w:cs="Arial"/>
          <w:sz w:val="20"/>
        </w:rPr>
        <w:t xml:space="preserve">Pro </w:t>
      </w:r>
      <w:r w:rsidRPr="007E383D">
        <w:rPr>
          <w:rFonts w:cs="Arial"/>
          <w:sz w:val="20"/>
          <w:szCs w:val="20"/>
        </w:rPr>
        <w:t>případ</w:t>
      </w:r>
      <w:r w:rsidRPr="007E383D">
        <w:rPr>
          <w:rFonts w:cs="Arial"/>
          <w:sz w:val="20"/>
        </w:rPr>
        <w:t xml:space="preserve"> kolize mezi VPP a Smluvními ujednáními pro pojištění terorismu se ujednává, že přednost mají ustanovení Smluvních ujednání pro pojištění terorismu před VPP.</w:t>
      </w:r>
    </w:p>
    <w:p w14:paraId="0B9C7C54" w14:textId="77777777" w:rsidR="0014506A" w:rsidRPr="007E383D" w:rsidRDefault="0014506A" w:rsidP="008F2986">
      <w:pPr>
        <w:ind w:left="1514" w:hanging="1089"/>
        <w:jc w:val="center"/>
        <w:rPr>
          <w:rFonts w:cs="Arial"/>
          <w:b/>
          <w:bCs/>
          <w:sz w:val="24"/>
        </w:rPr>
      </w:pPr>
    </w:p>
    <w:p w14:paraId="0D5A608F" w14:textId="77777777" w:rsidR="00D7357B" w:rsidRPr="007E383D" w:rsidRDefault="00D7357B" w:rsidP="008F2986">
      <w:pPr>
        <w:ind w:left="1514" w:hanging="1089"/>
        <w:jc w:val="center"/>
        <w:rPr>
          <w:rFonts w:cs="Arial"/>
          <w:b/>
          <w:bCs/>
          <w:sz w:val="24"/>
        </w:rPr>
      </w:pPr>
      <w:r w:rsidRPr="007E383D">
        <w:rPr>
          <w:rFonts w:cs="Arial"/>
          <w:b/>
          <w:bCs/>
          <w:sz w:val="24"/>
        </w:rPr>
        <w:t>Článek II.</w:t>
      </w:r>
    </w:p>
    <w:p w14:paraId="5F3710B5" w14:textId="77777777" w:rsidR="00D7357B" w:rsidRPr="007E383D" w:rsidRDefault="00D7357B" w:rsidP="00D7357B">
      <w:pPr>
        <w:jc w:val="center"/>
        <w:rPr>
          <w:rFonts w:cs="Arial"/>
          <w:b/>
          <w:bCs/>
          <w:sz w:val="24"/>
        </w:rPr>
      </w:pPr>
      <w:r w:rsidRPr="007E383D">
        <w:rPr>
          <w:b/>
          <w:bCs/>
          <w:sz w:val="24"/>
        </w:rPr>
        <w:t>Druhy a způsoby pojištění, předměty</w:t>
      </w:r>
      <w:r w:rsidR="00365F74" w:rsidRPr="007E383D">
        <w:rPr>
          <w:b/>
          <w:bCs/>
          <w:sz w:val="24"/>
        </w:rPr>
        <w:t xml:space="preserve"> a rozsah</w:t>
      </w:r>
      <w:r w:rsidRPr="007E383D">
        <w:rPr>
          <w:b/>
          <w:bCs/>
          <w:sz w:val="24"/>
        </w:rPr>
        <w:t xml:space="preserve"> pojištění</w:t>
      </w:r>
    </w:p>
    <w:p w14:paraId="5E88E9E3" w14:textId="77777777" w:rsidR="002504F1" w:rsidRPr="007E383D" w:rsidRDefault="00D7357B" w:rsidP="00D21F23">
      <w:pPr>
        <w:keepNext/>
        <w:numPr>
          <w:ilvl w:val="0"/>
          <w:numId w:val="9"/>
        </w:numPr>
        <w:spacing w:before="120"/>
        <w:ind w:left="391" w:hanging="391"/>
        <w:rPr>
          <w:rFonts w:cs="Arial"/>
          <w:b/>
          <w:sz w:val="20"/>
        </w:rPr>
      </w:pPr>
      <w:r w:rsidRPr="007E383D">
        <w:rPr>
          <w:rFonts w:cs="Arial"/>
          <w:b/>
          <w:sz w:val="20"/>
        </w:rPr>
        <w:t xml:space="preserve">Obecná ujednání pro pojištění majetku </w:t>
      </w:r>
    </w:p>
    <w:p w14:paraId="45818627" w14:textId="77777777" w:rsidR="002504F1" w:rsidRPr="007E383D" w:rsidRDefault="00EC490F" w:rsidP="00D21F23">
      <w:pPr>
        <w:numPr>
          <w:ilvl w:val="1"/>
          <w:numId w:val="8"/>
        </w:numPr>
        <w:tabs>
          <w:tab w:val="clear" w:pos="360"/>
          <w:tab w:val="left" w:pos="-720"/>
        </w:tabs>
        <w:spacing w:before="120"/>
        <w:ind w:left="425" w:hanging="425"/>
        <w:jc w:val="both"/>
        <w:rPr>
          <w:rFonts w:cs="Arial"/>
          <w:b/>
          <w:sz w:val="20"/>
        </w:rPr>
      </w:pPr>
      <w:r w:rsidRPr="007E383D">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5045419" w14:textId="3C344A3A" w:rsidR="00C83770" w:rsidRPr="007E383D" w:rsidRDefault="00C83770" w:rsidP="00D21F23">
      <w:pPr>
        <w:numPr>
          <w:ilvl w:val="1"/>
          <w:numId w:val="8"/>
        </w:numPr>
        <w:tabs>
          <w:tab w:val="clear" w:pos="360"/>
          <w:tab w:val="left" w:pos="-720"/>
        </w:tabs>
        <w:spacing w:before="120"/>
        <w:ind w:left="426" w:hanging="426"/>
        <w:jc w:val="both"/>
        <w:rPr>
          <w:rFonts w:cs="Arial"/>
          <w:sz w:val="20"/>
        </w:rPr>
      </w:pPr>
      <w:r w:rsidRPr="007E383D">
        <w:rPr>
          <w:rFonts w:cs="Arial"/>
          <w:sz w:val="20"/>
        </w:rPr>
        <w:t xml:space="preserve">Pro </w:t>
      </w:r>
      <w:r w:rsidR="00AA02AA" w:rsidRPr="007E383D">
        <w:rPr>
          <w:rFonts w:cs="Arial"/>
          <w:sz w:val="20"/>
        </w:rPr>
        <w:t>všechny druhy pojištění</w:t>
      </w:r>
      <w:r w:rsidRPr="007E383D">
        <w:rPr>
          <w:rFonts w:cs="Arial"/>
          <w:sz w:val="20"/>
        </w:rPr>
        <w:t xml:space="preserve"> j</w:t>
      </w:r>
      <w:r w:rsidR="003F3707" w:rsidRPr="007E383D">
        <w:rPr>
          <w:rFonts w:cs="Arial"/>
          <w:sz w:val="20"/>
        </w:rPr>
        <w:t>sou</w:t>
      </w:r>
      <w:r w:rsidRPr="007E383D">
        <w:rPr>
          <w:rFonts w:cs="Arial"/>
          <w:sz w:val="20"/>
        </w:rPr>
        <w:t xml:space="preserve"> místem pojištění </w:t>
      </w:r>
    </w:p>
    <w:p w14:paraId="621AF2F6" w14:textId="638E8254" w:rsidR="00A51644" w:rsidRPr="007E383D" w:rsidRDefault="00A51644" w:rsidP="00282AF9">
      <w:pPr>
        <w:autoSpaceDE w:val="0"/>
        <w:autoSpaceDN w:val="0"/>
        <w:adjustRightInd w:val="0"/>
        <w:spacing w:before="120"/>
        <w:ind w:left="425"/>
        <w:rPr>
          <w:rFonts w:cs="Arial"/>
          <w:sz w:val="20"/>
          <w:szCs w:val="20"/>
        </w:rPr>
      </w:pPr>
      <w:r w:rsidRPr="007E383D">
        <w:rPr>
          <w:rFonts w:cs="Arial"/>
          <w:sz w:val="20"/>
          <w:szCs w:val="20"/>
        </w:rPr>
        <w:t>1.2.1.</w:t>
      </w:r>
      <w:r w:rsidRPr="007E383D">
        <w:rPr>
          <w:rFonts w:cs="Arial"/>
          <w:sz w:val="20"/>
          <w:szCs w:val="20"/>
        </w:rPr>
        <w:tab/>
        <w:t xml:space="preserve">areál letiště </w:t>
      </w:r>
      <w:r w:rsidR="007B5FD4" w:rsidRPr="007E383D">
        <w:rPr>
          <w:rFonts w:cs="Arial"/>
          <w:sz w:val="20"/>
          <w:szCs w:val="20"/>
        </w:rPr>
        <w:t>v </w:t>
      </w:r>
      <w:r w:rsidRPr="007E383D">
        <w:rPr>
          <w:rFonts w:cs="Arial"/>
          <w:sz w:val="20"/>
          <w:szCs w:val="20"/>
        </w:rPr>
        <w:t>Pra</w:t>
      </w:r>
      <w:r w:rsidR="007B5FD4" w:rsidRPr="007E383D">
        <w:rPr>
          <w:rFonts w:cs="Arial"/>
          <w:sz w:val="20"/>
          <w:szCs w:val="20"/>
        </w:rPr>
        <w:t xml:space="preserve">ze </w:t>
      </w:r>
      <w:r w:rsidRPr="007E383D">
        <w:rPr>
          <w:rFonts w:cs="Arial"/>
          <w:sz w:val="20"/>
          <w:szCs w:val="20"/>
        </w:rPr>
        <w:t>Ruzyn</w:t>
      </w:r>
      <w:r w:rsidR="007B5FD4" w:rsidRPr="007E383D">
        <w:rPr>
          <w:rFonts w:cs="Arial"/>
          <w:sz w:val="20"/>
          <w:szCs w:val="20"/>
        </w:rPr>
        <w:t>i</w:t>
      </w:r>
      <w:r w:rsidRPr="007E383D">
        <w:rPr>
          <w:rFonts w:cs="Arial"/>
          <w:sz w:val="20"/>
          <w:szCs w:val="20"/>
        </w:rPr>
        <w:t>,</w:t>
      </w:r>
    </w:p>
    <w:p w14:paraId="3EE7A3D4" w14:textId="56BB695C" w:rsidR="00A51644" w:rsidRPr="007E383D" w:rsidRDefault="00A51644" w:rsidP="00A51644">
      <w:pPr>
        <w:autoSpaceDE w:val="0"/>
        <w:autoSpaceDN w:val="0"/>
        <w:adjustRightInd w:val="0"/>
        <w:ind w:left="426"/>
        <w:rPr>
          <w:rFonts w:cs="Arial"/>
          <w:sz w:val="20"/>
          <w:szCs w:val="20"/>
        </w:rPr>
      </w:pPr>
      <w:r w:rsidRPr="007E383D">
        <w:rPr>
          <w:rFonts w:cs="Arial"/>
          <w:sz w:val="20"/>
          <w:szCs w:val="20"/>
        </w:rPr>
        <w:t>1.2.2.</w:t>
      </w:r>
      <w:r w:rsidRPr="007E383D">
        <w:rPr>
          <w:rFonts w:cs="Arial"/>
          <w:sz w:val="20"/>
          <w:szCs w:val="20"/>
        </w:rPr>
        <w:tab/>
        <w:t>Nová Šárka, PSČ 160 00</w:t>
      </w:r>
      <w:r w:rsidR="002767DD" w:rsidRPr="007E383D">
        <w:rPr>
          <w:rFonts w:cs="Arial"/>
          <w:sz w:val="20"/>
          <w:szCs w:val="20"/>
        </w:rPr>
        <w:t xml:space="preserve"> Praha 6</w:t>
      </w:r>
      <w:r w:rsidRPr="007E383D">
        <w:rPr>
          <w:rFonts w:cs="Arial"/>
          <w:sz w:val="20"/>
          <w:szCs w:val="20"/>
        </w:rPr>
        <w:t xml:space="preserve"> - vodojem a přečerpávací stanice,</w:t>
      </w:r>
    </w:p>
    <w:p w14:paraId="5784DB66" w14:textId="77777777" w:rsidR="00A51644" w:rsidRPr="007E383D" w:rsidRDefault="00A51644" w:rsidP="00A51644">
      <w:pPr>
        <w:autoSpaceDE w:val="0"/>
        <w:autoSpaceDN w:val="0"/>
        <w:adjustRightInd w:val="0"/>
        <w:ind w:left="426"/>
        <w:rPr>
          <w:rFonts w:cs="Arial"/>
          <w:sz w:val="20"/>
          <w:szCs w:val="20"/>
        </w:rPr>
      </w:pPr>
      <w:r w:rsidRPr="007E383D">
        <w:rPr>
          <w:rFonts w:cs="Arial"/>
          <w:sz w:val="20"/>
          <w:szCs w:val="20"/>
        </w:rPr>
        <w:t xml:space="preserve">1.2.3. </w:t>
      </w:r>
      <w:r w:rsidRPr="007E383D">
        <w:rPr>
          <w:rFonts w:cs="Arial"/>
          <w:sz w:val="20"/>
          <w:szCs w:val="20"/>
        </w:rPr>
        <w:tab/>
        <w:t>Kněževes, PSČ 252 68, nádrže LPH a čisticí stanice odpadních vod,</w:t>
      </w:r>
    </w:p>
    <w:p w14:paraId="1EE1BAAA" w14:textId="44CAAB80" w:rsidR="00277257" w:rsidRPr="007E383D" w:rsidRDefault="00A51644" w:rsidP="00A51644">
      <w:pPr>
        <w:autoSpaceDE w:val="0"/>
        <w:autoSpaceDN w:val="0"/>
        <w:adjustRightInd w:val="0"/>
        <w:ind w:left="1418" w:hanging="992"/>
        <w:rPr>
          <w:rFonts w:cs="Arial"/>
          <w:sz w:val="20"/>
          <w:szCs w:val="20"/>
        </w:rPr>
      </w:pPr>
      <w:r w:rsidRPr="007E383D">
        <w:rPr>
          <w:rFonts w:cs="Arial"/>
          <w:sz w:val="20"/>
          <w:szCs w:val="20"/>
        </w:rPr>
        <w:t xml:space="preserve">1.2.4. </w:t>
      </w:r>
      <w:r w:rsidRPr="007E383D">
        <w:rPr>
          <w:rFonts w:cs="Arial"/>
          <w:sz w:val="20"/>
          <w:szCs w:val="20"/>
        </w:rPr>
        <w:tab/>
        <w:t>místa na území České republiky, na nichž se nachází majetek dle účetní evidence pojištěných nebo místa po právu užívaná</w:t>
      </w:r>
      <w:r w:rsidR="005B32BA" w:rsidRPr="007E383D">
        <w:rPr>
          <w:rFonts w:cs="Arial"/>
          <w:sz w:val="20"/>
          <w:szCs w:val="20"/>
        </w:rPr>
        <w:t>,</w:t>
      </w:r>
    </w:p>
    <w:p w14:paraId="54C2C0BB" w14:textId="77777777" w:rsidR="00C83770" w:rsidRPr="007E383D" w:rsidRDefault="00C83770" w:rsidP="00FE6EE1">
      <w:pPr>
        <w:pStyle w:val="Odstavecseseznamem"/>
        <w:tabs>
          <w:tab w:val="left" w:pos="-720"/>
        </w:tabs>
        <w:spacing w:before="120"/>
        <w:ind w:left="1418" w:hanging="992"/>
        <w:jc w:val="both"/>
        <w:rPr>
          <w:rFonts w:ascii="Koop Office" w:hAnsi="Koop Office" w:cs="Arial"/>
          <w:sz w:val="20"/>
        </w:rPr>
      </w:pPr>
      <w:r w:rsidRPr="007E383D">
        <w:rPr>
          <w:rFonts w:ascii="Koop Office" w:hAnsi="Koop Office" w:cs="Arial"/>
          <w:sz w:val="20"/>
        </w:rPr>
        <w:t>není-li dále uvedeno jinak.</w:t>
      </w:r>
    </w:p>
    <w:p w14:paraId="4E68AFE2" w14:textId="77777777" w:rsidR="002504F1" w:rsidRPr="007E383D" w:rsidRDefault="00D7357B" w:rsidP="00D21F23">
      <w:pPr>
        <w:keepNext/>
        <w:numPr>
          <w:ilvl w:val="0"/>
          <w:numId w:val="9"/>
        </w:numPr>
        <w:spacing w:before="120"/>
        <w:ind w:left="425" w:hanging="425"/>
        <w:rPr>
          <w:rFonts w:cs="Arial"/>
          <w:b/>
          <w:sz w:val="20"/>
        </w:rPr>
      </w:pPr>
      <w:r w:rsidRPr="007E383D">
        <w:rPr>
          <w:rFonts w:cs="Arial"/>
          <w:b/>
          <w:sz w:val="20"/>
        </w:rPr>
        <w:t>Přehled sjednaných pojištění</w:t>
      </w:r>
    </w:p>
    <w:p w14:paraId="213044CC" w14:textId="77777777" w:rsidR="00D7357B" w:rsidRPr="007E383D" w:rsidRDefault="00D7357B" w:rsidP="00282AF9">
      <w:pPr>
        <w:pStyle w:val="Zkladntext32"/>
        <w:tabs>
          <w:tab w:val="clear" w:pos="-720"/>
        </w:tabs>
        <w:spacing w:line="240" w:lineRule="auto"/>
        <w:ind w:left="425"/>
        <w:jc w:val="both"/>
        <w:rPr>
          <w:rFonts w:ascii="Koop Office" w:hAnsi="Koop Office"/>
        </w:rPr>
      </w:pPr>
      <w:r w:rsidRPr="007E383D">
        <w:rPr>
          <w:rFonts w:ascii="Koop Office" w:hAnsi="Koop Office" w:cs="Arial"/>
        </w:rPr>
        <w:t>Pojištění se sjednává pro předměty pojištění v rozsahu a na místech poj</w:t>
      </w:r>
      <w:r w:rsidR="005D1089" w:rsidRPr="007E383D">
        <w:rPr>
          <w:rFonts w:ascii="Koop Office" w:hAnsi="Koop Office" w:cs="Arial"/>
        </w:rPr>
        <w:t>ištění uvedených v následující</w:t>
      </w:r>
      <w:r w:rsidR="00374B0A" w:rsidRPr="007E383D">
        <w:rPr>
          <w:rFonts w:ascii="Koop Office" w:hAnsi="Koop Office" w:cs="Arial"/>
        </w:rPr>
        <w:t>ch</w:t>
      </w:r>
      <w:r w:rsidRPr="007E383D">
        <w:rPr>
          <w:rFonts w:ascii="Koop Office" w:hAnsi="Koop Office" w:cs="Arial"/>
        </w:rPr>
        <w:t xml:space="preserve"> tabul</w:t>
      </w:r>
      <w:r w:rsidR="00374B0A" w:rsidRPr="007E383D">
        <w:rPr>
          <w:rFonts w:ascii="Koop Office" w:hAnsi="Koop Office" w:cs="Arial"/>
        </w:rPr>
        <w:t>kách</w:t>
      </w:r>
      <w:r w:rsidRPr="007E383D">
        <w:rPr>
          <w:rFonts w:ascii="Koop Office" w:hAnsi="Koop Office" w:cs="Arial"/>
        </w:rPr>
        <w:t>:</w:t>
      </w:r>
    </w:p>
    <w:p w14:paraId="53CC1BD4" w14:textId="3D3F8182" w:rsidR="00344367" w:rsidRPr="007E383D" w:rsidRDefault="005D1089" w:rsidP="009018A2">
      <w:pPr>
        <w:widowControl w:val="0"/>
        <w:rPr>
          <w:b/>
          <w:sz w:val="20"/>
          <w:szCs w:val="20"/>
        </w:rPr>
      </w:pPr>
      <w:r w:rsidRPr="007E383D">
        <w:rPr>
          <w:b/>
          <w:sz w:val="20"/>
          <w:szCs w:val="20"/>
        </w:rPr>
        <w:br w:type="column"/>
      </w:r>
      <w:bookmarkStart w:id="1" w:name="_MON_1248770050"/>
      <w:bookmarkStart w:id="2" w:name="_MON_1248770071"/>
      <w:bookmarkStart w:id="3" w:name="_MON_1248770207"/>
      <w:bookmarkStart w:id="4" w:name="_MON_1248770217"/>
      <w:bookmarkStart w:id="5" w:name="_MON_1251802589"/>
      <w:bookmarkStart w:id="6" w:name="_MON_1279608977"/>
      <w:bookmarkStart w:id="7" w:name="_MON_1279608992"/>
      <w:bookmarkStart w:id="8" w:name="_MON_1322461876"/>
      <w:bookmarkStart w:id="9" w:name="_MON_1322463704"/>
      <w:bookmarkStart w:id="10" w:name="_MON_1324275999"/>
      <w:bookmarkStart w:id="11" w:name="_MON_1338278826"/>
      <w:bookmarkStart w:id="12" w:name="_MON_1248769334"/>
      <w:bookmarkStart w:id="13" w:name="_MON_1248769927"/>
      <w:bookmarkStart w:id="14" w:name="_MON_1248769935"/>
      <w:bookmarkStart w:id="15" w:name="_MON_1248769967"/>
      <w:bookmarkStart w:id="16" w:name="_MON_1248769999"/>
      <w:bookmarkStart w:id="17" w:name="_MON_124877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344367" w:rsidRPr="007E383D">
        <w:rPr>
          <w:b/>
          <w:sz w:val="20"/>
          <w:szCs w:val="20"/>
        </w:rPr>
        <w:lastRenderedPageBreak/>
        <w:t xml:space="preserve">2.1 Pojištění </w:t>
      </w:r>
      <w:r w:rsidRPr="007E383D">
        <w:rPr>
          <w:b/>
          <w:sz w:val="20"/>
          <w:szCs w:val="20"/>
        </w:rPr>
        <w:t>terorismu</w:t>
      </w:r>
      <w:r w:rsidR="00374B0A" w:rsidRPr="007E383D">
        <w:rPr>
          <w:b/>
          <w:sz w:val="20"/>
          <w:szCs w:val="20"/>
        </w:rPr>
        <w:t xml:space="preserve"> – Pojištění majetku</w:t>
      </w:r>
    </w:p>
    <w:tbl>
      <w:tblPr>
        <w:tblStyle w:val="Mkatabulky"/>
        <w:tblW w:w="9952" w:type="dxa"/>
        <w:tblInd w:w="108" w:type="dxa"/>
        <w:tblLayout w:type="fixed"/>
        <w:tblLook w:val="04A0" w:firstRow="1" w:lastRow="0" w:firstColumn="1" w:lastColumn="0" w:noHBand="0" w:noVBand="1"/>
      </w:tblPr>
      <w:tblGrid>
        <w:gridCol w:w="738"/>
        <w:gridCol w:w="2410"/>
        <w:gridCol w:w="1701"/>
        <w:gridCol w:w="1417"/>
        <w:gridCol w:w="1134"/>
        <w:gridCol w:w="1418"/>
        <w:gridCol w:w="1134"/>
      </w:tblGrid>
      <w:tr w:rsidR="00344367" w:rsidRPr="007E383D" w14:paraId="38DC49AE" w14:textId="77777777" w:rsidTr="00A863C8">
        <w:tc>
          <w:tcPr>
            <w:tcW w:w="9952" w:type="dxa"/>
            <w:gridSpan w:val="7"/>
          </w:tcPr>
          <w:p w14:paraId="58546610" w14:textId="77777777" w:rsidR="00344367" w:rsidRPr="007E383D" w:rsidRDefault="00344367" w:rsidP="009018A2">
            <w:pPr>
              <w:widowControl w:val="0"/>
              <w:rPr>
                <w:sz w:val="20"/>
                <w:szCs w:val="20"/>
              </w:rPr>
            </w:pPr>
            <w:r w:rsidRPr="007E383D">
              <w:rPr>
                <w:b/>
                <w:sz w:val="20"/>
                <w:szCs w:val="20"/>
              </w:rPr>
              <w:t xml:space="preserve">Místo pojištění: </w:t>
            </w:r>
            <w:r w:rsidRPr="007E383D">
              <w:rPr>
                <w:sz w:val="20"/>
                <w:szCs w:val="20"/>
              </w:rPr>
              <w:t>viz. bod 1.2.</w:t>
            </w:r>
          </w:p>
        </w:tc>
      </w:tr>
      <w:tr w:rsidR="00344367" w:rsidRPr="007E383D" w14:paraId="7E26E3C9" w14:textId="77777777" w:rsidTr="00A863C8">
        <w:tc>
          <w:tcPr>
            <w:tcW w:w="9952" w:type="dxa"/>
            <w:gridSpan w:val="7"/>
          </w:tcPr>
          <w:p w14:paraId="76037831" w14:textId="0F830F37" w:rsidR="00344367" w:rsidRPr="007E383D" w:rsidRDefault="00344367" w:rsidP="009018A2">
            <w:pPr>
              <w:widowControl w:val="0"/>
              <w:jc w:val="both"/>
              <w:rPr>
                <w:rFonts w:eastAsia="Calibri" w:cs="Arial"/>
                <w:sz w:val="20"/>
                <w:szCs w:val="20"/>
                <w:lang w:eastAsia="en-US"/>
              </w:rPr>
            </w:pPr>
            <w:r w:rsidRPr="007E383D">
              <w:rPr>
                <w:b/>
                <w:sz w:val="20"/>
                <w:szCs w:val="20"/>
              </w:rPr>
              <w:t>Rozsah pojištění</w:t>
            </w:r>
            <w:r w:rsidRPr="007E383D">
              <w:rPr>
                <w:rFonts w:eastAsia="Calibri"/>
                <w:b/>
                <w:sz w:val="20"/>
                <w:szCs w:val="20"/>
                <w:lang w:eastAsia="en-US"/>
              </w:rPr>
              <w:t xml:space="preserve">: </w:t>
            </w:r>
            <w:r w:rsidR="005D1089" w:rsidRPr="007E383D">
              <w:rPr>
                <w:rFonts w:eastAsia="Calibri" w:cs="Arial"/>
                <w:sz w:val="20"/>
                <w:szCs w:val="20"/>
                <w:lang w:eastAsia="en-US"/>
              </w:rPr>
              <w:t>poj. nebezpečí "terorismus" dle Smluvní</w:t>
            </w:r>
            <w:r w:rsidR="00F21FF8" w:rsidRPr="007E383D">
              <w:rPr>
                <w:rFonts w:eastAsia="Calibri" w:cs="Arial"/>
                <w:sz w:val="20"/>
                <w:szCs w:val="20"/>
                <w:lang w:eastAsia="en-US"/>
              </w:rPr>
              <w:t>ch</w:t>
            </w:r>
            <w:r w:rsidR="005D1089" w:rsidRPr="007E383D">
              <w:rPr>
                <w:rFonts w:eastAsia="Calibri" w:cs="Arial"/>
                <w:sz w:val="20"/>
                <w:szCs w:val="20"/>
                <w:lang w:eastAsia="en-US"/>
              </w:rPr>
              <w:t xml:space="preserve"> ujednání pro pojištění terorismu</w:t>
            </w:r>
          </w:p>
        </w:tc>
      </w:tr>
      <w:tr w:rsidR="00344367" w:rsidRPr="007E383D" w14:paraId="00814E8F" w14:textId="77777777" w:rsidTr="00A863C8">
        <w:tc>
          <w:tcPr>
            <w:tcW w:w="9952" w:type="dxa"/>
            <w:gridSpan w:val="7"/>
          </w:tcPr>
          <w:p w14:paraId="34FD9D1E" w14:textId="298FD32F" w:rsidR="00344367" w:rsidRPr="007E383D" w:rsidRDefault="00344367" w:rsidP="009018A2">
            <w:pPr>
              <w:widowControl w:val="0"/>
              <w:rPr>
                <w:sz w:val="20"/>
                <w:szCs w:val="20"/>
              </w:rPr>
            </w:pPr>
            <w:r w:rsidRPr="007E383D">
              <w:rPr>
                <w:b/>
                <w:sz w:val="20"/>
                <w:szCs w:val="20"/>
              </w:rPr>
              <w:t xml:space="preserve">Pojištění se řídí: </w:t>
            </w:r>
            <w:r w:rsidR="005D1089" w:rsidRPr="007E383D">
              <w:rPr>
                <w:sz w:val="20"/>
                <w:szCs w:val="20"/>
              </w:rPr>
              <w:t>Smluvním</w:t>
            </w:r>
            <w:r w:rsidR="00F21FF8" w:rsidRPr="007E383D">
              <w:rPr>
                <w:sz w:val="20"/>
                <w:szCs w:val="20"/>
              </w:rPr>
              <w:t>i</w:t>
            </w:r>
            <w:r w:rsidR="005D1089" w:rsidRPr="007E383D">
              <w:rPr>
                <w:sz w:val="20"/>
                <w:szCs w:val="20"/>
              </w:rPr>
              <w:t xml:space="preserve"> ujednáním</w:t>
            </w:r>
            <w:r w:rsidR="00F21FF8" w:rsidRPr="007E383D">
              <w:rPr>
                <w:sz w:val="20"/>
                <w:szCs w:val="20"/>
              </w:rPr>
              <w:t>i</w:t>
            </w:r>
            <w:r w:rsidR="005D1089" w:rsidRPr="007E383D">
              <w:rPr>
                <w:sz w:val="20"/>
                <w:szCs w:val="20"/>
              </w:rPr>
              <w:t xml:space="preserve"> pro pojištění terorismu </w:t>
            </w:r>
          </w:p>
        </w:tc>
      </w:tr>
      <w:tr w:rsidR="009018A2" w:rsidRPr="007E383D" w14:paraId="43D779DD" w14:textId="77777777" w:rsidTr="00647023">
        <w:tc>
          <w:tcPr>
            <w:tcW w:w="738" w:type="dxa"/>
            <w:vAlign w:val="center"/>
          </w:tcPr>
          <w:p w14:paraId="7BAF8270" w14:textId="77777777" w:rsidR="00344367" w:rsidRPr="007E383D" w:rsidRDefault="00344367" w:rsidP="009018A2">
            <w:pPr>
              <w:widowControl w:val="0"/>
              <w:jc w:val="center"/>
              <w:rPr>
                <w:b/>
                <w:sz w:val="20"/>
                <w:szCs w:val="20"/>
              </w:rPr>
            </w:pPr>
            <w:proofErr w:type="spellStart"/>
            <w:r w:rsidRPr="007E383D">
              <w:rPr>
                <w:b/>
                <w:sz w:val="20"/>
                <w:szCs w:val="20"/>
              </w:rPr>
              <w:t>Poř</w:t>
            </w:r>
            <w:proofErr w:type="spellEnd"/>
            <w:r w:rsidRPr="007E383D">
              <w:rPr>
                <w:b/>
                <w:sz w:val="20"/>
                <w:szCs w:val="20"/>
              </w:rPr>
              <w:t>. číslo</w:t>
            </w:r>
          </w:p>
        </w:tc>
        <w:tc>
          <w:tcPr>
            <w:tcW w:w="2410" w:type="dxa"/>
            <w:vAlign w:val="center"/>
          </w:tcPr>
          <w:p w14:paraId="172BEF43" w14:textId="77777777" w:rsidR="00344367" w:rsidRPr="007E383D" w:rsidRDefault="00344367" w:rsidP="009018A2">
            <w:pPr>
              <w:widowControl w:val="0"/>
              <w:jc w:val="center"/>
              <w:rPr>
                <w:b/>
                <w:sz w:val="20"/>
                <w:szCs w:val="20"/>
              </w:rPr>
            </w:pPr>
            <w:r w:rsidRPr="007E383D">
              <w:rPr>
                <w:b/>
                <w:sz w:val="20"/>
                <w:szCs w:val="20"/>
              </w:rPr>
              <w:t>Předmět pojištění</w:t>
            </w:r>
          </w:p>
        </w:tc>
        <w:tc>
          <w:tcPr>
            <w:tcW w:w="1701" w:type="dxa"/>
            <w:vAlign w:val="center"/>
          </w:tcPr>
          <w:p w14:paraId="0B86A400" w14:textId="77777777" w:rsidR="00344367" w:rsidRPr="007E383D" w:rsidRDefault="00344367" w:rsidP="009018A2">
            <w:pPr>
              <w:widowControl w:val="0"/>
              <w:jc w:val="center"/>
              <w:rPr>
                <w:b/>
                <w:sz w:val="20"/>
                <w:szCs w:val="20"/>
              </w:rPr>
            </w:pPr>
            <w:r w:rsidRPr="007E383D">
              <w:rPr>
                <w:b/>
                <w:sz w:val="20"/>
                <w:szCs w:val="20"/>
              </w:rPr>
              <w:t>Pojistná částka</w:t>
            </w:r>
            <w:r w:rsidRPr="007E383D">
              <w:rPr>
                <w:b/>
                <w:sz w:val="20"/>
                <w:szCs w:val="20"/>
                <w:vertAlign w:val="superscript"/>
              </w:rPr>
              <w:t>10)</w:t>
            </w:r>
          </w:p>
        </w:tc>
        <w:tc>
          <w:tcPr>
            <w:tcW w:w="1417" w:type="dxa"/>
            <w:vAlign w:val="center"/>
          </w:tcPr>
          <w:p w14:paraId="474E527D" w14:textId="77777777" w:rsidR="00344367" w:rsidRPr="007E383D" w:rsidRDefault="00344367" w:rsidP="009018A2">
            <w:pPr>
              <w:widowControl w:val="0"/>
              <w:jc w:val="center"/>
              <w:rPr>
                <w:b/>
                <w:sz w:val="20"/>
                <w:szCs w:val="20"/>
              </w:rPr>
            </w:pPr>
            <w:r w:rsidRPr="007E383D">
              <w:rPr>
                <w:b/>
                <w:sz w:val="20"/>
                <w:szCs w:val="20"/>
              </w:rPr>
              <w:t>Spoluúčast</w:t>
            </w:r>
            <w:r w:rsidRPr="007E383D">
              <w:rPr>
                <w:b/>
                <w:sz w:val="20"/>
                <w:szCs w:val="20"/>
                <w:vertAlign w:val="superscript"/>
              </w:rPr>
              <w:t>5)</w:t>
            </w:r>
          </w:p>
        </w:tc>
        <w:tc>
          <w:tcPr>
            <w:tcW w:w="1134" w:type="dxa"/>
            <w:vAlign w:val="center"/>
          </w:tcPr>
          <w:p w14:paraId="22BF71FC" w14:textId="77777777" w:rsidR="00344367" w:rsidRPr="007E383D" w:rsidRDefault="00344367" w:rsidP="009018A2">
            <w:pPr>
              <w:widowControl w:val="0"/>
              <w:jc w:val="center"/>
              <w:rPr>
                <w:b/>
                <w:sz w:val="20"/>
                <w:szCs w:val="20"/>
              </w:rPr>
            </w:pPr>
            <w:r w:rsidRPr="007E383D">
              <w:rPr>
                <w:b/>
                <w:sz w:val="20"/>
                <w:szCs w:val="20"/>
              </w:rPr>
              <w:t>Pojištění se sjednává na cenu</w:t>
            </w:r>
            <w:r w:rsidRPr="007E383D">
              <w:rPr>
                <w:b/>
                <w:sz w:val="20"/>
                <w:szCs w:val="20"/>
                <w:vertAlign w:val="superscript"/>
              </w:rPr>
              <w:t>*) 1)</w:t>
            </w:r>
          </w:p>
        </w:tc>
        <w:tc>
          <w:tcPr>
            <w:tcW w:w="1418" w:type="dxa"/>
            <w:vAlign w:val="center"/>
          </w:tcPr>
          <w:p w14:paraId="25848B98" w14:textId="77777777" w:rsidR="00344367" w:rsidRPr="007E383D" w:rsidRDefault="00344367" w:rsidP="009018A2">
            <w:pPr>
              <w:widowControl w:val="0"/>
              <w:jc w:val="center"/>
              <w:rPr>
                <w:b/>
                <w:sz w:val="20"/>
                <w:szCs w:val="20"/>
              </w:rPr>
            </w:pPr>
            <w:r w:rsidRPr="007E383D">
              <w:rPr>
                <w:b/>
                <w:sz w:val="20"/>
                <w:szCs w:val="20"/>
              </w:rPr>
              <w:t>MRLP</w:t>
            </w:r>
            <w:r w:rsidRPr="007E383D">
              <w:rPr>
                <w:b/>
                <w:sz w:val="20"/>
                <w:szCs w:val="20"/>
                <w:vertAlign w:val="superscript"/>
              </w:rPr>
              <w:t>3)</w:t>
            </w:r>
            <w:r w:rsidRPr="007E383D">
              <w:rPr>
                <w:b/>
                <w:sz w:val="20"/>
                <w:szCs w:val="20"/>
              </w:rPr>
              <w:t xml:space="preserve"> </w:t>
            </w:r>
          </w:p>
          <w:p w14:paraId="68EBFECA" w14:textId="77777777" w:rsidR="00344367" w:rsidRPr="007E383D" w:rsidRDefault="00344367" w:rsidP="009018A2">
            <w:pPr>
              <w:widowControl w:val="0"/>
              <w:jc w:val="center"/>
              <w:rPr>
                <w:b/>
                <w:sz w:val="20"/>
                <w:szCs w:val="20"/>
              </w:rPr>
            </w:pPr>
            <w:r w:rsidRPr="007E383D">
              <w:rPr>
                <w:b/>
                <w:sz w:val="20"/>
                <w:szCs w:val="20"/>
              </w:rPr>
              <w:t>První riziko</w:t>
            </w:r>
            <w:r w:rsidRPr="007E383D">
              <w:rPr>
                <w:b/>
                <w:sz w:val="20"/>
                <w:szCs w:val="20"/>
                <w:vertAlign w:val="superscript"/>
              </w:rPr>
              <w:t>2)</w:t>
            </w:r>
          </w:p>
        </w:tc>
        <w:tc>
          <w:tcPr>
            <w:tcW w:w="1134" w:type="dxa"/>
            <w:vAlign w:val="center"/>
          </w:tcPr>
          <w:p w14:paraId="409A6A8B" w14:textId="77777777" w:rsidR="00344367" w:rsidRPr="007E383D" w:rsidRDefault="00344367" w:rsidP="009018A2">
            <w:pPr>
              <w:widowControl w:val="0"/>
              <w:jc w:val="center"/>
              <w:rPr>
                <w:b/>
                <w:sz w:val="20"/>
                <w:szCs w:val="20"/>
              </w:rPr>
            </w:pPr>
            <w:r w:rsidRPr="007E383D">
              <w:rPr>
                <w:b/>
                <w:sz w:val="20"/>
                <w:szCs w:val="20"/>
              </w:rPr>
              <w:t>MRLP</w:t>
            </w:r>
            <w:r w:rsidRPr="007E383D">
              <w:rPr>
                <w:b/>
                <w:sz w:val="20"/>
                <w:szCs w:val="20"/>
                <w:vertAlign w:val="superscript"/>
              </w:rPr>
              <w:t>3)</w:t>
            </w:r>
            <w:r w:rsidRPr="007E383D">
              <w:rPr>
                <w:b/>
                <w:sz w:val="20"/>
                <w:szCs w:val="20"/>
              </w:rPr>
              <w:t xml:space="preserve"> </w:t>
            </w:r>
          </w:p>
          <w:p w14:paraId="7EF62431" w14:textId="77777777" w:rsidR="00344367" w:rsidRPr="007E383D" w:rsidRDefault="00344367" w:rsidP="009018A2">
            <w:pPr>
              <w:widowControl w:val="0"/>
              <w:jc w:val="center"/>
              <w:rPr>
                <w:b/>
                <w:sz w:val="20"/>
                <w:szCs w:val="20"/>
              </w:rPr>
            </w:pPr>
            <w:r w:rsidRPr="007E383D">
              <w:rPr>
                <w:b/>
                <w:sz w:val="20"/>
                <w:szCs w:val="20"/>
              </w:rPr>
              <w:t>pro jednu pojistnou událost</w:t>
            </w:r>
          </w:p>
        </w:tc>
      </w:tr>
      <w:tr w:rsidR="006755D9" w:rsidRPr="007E383D" w14:paraId="28C27106" w14:textId="77777777" w:rsidTr="00647023">
        <w:trPr>
          <w:trHeight w:val="1228"/>
        </w:trPr>
        <w:tc>
          <w:tcPr>
            <w:tcW w:w="738" w:type="dxa"/>
            <w:vMerge w:val="restart"/>
            <w:vAlign w:val="center"/>
          </w:tcPr>
          <w:p w14:paraId="3C6AFC1C" w14:textId="77777777" w:rsidR="006755D9" w:rsidRPr="007E383D" w:rsidRDefault="006755D9" w:rsidP="006755D9">
            <w:pPr>
              <w:widowControl w:val="0"/>
              <w:jc w:val="center"/>
              <w:rPr>
                <w:sz w:val="20"/>
                <w:szCs w:val="20"/>
              </w:rPr>
            </w:pPr>
            <w:r w:rsidRPr="007E383D">
              <w:rPr>
                <w:sz w:val="20"/>
                <w:szCs w:val="20"/>
              </w:rPr>
              <w:t>1.</w:t>
            </w:r>
          </w:p>
        </w:tc>
        <w:tc>
          <w:tcPr>
            <w:tcW w:w="2410" w:type="dxa"/>
            <w:vAlign w:val="center"/>
          </w:tcPr>
          <w:p w14:paraId="6F569C6E" w14:textId="682B4B39" w:rsidR="006755D9" w:rsidRPr="007E383D" w:rsidRDefault="006755D9" w:rsidP="006755D9">
            <w:pPr>
              <w:widowControl w:val="0"/>
              <w:rPr>
                <w:sz w:val="20"/>
                <w:szCs w:val="20"/>
              </w:rPr>
            </w:pPr>
            <w:r w:rsidRPr="007E383D">
              <w:rPr>
                <w:sz w:val="20"/>
                <w:szCs w:val="20"/>
              </w:rPr>
              <w:t>Soubor vlastních a cizích budov, staveb, nemovitostí</w:t>
            </w:r>
            <w:r w:rsidRPr="007E383D">
              <w:t>*</w:t>
            </w:r>
            <w:r w:rsidRPr="007E383D">
              <w:rPr>
                <w:sz w:val="20"/>
                <w:szCs w:val="20"/>
              </w:rPr>
              <w:t xml:space="preserve"> a technologií v těchto nemovitostech umístěných (vč. technického zhodnocení a nedokončených investic)</w:t>
            </w:r>
          </w:p>
        </w:tc>
        <w:tc>
          <w:tcPr>
            <w:tcW w:w="1701" w:type="dxa"/>
            <w:vAlign w:val="center"/>
          </w:tcPr>
          <w:p w14:paraId="68BC1521" w14:textId="36416E05" w:rsidR="006755D9" w:rsidRPr="007E383D" w:rsidRDefault="00CC4228" w:rsidP="00142655">
            <w:pPr>
              <w:widowControl w:val="0"/>
              <w:ind w:left="-113" w:right="-112"/>
              <w:jc w:val="center"/>
              <w:rPr>
                <w:sz w:val="20"/>
                <w:szCs w:val="20"/>
              </w:rPr>
            </w:pPr>
            <w:r w:rsidRPr="007E383D">
              <w:rPr>
                <w:sz w:val="20"/>
                <w:szCs w:val="20"/>
              </w:rPr>
              <w:t>48 249 773 712</w:t>
            </w:r>
            <w:r w:rsidR="006755D9" w:rsidRPr="007E383D">
              <w:rPr>
                <w:sz w:val="20"/>
                <w:szCs w:val="20"/>
              </w:rPr>
              <w:t xml:space="preserve"> Kč</w:t>
            </w:r>
          </w:p>
        </w:tc>
        <w:tc>
          <w:tcPr>
            <w:tcW w:w="1417" w:type="dxa"/>
            <w:vAlign w:val="center"/>
          </w:tcPr>
          <w:p w14:paraId="128385DB" w14:textId="77777777" w:rsidR="006755D9" w:rsidRPr="007E383D" w:rsidRDefault="006755D9" w:rsidP="006755D9">
            <w:pPr>
              <w:widowControl w:val="0"/>
              <w:ind w:left="-113" w:right="-112"/>
              <w:jc w:val="center"/>
              <w:rPr>
                <w:sz w:val="20"/>
                <w:szCs w:val="20"/>
              </w:rPr>
            </w:pPr>
            <w:r w:rsidRPr="007E383D">
              <w:rPr>
                <w:sz w:val="20"/>
                <w:szCs w:val="20"/>
              </w:rPr>
              <w:t>2 500 000 Kč</w:t>
            </w:r>
          </w:p>
        </w:tc>
        <w:tc>
          <w:tcPr>
            <w:tcW w:w="1134" w:type="dxa"/>
            <w:vAlign w:val="center"/>
          </w:tcPr>
          <w:p w14:paraId="5AB2E77E" w14:textId="77777777" w:rsidR="006755D9" w:rsidRPr="007E383D" w:rsidRDefault="006755D9" w:rsidP="006755D9">
            <w:pPr>
              <w:widowControl w:val="0"/>
              <w:jc w:val="center"/>
              <w:rPr>
                <w:sz w:val="20"/>
                <w:szCs w:val="20"/>
              </w:rPr>
            </w:pPr>
            <w:r w:rsidRPr="007E383D">
              <w:rPr>
                <w:sz w:val="20"/>
                <w:szCs w:val="20"/>
              </w:rPr>
              <w:t>nová cena</w:t>
            </w:r>
          </w:p>
        </w:tc>
        <w:tc>
          <w:tcPr>
            <w:tcW w:w="1418" w:type="dxa"/>
            <w:vAlign w:val="center"/>
          </w:tcPr>
          <w:p w14:paraId="1C67AAD0" w14:textId="77777777" w:rsidR="006755D9" w:rsidRPr="007E383D" w:rsidRDefault="006755D9" w:rsidP="006755D9">
            <w:pPr>
              <w:widowControl w:val="0"/>
              <w:jc w:val="center"/>
              <w:rPr>
                <w:sz w:val="20"/>
                <w:szCs w:val="20"/>
              </w:rPr>
            </w:pPr>
            <w:r w:rsidRPr="007E383D">
              <w:rPr>
                <w:sz w:val="20"/>
                <w:szCs w:val="20"/>
              </w:rPr>
              <w:t>X</w:t>
            </w:r>
          </w:p>
        </w:tc>
        <w:tc>
          <w:tcPr>
            <w:tcW w:w="1134" w:type="dxa"/>
            <w:vAlign w:val="center"/>
          </w:tcPr>
          <w:p w14:paraId="50109F77" w14:textId="77777777" w:rsidR="006755D9" w:rsidRPr="007E383D" w:rsidRDefault="006755D9" w:rsidP="006755D9">
            <w:pPr>
              <w:widowControl w:val="0"/>
              <w:jc w:val="center"/>
              <w:rPr>
                <w:sz w:val="20"/>
                <w:szCs w:val="20"/>
              </w:rPr>
            </w:pPr>
            <w:r w:rsidRPr="007E383D">
              <w:rPr>
                <w:sz w:val="20"/>
                <w:szCs w:val="20"/>
              </w:rPr>
              <w:t>X</w:t>
            </w:r>
          </w:p>
        </w:tc>
      </w:tr>
      <w:tr w:rsidR="006755D9" w:rsidRPr="007E383D" w14:paraId="39C1231D" w14:textId="77777777" w:rsidTr="00A863C8">
        <w:trPr>
          <w:trHeight w:val="241"/>
        </w:trPr>
        <w:tc>
          <w:tcPr>
            <w:tcW w:w="738" w:type="dxa"/>
            <w:vMerge/>
            <w:vAlign w:val="center"/>
          </w:tcPr>
          <w:p w14:paraId="4676B005" w14:textId="77777777" w:rsidR="006755D9" w:rsidRPr="007E383D" w:rsidRDefault="006755D9" w:rsidP="006755D9">
            <w:pPr>
              <w:widowControl w:val="0"/>
              <w:jc w:val="center"/>
              <w:rPr>
                <w:sz w:val="20"/>
                <w:szCs w:val="20"/>
              </w:rPr>
            </w:pPr>
          </w:p>
        </w:tc>
        <w:tc>
          <w:tcPr>
            <w:tcW w:w="9214" w:type="dxa"/>
            <w:gridSpan w:val="6"/>
            <w:vAlign w:val="center"/>
          </w:tcPr>
          <w:p w14:paraId="524B9C89" w14:textId="01A6C9AB" w:rsidR="006755D9" w:rsidRPr="007E383D" w:rsidRDefault="006755D9" w:rsidP="006755D9">
            <w:pPr>
              <w:widowControl w:val="0"/>
              <w:rPr>
                <w:sz w:val="20"/>
                <w:szCs w:val="20"/>
              </w:rPr>
            </w:pPr>
            <w:r w:rsidRPr="007E383D">
              <w:rPr>
                <w:sz w:val="20"/>
                <w:szCs w:val="20"/>
              </w:rPr>
              <w:t xml:space="preserve">Jedná se o budovy, stavby, haly a ostatní stavby včetně technologií sloužící pro provoz budov i technologií k činnosti budov, mimo zpevněné plochy, včetně technického zhodnocení a stavebních součástí vč. investic do </w:t>
            </w:r>
            <w:proofErr w:type="spellStart"/>
            <w:r w:rsidRPr="007E383D">
              <w:rPr>
                <w:sz w:val="20"/>
                <w:szCs w:val="20"/>
              </w:rPr>
              <w:t>nemovit</w:t>
            </w:r>
            <w:proofErr w:type="spellEnd"/>
            <w:r w:rsidRPr="007E383D">
              <w:rPr>
                <w:sz w:val="20"/>
                <w:szCs w:val="20"/>
              </w:rPr>
              <w:t>. majetku, včetně technologií, přípojek médií a jejich rozvodů v areálu LP (voda, plyn, elektřina, atd…), oplocení areálu LP.</w:t>
            </w:r>
          </w:p>
        </w:tc>
      </w:tr>
      <w:tr w:rsidR="006755D9" w:rsidRPr="007E383D" w14:paraId="16C40BCF" w14:textId="77777777" w:rsidTr="00647023">
        <w:trPr>
          <w:trHeight w:val="1149"/>
        </w:trPr>
        <w:tc>
          <w:tcPr>
            <w:tcW w:w="738" w:type="dxa"/>
            <w:vMerge w:val="restart"/>
            <w:vAlign w:val="center"/>
          </w:tcPr>
          <w:p w14:paraId="416CE63A" w14:textId="77777777" w:rsidR="006755D9" w:rsidRPr="007E383D" w:rsidRDefault="006755D9" w:rsidP="006755D9">
            <w:pPr>
              <w:widowControl w:val="0"/>
              <w:jc w:val="center"/>
              <w:rPr>
                <w:sz w:val="20"/>
                <w:szCs w:val="20"/>
              </w:rPr>
            </w:pPr>
            <w:r w:rsidRPr="007E383D">
              <w:rPr>
                <w:sz w:val="20"/>
                <w:szCs w:val="20"/>
              </w:rPr>
              <w:t>2.</w:t>
            </w:r>
          </w:p>
        </w:tc>
        <w:tc>
          <w:tcPr>
            <w:tcW w:w="2410" w:type="dxa"/>
            <w:vAlign w:val="center"/>
          </w:tcPr>
          <w:p w14:paraId="09C91EFB" w14:textId="35163A22" w:rsidR="006755D9" w:rsidRPr="007E383D" w:rsidRDefault="006755D9" w:rsidP="006755D9">
            <w:pPr>
              <w:widowControl w:val="0"/>
              <w:rPr>
                <w:sz w:val="20"/>
                <w:szCs w:val="20"/>
              </w:rPr>
            </w:pPr>
            <w:r w:rsidRPr="007E383D">
              <w:rPr>
                <w:sz w:val="20"/>
                <w:szCs w:val="20"/>
              </w:rPr>
              <w:t>Soubor vlastních a cizích ostatních nemovitostí (vč. technického zhodnocení a nedokončených investic) – zpevněné plochy</w:t>
            </w:r>
          </w:p>
        </w:tc>
        <w:tc>
          <w:tcPr>
            <w:tcW w:w="1701" w:type="dxa"/>
            <w:vAlign w:val="center"/>
          </w:tcPr>
          <w:p w14:paraId="03B649D8" w14:textId="77777777" w:rsidR="006755D9" w:rsidRPr="007E383D" w:rsidRDefault="006755D9" w:rsidP="006755D9">
            <w:pPr>
              <w:widowControl w:val="0"/>
              <w:jc w:val="center"/>
              <w:rPr>
                <w:sz w:val="20"/>
                <w:szCs w:val="20"/>
              </w:rPr>
            </w:pPr>
            <w:r w:rsidRPr="007E383D">
              <w:rPr>
                <w:sz w:val="20"/>
                <w:szCs w:val="20"/>
              </w:rPr>
              <w:t>X</w:t>
            </w:r>
          </w:p>
        </w:tc>
        <w:tc>
          <w:tcPr>
            <w:tcW w:w="1417" w:type="dxa"/>
            <w:vAlign w:val="center"/>
          </w:tcPr>
          <w:p w14:paraId="033BA1F7" w14:textId="77777777" w:rsidR="006755D9" w:rsidRPr="007E383D" w:rsidRDefault="006755D9" w:rsidP="006755D9">
            <w:pPr>
              <w:widowControl w:val="0"/>
              <w:ind w:left="-113" w:right="-112"/>
              <w:jc w:val="center"/>
              <w:rPr>
                <w:sz w:val="20"/>
                <w:szCs w:val="20"/>
              </w:rPr>
            </w:pPr>
            <w:r w:rsidRPr="007E383D">
              <w:rPr>
                <w:sz w:val="20"/>
                <w:szCs w:val="20"/>
              </w:rPr>
              <w:t>2 500 000 Kč</w:t>
            </w:r>
          </w:p>
        </w:tc>
        <w:tc>
          <w:tcPr>
            <w:tcW w:w="1134" w:type="dxa"/>
            <w:vAlign w:val="center"/>
          </w:tcPr>
          <w:p w14:paraId="21C12094" w14:textId="77777777" w:rsidR="006755D9" w:rsidRPr="007E383D" w:rsidRDefault="006755D9" w:rsidP="006755D9">
            <w:pPr>
              <w:widowControl w:val="0"/>
              <w:jc w:val="center"/>
              <w:rPr>
                <w:sz w:val="20"/>
                <w:szCs w:val="20"/>
              </w:rPr>
            </w:pPr>
            <w:r w:rsidRPr="007E383D">
              <w:rPr>
                <w:sz w:val="20"/>
                <w:szCs w:val="20"/>
              </w:rPr>
              <w:t>nová cena</w:t>
            </w:r>
          </w:p>
        </w:tc>
        <w:tc>
          <w:tcPr>
            <w:tcW w:w="1418" w:type="dxa"/>
            <w:vAlign w:val="center"/>
          </w:tcPr>
          <w:p w14:paraId="090B88D1" w14:textId="14D11844" w:rsidR="006755D9" w:rsidRPr="007E383D" w:rsidRDefault="006755D9" w:rsidP="006755D9">
            <w:pPr>
              <w:widowControl w:val="0"/>
              <w:ind w:left="-111" w:right="-105"/>
              <w:jc w:val="center"/>
              <w:rPr>
                <w:sz w:val="20"/>
                <w:szCs w:val="20"/>
              </w:rPr>
            </w:pPr>
            <w:r w:rsidRPr="007E383D">
              <w:rPr>
                <w:sz w:val="20"/>
                <w:szCs w:val="20"/>
              </w:rPr>
              <w:t>1 500 000 000 Kč</w:t>
            </w:r>
          </w:p>
        </w:tc>
        <w:tc>
          <w:tcPr>
            <w:tcW w:w="1134" w:type="dxa"/>
            <w:vAlign w:val="center"/>
          </w:tcPr>
          <w:p w14:paraId="1A8C6324" w14:textId="77777777" w:rsidR="006755D9" w:rsidRPr="007E383D" w:rsidRDefault="006755D9" w:rsidP="006755D9">
            <w:pPr>
              <w:widowControl w:val="0"/>
              <w:jc w:val="center"/>
              <w:rPr>
                <w:sz w:val="20"/>
                <w:szCs w:val="20"/>
              </w:rPr>
            </w:pPr>
            <w:r w:rsidRPr="007E383D">
              <w:rPr>
                <w:sz w:val="20"/>
                <w:szCs w:val="20"/>
              </w:rPr>
              <w:t>X</w:t>
            </w:r>
          </w:p>
        </w:tc>
      </w:tr>
      <w:tr w:rsidR="006755D9" w:rsidRPr="007E383D" w14:paraId="494ACF4F" w14:textId="77777777" w:rsidTr="00A863C8">
        <w:trPr>
          <w:trHeight w:val="695"/>
        </w:trPr>
        <w:tc>
          <w:tcPr>
            <w:tcW w:w="738" w:type="dxa"/>
            <w:vMerge/>
            <w:vAlign w:val="center"/>
          </w:tcPr>
          <w:p w14:paraId="7A05D2B9" w14:textId="77777777" w:rsidR="006755D9" w:rsidRPr="007E383D" w:rsidRDefault="006755D9" w:rsidP="006755D9">
            <w:pPr>
              <w:widowControl w:val="0"/>
              <w:jc w:val="center"/>
              <w:rPr>
                <w:sz w:val="20"/>
                <w:szCs w:val="20"/>
              </w:rPr>
            </w:pPr>
          </w:p>
        </w:tc>
        <w:tc>
          <w:tcPr>
            <w:tcW w:w="9214" w:type="dxa"/>
            <w:gridSpan w:val="6"/>
            <w:vAlign w:val="center"/>
          </w:tcPr>
          <w:p w14:paraId="4C71EAD5" w14:textId="74A49536" w:rsidR="006755D9" w:rsidRPr="007E383D" w:rsidRDefault="006755D9" w:rsidP="006755D9">
            <w:pPr>
              <w:widowControl w:val="0"/>
              <w:rPr>
                <w:sz w:val="20"/>
                <w:szCs w:val="20"/>
              </w:rPr>
            </w:pPr>
            <w:r w:rsidRPr="007E383D">
              <w:rPr>
                <w:sz w:val="20"/>
                <w:szCs w:val="20"/>
              </w:rPr>
              <w:t>Zpevněné plochy = VPD (vzletové a přistávací dráhy), PD (pojezdové dráhy), odbavovací plochy, odstavné plochy, odmrazovací stání, komunikace včetně estakády, chodníky, ostatní zpevněné plochy.</w:t>
            </w:r>
          </w:p>
        </w:tc>
      </w:tr>
      <w:tr w:rsidR="006755D9" w:rsidRPr="007E383D" w14:paraId="6FD240CE" w14:textId="77777777" w:rsidTr="00647023">
        <w:tc>
          <w:tcPr>
            <w:tcW w:w="738" w:type="dxa"/>
            <w:vMerge w:val="restart"/>
            <w:vAlign w:val="center"/>
          </w:tcPr>
          <w:p w14:paraId="55FFF30C" w14:textId="77777777" w:rsidR="006755D9" w:rsidRPr="007E383D" w:rsidRDefault="006755D9" w:rsidP="006755D9">
            <w:pPr>
              <w:widowControl w:val="0"/>
              <w:jc w:val="center"/>
              <w:rPr>
                <w:sz w:val="20"/>
                <w:szCs w:val="20"/>
              </w:rPr>
            </w:pPr>
            <w:r w:rsidRPr="007E383D">
              <w:rPr>
                <w:sz w:val="20"/>
                <w:szCs w:val="20"/>
              </w:rPr>
              <w:t>3.</w:t>
            </w:r>
          </w:p>
        </w:tc>
        <w:tc>
          <w:tcPr>
            <w:tcW w:w="2410" w:type="dxa"/>
            <w:vAlign w:val="center"/>
          </w:tcPr>
          <w:p w14:paraId="74518BB4" w14:textId="77777777" w:rsidR="006755D9" w:rsidRPr="007E383D" w:rsidRDefault="006755D9" w:rsidP="006755D9">
            <w:pPr>
              <w:widowControl w:val="0"/>
              <w:rPr>
                <w:sz w:val="20"/>
                <w:szCs w:val="20"/>
              </w:rPr>
            </w:pPr>
            <w:r w:rsidRPr="007E383D">
              <w:rPr>
                <w:sz w:val="20"/>
                <w:szCs w:val="20"/>
              </w:rPr>
              <w:t xml:space="preserve">Soubor vlastních </w:t>
            </w:r>
          </w:p>
          <w:p w14:paraId="571BFC08" w14:textId="6B25BAB0" w:rsidR="006755D9" w:rsidRPr="007E383D" w:rsidRDefault="006755D9" w:rsidP="006755D9">
            <w:pPr>
              <w:widowControl w:val="0"/>
              <w:rPr>
                <w:sz w:val="20"/>
                <w:szCs w:val="20"/>
              </w:rPr>
            </w:pPr>
            <w:r w:rsidRPr="007E383D">
              <w:rPr>
                <w:sz w:val="20"/>
                <w:szCs w:val="20"/>
              </w:rPr>
              <w:t xml:space="preserve">a cizích věcí movitých, elektronika, nářadí, stroje, vozidla bez RZ, speciální hasičská vozidla atd. </w:t>
            </w:r>
          </w:p>
        </w:tc>
        <w:tc>
          <w:tcPr>
            <w:tcW w:w="1701" w:type="dxa"/>
            <w:vAlign w:val="center"/>
          </w:tcPr>
          <w:p w14:paraId="67A0B597" w14:textId="440DE78E" w:rsidR="006755D9" w:rsidRPr="007E383D" w:rsidRDefault="00AA0CD6" w:rsidP="00AA0CD6">
            <w:pPr>
              <w:widowControl w:val="0"/>
              <w:ind w:left="-113" w:right="-112"/>
              <w:jc w:val="center"/>
              <w:rPr>
                <w:sz w:val="20"/>
                <w:szCs w:val="20"/>
              </w:rPr>
            </w:pPr>
            <w:r w:rsidRPr="007E383D">
              <w:rPr>
                <w:sz w:val="20"/>
                <w:szCs w:val="20"/>
              </w:rPr>
              <w:t>5</w:t>
            </w:r>
            <w:r w:rsidR="00CC4228" w:rsidRPr="007E383D">
              <w:rPr>
                <w:sz w:val="20"/>
                <w:szCs w:val="20"/>
              </w:rPr>
              <w:t> 279 773 662</w:t>
            </w:r>
            <w:r w:rsidRPr="007E383D">
              <w:rPr>
                <w:sz w:val="20"/>
                <w:szCs w:val="20"/>
              </w:rPr>
              <w:t xml:space="preserve"> Kč</w:t>
            </w:r>
          </w:p>
        </w:tc>
        <w:tc>
          <w:tcPr>
            <w:tcW w:w="1417" w:type="dxa"/>
            <w:vAlign w:val="center"/>
          </w:tcPr>
          <w:p w14:paraId="1B635745" w14:textId="77777777" w:rsidR="006755D9" w:rsidRPr="007E383D" w:rsidRDefault="006755D9" w:rsidP="006755D9">
            <w:pPr>
              <w:widowControl w:val="0"/>
              <w:ind w:left="-113" w:right="-112"/>
              <w:jc w:val="center"/>
              <w:rPr>
                <w:sz w:val="20"/>
                <w:szCs w:val="20"/>
              </w:rPr>
            </w:pPr>
            <w:r w:rsidRPr="007E383D">
              <w:rPr>
                <w:sz w:val="20"/>
                <w:szCs w:val="20"/>
              </w:rPr>
              <w:t>2 500 000 Kč</w:t>
            </w:r>
          </w:p>
        </w:tc>
        <w:tc>
          <w:tcPr>
            <w:tcW w:w="1134" w:type="dxa"/>
            <w:vAlign w:val="center"/>
          </w:tcPr>
          <w:p w14:paraId="4D17BDBE" w14:textId="77777777" w:rsidR="006755D9" w:rsidRPr="007E383D" w:rsidRDefault="006755D9" w:rsidP="006755D9">
            <w:pPr>
              <w:widowControl w:val="0"/>
              <w:jc w:val="center"/>
              <w:rPr>
                <w:sz w:val="20"/>
                <w:szCs w:val="20"/>
              </w:rPr>
            </w:pPr>
            <w:r w:rsidRPr="007E383D">
              <w:rPr>
                <w:sz w:val="20"/>
                <w:szCs w:val="20"/>
              </w:rPr>
              <w:t>nová cena</w:t>
            </w:r>
          </w:p>
        </w:tc>
        <w:tc>
          <w:tcPr>
            <w:tcW w:w="1418" w:type="dxa"/>
            <w:vAlign w:val="center"/>
          </w:tcPr>
          <w:p w14:paraId="22D70D66" w14:textId="77777777" w:rsidR="006755D9" w:rsidRPr="007E383D" w:rsidRDefault="006755D9" w:rsidP="006755D9">
            <w:pPr>
              <w:widowControl w:val="0"/>
              <w:jc w:val="center"/>
              <w:rPr>
                <w:sz w:val="20"/>
                <w:szCs w:val="20"/>
              </w:rPr>
            </w:pPr>
            <w:r w:rsidRPr="007E383D">
              <w:rPr>
                <w:sz w:val="20"/>
                <w:szCs w:val="20"/>
              </w:rPr>
              <w:t>X</w:t>
            </w:r>
          </w:p>
        </w:tc>
        <w:tc>
          <w:tcPr>
            <w:tcW w:w="1134" w:type="dxa"/>
            <w:vAlign w:val="center"/>
          </w:tcPr>
          <w:p w14:paraId="2F29C0B2" w14:textId="77777777" w:rsidR="006755D9" w:rsidRPr="007E383D" w:rsidRDefault="006755D9" w:rsidP="006755D9">
            <w:pPr>
              <w:widowControl w:val="0"/>
              <w:jc w:val="center"/>
              <w:rPr>
                <w:sz w:val="20"/>
                <w:szCs w:val="20"/>
              </w:rPr>
            </w:pPr>
            <w:r w:rsidRPr="007E383D">
              <w:rPr>
                <w:sz w:val="20"/>
                <w:szCs w:val="20"/>
              </w:rPr>
              <w:t>X</w:t>
            </w:r>
          </w:p>
        </w:tc>
      </w:tr>
      <w:tr w:rsidR="006755D9" w:rsidRPr="007E383D" w14:paraId="7A0E5486" w14:textId="77777777" w:rsidTr="00E14067">
        <w:tc>
          <w:tcPr>
            <w:tcW w:w="738" w:type="dxa"/>
            <w:vMerge/>
            <w:tcBorders>
              <w:bottom w:val="single" w:sz="4" w:space="0" w:color="auto"/>
            </w:tcBorders>
            <w:vAlign w:val="center"/>
          </w:tcPr>
          <w:p w14:paraId="700D1E5C" w14:textId="77777777" w:rsidR="006755D9" w:rsidRPr="007E383D" w:rsidRDefault="006755D9" w:rsidP="006755D9">
            <w:pPr>
              <w:widowControl w:val="0"/>
              <w:jc w:val="center"/>
              <w:rPr>
                <w:sz w:val="20"/>
                <w:szCs w:val="20"/>
              </w:rPr>
            </w:pPr>
          </w:p>
        </w:tc>
        <w:tc>
          <w:tcPr>
            <w:tcW w:w="9214" w:type="dxa"/>
            <w:gridSpan w:val="6"/>
            <w:vAlign w:val="center"/>
          </w:tcPr>
          <w:p w14:paraId="4252B59E" w14:textId="0183D2DA" w:rsidR="006755D9" w:rsidRPr="007E383D" w:rsidRDefault="006755D9" w:rsidP="006755D9">
            <w:pPr>
              <w:widowControl w:val="0"/>
              <w:rPr>
                <w:sz w:val="20"/>
                <w:szCs w:val="20"/>
              </w:rPr>
            </w:pPr>
            <w:r w:rsidRPr="007E383D">
              <w:rPr>
                <w:rFonts w:cs="Arial"/>
                <w:sz w:val="20"/>
                <w:szCs w:val="20"/>
              </w:rPr>
              <w:t xml:space="preserve">Jedná se o movitý majetek vč. DHIM, stroje, zařízení, elektronika, inventář, vozidla bez SPZ, (cizí movitý majetek = movitý </w:t>
            </w:r>
            <w:proofErr w:type="spellStart"/>
            <w:r w:rsidRPr="007E383D">
              <w:rPr>
                <w:rFonts w:cs="Arial"/>
                <w:sz w:val="20"/>
                <w:szCs w:val="20"/>
              </w:rPr>
              <w:t>maj</w:t>
            </w:r>
            <w:proofErr w:type="spellEnd"/>
            <w:r w:rsidRPr="007E383D">
              <w:rPr>
                <w:rFonts w:cs="Arial"/>
                <w:sz w:val="20"/>
                <w:szCs w:val="20"/>
              </w:rPr>
              <w:t>. převzatý na základě písemné smlouvy včetně motorových vozidel bez SPZ).</w:t>
            </w:r>
          </w:p>
        </w:tc>
      </w:tr>
      <w:tr w:rsidR="006755D9" w:rsidRPr="007E383D" w14:paraId="58DE9849" w14:textId="77777777" w:rsidTr="00647023">
        <w:tc>
          <w:tcPr>
            <w:tcW w:w="738" w:type="dxa"/>
            <w:tcBorders>
              <w:bottom w:val="nil"/>
            </w:tcBorders>
            <w:vAlign w:val="center"/>
          </w:tcPr>
          <w:p w14:paraId="26FB84A6" w14:textId="015C0237" w:rsidR="006755D9" w:rsidRPr="007E383D" w:rsidRDefault="006755D9" w:rsidP="006755D9">
            <w:pPr>
              <w:widowControl w:val="0"/>
              <w:jc w:val="center"/>
              <w:rPr>
                <w:sz w:val="20"/>
                <w:szCs w:val="20"/>
              </w:rPr>
            </w:pPr>
            <w:r w:rsidRPr="007E383D">
              <w:rPr>
                <w:sz w:val="20"/>
                <w:szCs w:val="20"/>
              </w:rPr>
              <w:t>4.</w:t>
            </w:r>
          </w:p>
        </w:tc>
        <w:tc>
          <w:tcPr>
            <w:tcW w:w="2410" w:type="dxa"/>
            <w:vAlign w:val="center"/>
          </w:tcPr>
          <w:p w14:paraId="75ABBACF" w14:textId="637DBF5E" w:rsidR="006755D9" w:rsidRPr="007E383D" w:rsidRDefault="006755D9" w:rsidP="006755D9">
            <w:pPr>
              <w:widowControl w:val="0"/>
              <w:rPr>
                <w:rFonts w:cs="Arial"/>
                <w:sz w:val="20"/>
                <w:szCs w:val="20"/>
              </w:rPr>
            </w:pPr>
            <w:r w:rsidRPr="007E383D">
              <w:rPr>
                <w:sz w:val="20"/>
                <w:szCs w:val="20"/>
              </w:rPr>
              <w:t>Soubor vlastních a cizích uměleckých děl</w:t>
            </w:r>
            <w:r w:rsidRPr="007E383D">
              <w:t>**</w:t>
            </w:r>
            <w:r w:rsidRPr="007E383D">
              <w:rPr>
                <w:sz w:val="20"/>
                <w:szCs w:val="20"/>
              </w:rPr>
              <w:t xml:space="preserve">, sochy, plastiky a obrazy </w:t>
            </w:r>
          </w:p>
        </w:tc>
        <w:tc>
          <w:tcPr>
            <w:tcW w:w="1701" w:type="dxa"/>
            <w:vAlign w:val="center"/>
          </w:tcPr>
          <w:p w14:paraId="582A8EB5" w14:textId="15E5CC6D" w:rsidR="006755D9" w:rsidRPr="007E383D" w:rsidRDefault="00F200E2" w:rsidP="00F200E2">
            <w:pPr>
              <w:widowControl w:val="0"/>
              <w:jc w:val="center"/>
              <w:rPr>
                <w:rFonts w:cs="Arial"/>
                <w:sz w:val="20"/>
                <w:szCs w:val="20"/>
              </w:rPr>
            </w:pPr>
            <w:r w:rsidRPr="007E383D">
              <w:rPr>
                <w:sz w:val="20"/>
                <w:szCs w:val="20"/>
              </w:rPr>
              <w:t>10 316 806</w:t>
            </w:r>
            <w:r w:rsidR="006755D9" w:rsidRPr="007E383D">
              <w:rPr>
                <w:sz w:val="20"/>
                <w:szCs w:val="20"/>
              </w:rPr>
              <w:t xml:space="preserve"> Kč</w:t>
            </w:r>
          </w:p>
        </w:tc>
        <w:tc>
          <w:tcPr>
            <w:tcW w:w="1417" w:type="dxa"/>
            <w:vAlign w:val="center"/>
          </w:tcPr>
          <w:p w14:paraId="73B1AB2A" w14:textId="371677BC" w:rsidR="006755D9" w:rsidRPr="007E383D" w:rsidRDefault="006755D9" w:rsidP="006755D9">
            <w:pPr>
              <w:widowControl w:val="0"/>
              <w:rPr>
                <w:rFonts w:cs="Arial"/>
                <w:sz w:val="20"/>
                <w:szCs w:val="20"/>
              </w:rPr>
            </w:pPr>
            <w:r w:rsidRPr="007E383D">
              <w:rPr>
                <w:sz w:val="20"/>
                <w:szCs w:val="20"/>
              </w:rPr>
              <w:t>2 500 000 Kč</w:t>
            </w:r>
          </w:p>
        </w:tc>
        <w:tc>
          <w:tcPr>
            <w:tcW w:w="1134" w:type="dxa"/>
            <w:vAlign w:val="center"/>
          </w:tcPr>
          <w:p w14:paraId="02005C4E" w14:textId="2C39B178" w:rsidR="006755D9" w:rsidRPr="007E383D" w:rsidRDefault="006755D9" w:rsidP="006755D9">
            <w:pPr>
              <w:widowControl w:val="0"/>
              <w:jc w:val="center"/>
              <w:rPr>
                <w:rFonts w:cs="Arial"/>
                <w:sz w:val="20"/>
                <w:szCs w:val="20"/>
              </w:rPr>
            </w:pPr>
            <w:r w:rsidRPr="007E383D">
              <w:rPr>
                <w:rFonts w:cs="Arial"/>
                <w:sz w:val="20"/>
                <w:szCs w:val="20"/>
              </w:rPr>
              <w:t>nová cena</w:t>
            </w:r>
          </w:p>
        </w:tc>
        <w:tc>
          <w:tcPr>
            <w:tcW w:w="1418" w:type="dxa"/>
            <w:vAlign w:val="center"/>
          </w:tcPr>
          <w:p w14:paraId="0A1AC1D4" w14:textId="68AE5095" w:rsidR="006755D9" w:rsidRPr="007E383D" w:rsidRDefault="006755D9" w:rsidP="006755D9">
            <w:pPr>
              <w:widowControl w:val="0"/>
              <w:jc w:val="center"/>
              <w:rPr>
                <w:rFonts w:cs="Arial"/>
                <w:sz w:val="20"/>
                <w:szCs w:val="20"/>
              </w:rPr>
            </w:pPr>
            <w:r w:rsidRPr="007E383D">
              <w:rPr>
                <w:sz w:val="20"/>
                <w:szCs w:val="20"/>
              </w:rPr>
              <w:t>X</w:t>
            </w:r>
          </w:p>
        </w:tc>
        <w:tc>
          <w:tcPr>
            <w:tcW w:w="1134" w:type="dxa"/>
            <w:vAlign w:val="center"/>
          </w:tcPr>
          <w:p w14:paraId="1A1CAB26" w14:textId="425D5BB7" w:rsidR="006755D9" w:rsidRPr="007E383D" w:rsidRDefault="006755D9" w:rsidP="006755D9">
            <w:pPr>
              <w:widowControl w:val="0"/>
              <w:jc w:val="center"/>
              <w:rPr>
                <w:rFonts w:cs="Arial"/>
                <w:sz w:val="20"/>
                <w:szCs w:val="20"/>
              </w:rPr>
            </w:pPr>
            <w:r w:rsidRPr="007E383D">
              <w:rPr>
                <w:sz w:val="20"/>
                <w:szCs w:val="20"/>
              </w:rPr>
              <w:t>X</w:t>
            </w:r>
          </w:p>
        </w:tc>
      </w:tr>
      <w:tr w:rsidR="006755D9" w:rsidRPr="007E383D" w14:paraId="39A9E476" w14:textId="77777777" w:rsidTr="00647023">
        <w:tc>
          <w:tcPr>
            <w:tcW w:w="738" w:type="dxa"/>
            <w:vMerge w:val="restart"/>
            <w:tcBorders>
              <w:top w:val="single" w:sz="4" w:space="0" w:color="auto"/>
            </w:tcBorders>
            <w:vAlign w:val="center"/>
          </w:tcPr>
          <w:p w14:paraId="12CD88A0" w14:textId="292883AD" w:rsidR="006755D9" w:rsidRPr="007E383D" w:rsidRDefault="006755D9" w:rsidP="006755D9">
            <w:pPr>
              <w:widowControl w:val="0"/>
              <w:jc w:val="center"/>
              <w:rPr>
                <w:sz w:val="20"/>
                <w:szCs w:val="20"/>
              </w:rPr>
            </w:pPr>
            <w:r w:rsidRPr="007E383D">
              <w:rPr>
                <w:sz w:val="20"/>
                <w:szCs w:val="20"/>
              </w:rPr>
              <w:t>5.</w:t>
            </w:r>
          </w:p>
        </w:tc>
        <w:tc>
          <w:tcPr>
            <w:tcW w:w="2410" w:type="dxa"/>
            <w:vAlign w:val="center"/>
          </w:tcPr>
          <w:p w14:paraId="71FF23FC" w14:textId="7CAC2F79" w:rsidR="006755D9" w:rsidRPr="007E383D" w:rsidRDefault="006755D9" w:rsidP="006755D9">
            <w:pPr>
              <w:widowControl w:val="0"/>
              <w:rPr>
                <w:sz w:val="20"/>
                <w:szCs w:val="20"/>
              </w:rPr>
            </w:pPr>
            <w:r w:rsidRPr="007E383D">
              <w:rPr>
                <w:rFonts w:cs="Arial"/>
                <w:sz w:val="20"/>
                <w:szCs w:val="20"/>
              </w:rPr>
              <w:t>Zásoby – vlastní a cizí letecké palivo</w:t>
            </w:r>
          </w:p>
        </w:tc>
        <w:tc>
          <w:tcPr>
            <w:tcW w:w="1701" w:type="dxa"/>
            <w:vAlign w:val="center"/>
          </w:tcPr>
          <w:p w14:paraId="64146DC9" w14:textId="708BB29B" w:rsidR="006755D9" w:rsidRPr="007E383D" w:rsidRDefault="006755D9" w:rsidP="006755D9">
            <w:pPr>
              <w:widowControl w:val="0"/>
              <w:jc w:val="center"/>
              <w:rPr>
                <w:sz w:val="20"/>
                <w:szCs w:val="20"/>
              </w:rPr>
            </w:pPr>
            <w:r w:rsidRPr="007E383D">
              <w:rPr>
                <w:rFonts w:cs="Arial"/>
                <w:sz w:val="20"/>
                <w:szCs w:val="20"/>
              </w:rPr>
              <w:t>140 000 000 Kč</w:t>
            </w:r>
          </w:p>
        </w:tc>
        <w:tc>
          <w:tcPr>
            <w:tcW w:w="1417" w:type="dxa"/>
            <w:vAlign w:val="center"/>
          </w:tcPr>
          <w:p w14:paraId="7EC49FF1" w14:textId="088A5699" w:rsidR="006755D9" w:rsidRPr="007E383D" w:rsidRDefault="006755D9" w:rsidP="006755D9">
            <w:pPr>
              <w:widowControl w:val="0"/>
              <w:ind w:left="-113" w:right="-112"/>
              <w:jc w:val="center"/>
              <w:rPr>
                <w:sz w:val="20"/>
                <w:szCs w:val="20"/>
              </w:rPr>
            </w:pPr>
            <w:r w:rsidRPr="007E383D">
              <w:rPr>
                <w:sz w:val="20"/>
                <w:szCs w:val="20"/>
              </w:rPr>
              <w:t>2 500 000 Kč</w:t>
            </w:r>
          </w:p>
        </w:tc>
        <w:tc>
          <w:tcPr>
            <w:tcW w:w="1134" w:type="dxa"/>
            <w:vAlign w:val="center"/>
          </w:tcPr>
          <w:p w14:paraId="5838DE48" w14:textId="42E21E86" w:rsidR="006755D9" w:rsidRPr="007E383D" w:rsidRDefault="006755D9" w:rsidP="006755D9">
            <w:pPr>
              <w:widowControl w:val="0"/>
              <w:jc w:val="center"/>
              <w:rPr>
                <w:sz w:val="20"/>
                <w:szCs w:val="20"/>
              </w:rPr>
            </w:pPr>
            <w:r w:rsidRPr="007E383D">
              <w:rPr>
                <w:rFonts w:cs="Arial"/>
                <w:sz w:val="20"/>
                <w:szCs w:val="20"/>
              </w:rPr>
              <w:t>nová cena</w:t>
            </w:r>
          </w:p>
        </w:tc>
        <w:tc>
          <w:tcPr>
            <w:tcW w:w="1418" w:type="dxa"/>
            <w:vAlign w:val="center"/>
          </w:tcPr>
          <w:p w14:paraId="18B44235" w14:textId="2F62A0C2" w:rsidR="006755D9" w:rsidRPr="007E383D" w:rsidRDefault="006755D9" w:rsidP="006755D9">
            <w:pPr>
              <w:widowControl w:val="0"/>
              <w:jc w:val="center"/>
              <w:rPr>
                <w:sz w:val="20"/>
                <w:szCs w:val="20"/>
              </w:rPr>
            </w:pPr>
            <w:r w:rsidRPr="007E383D">
              <w:rPr>
                <w:rFonts w:cs="Arial"/>
                <w:sz w:val="20"/>
                <w:szCs w:val="20"/>
              </w:rPr>
              <w:t>X</w:t>
            </w:r>
          </w:p>
        </w:tc>
        <w:tc>
          <w:tcPr>
            <w:tcW w:w="1134" w:type="dxa"/>
            <w:vAlign w:val="center"/>
          </w:tcPr>
          <w:p w14:paraId="565C9AC2" w14:textId="12EBFF24" w:rsidR="006755D9" w:rsidRPr="007E383D" w:rsidRDefault="006755D9" w:rsidP="006755D9">
            <w:pPr>
              <w:widowControl w:val="0"/>
              <w:jc w:val="center"/>
              <w:rPr>
                <w:sz w:val="20"/>
                <w:szCs w:val="20"/>
              </w:rPr>
            </w:pPr>
            <w:r w:rsidRPr="007E383D">
              <w:rPr>
                <w:rFonts w:cs="Arial"/>
                <w:sz w:val="20"/>
                <w:szCs w:val="20"/>
              </w:rPr>
              <w:t>X</w:t>
            </w:r>
          </w:p>
        </w:tc>
      </w:tr>
      <w:tr w:rsidR="006755D9" w:rsidRPr="007E383D" w14:paraId="43628BCF" w14:textId="77777777" w:rsidTr="000351E8">
        <w:trPr>
          <w:trHeight w:val="625"/>
        </w:trPr>
        <w:tc>
          <w:tcPr>
            <w:tcW w:w="738" w:type="dxa"/>
            <w:vMerge/>
            <w:vAlign w:val="center"/>
          </w:tcPr>
          <w:p w14:paraId="45AE507E" w14:textId="77777777" w:rsidR="006755D9" w:rsidRPr="007E383D" w:rsidRDefault="006755D9" w:rsidP="006755D9">
            <w:pPr>
              <w:widowControl w:val="0"/>
              <w:jc w:val="center"/>
              <w:rPr>
                <w:sz w:val="20"/>
                <w:szCs w:val="20"/>
              </w:rPr>
            </w:pPr>
          </w:p>
        </w:tc>
        <w:tc>
          <w:tcPr>
            <w:tcW w:w="9214" w:type="dxa"/>
            <w:gridSpan w:val="6"/>
            <w:vAlign w:val="center"/>
          </w:tcPr>
          <w:p w14:paraId="4B52D281" w14:textId="75F277E1" w:rsidR="006755D9" w:rsidRPr="007E383D" w:rsidRDefault="006755D9" w:rsidP="006755D9">
            <w:pPr>
              <w:widowControl w:val="0"/>
              <w:rPr>
                <w:sz w:val="20"/>
                <w:szCs w:val="20"/>
              </w:rPr>
            </w:pPr>
            <w:r w:rsidRPr="007E383D">
              <w:rPr>
                <w:rFonts w:cs="Arial"/>
                <w:sz w:val="20"/>
                <w:szCs w:val="20"/>
              </w:rPr>
              <w:t>Jedná se o letecké palivo po dobu jeho uskladnění v autocisternách, nádržích atd. včetně jeho přepravy k odběratelům (leteckým společnostem) v rámci plochy letiště</w:t>
            </w:r>
          </w:p>
        </w:tc>
      </w:tr>
      <w:tr w:rsidR="006755D9" w:rsidRPr="007E383D" w14:paraId="6BED7413" w14:textId="77777777" w:rsidTr="000351E8">
        <w:trPr>
          <w:trHeight w:val="547"/>
        </w:trPr>
        <w:tc>
          <w:tcPr>
            <w:tcW w:w="738" w:type="dxa"/>
            <w:vAlign w:val="center"/>
          </w:tcPr>
          <w:p w14:paraId="369A6216" w14:textId="2BA36E9A" w:rsidR="006755D9" w:rsidRPr="007E383D" w:rsidRDefault="006755D9" w:rsidP="006755D9">
            <w:pPr>
              <w:widowControl w:val="0"/>
              <w:jc w:val="center"/>
              <w:rPr>
                <w:sz w:val="20"/>
                <w:szCs w:val="20"/>
              </w:rPr>
            </w:pPr>
            <w:r w:rsidRPr="007E383D">
              <w:rPr>
                <w:sz w:val="20"/>
                <w:szCs w:val="20"/>
              </w:rPr>
              <w:t>6.</w:t>
            </w:r>
          </w:p>
        </w:tc>
        <w:tc>
          <w:tcPr>
            <w:tcW w:w="2410" w:type="dxa"/>
            <w:vAlign w:val="center"/>
          </w:tcPr>
          <w:p w14:paraId="5BB1B052" w14:textId="4743D72B" w:rsidR="006755D9" w:rsidRPr="007E383D" w:rsidRDefault="006755D9" w:rsidP="006755D9">
            <w:pPr>
              <w:widowControl w:val="0"/>
              <w:rPr>
                <w:sz w:val="20"/>
                <w:szCs w:val="20"/>
              </w:rPr>
            </w:pPr>
            <w:r w:rsidRPr="007E383D">
              <w:rPr>
                <w:rFonts w:cs="Arial"/>
                <w:sz w:val="20"/>
                <w:szCs w:val="20"/>
              </w:rPr>
              <w:t>Zásoby – vlastní a cizí neletecké palivo</w:t>
            </w:r>
          </w:p>
        </w:tc>
        <w:tc>
          <w:tcPr>
            <w:tcW w:w="1701" w:type="dxa"/>
            <w:vAlign w:val="center"/>
          </w:tcPr>
          <w:p w14:paraId="4AC61AD2" w14:textId="77E62E17" w:rsidR="006755D9" w:rsidRPr="007E383D" w:rsidRDefault="006755D9" w:rsidP="006755D9">
            <w:pPr>
              <w:widowControl w:val="0"/>
              <w:jc w:val="center"/>
              <w:rPr>
                <w:sz w:val="20"/>
                <w:szCs w:val="20"/>
              </w:rPr>
            </w:pPr>
            <w:r w:rsidRPr="007E383D">
              <w:rPr>
                <w:sz w:val="20"/>
                <w:szCs w:val="20"/>
              </w:rPr>
              <w:t>3 000 000 Kč</w:t>
            </w:r>
          </w:p>
        </w:tc>
        <w:tc>
          <w:tcPr>
            <w:tcW w:w="1417" w:type="dxa"/>
            <w:vAlign w:val="center"/>
          </w:tcPr>
          <w:p w14:paraId="2CFFCCBF" w14:textId="77777777" w:rsidR="006755D9" w:rsidRPr="007E383D" w:rsidRDefault="006755D9" w:rsidP="006755D9">
            <w:pPr>
              <w:widowControl w:val="0"/>
              <w:ind w:left="-113" w:right="-112"/>
              <w:jc w:val="center"/>
              <w:rPr>
                <w:sz w:val="20"/>
                <w:szCs w:val="20"/>
              </w:rPr>
            </w:pPr>
            <w:r w:rsidRPr="007E383D">
              <w:rPr>
                <w:sz w:val="20"/>
                <w:szCs w:val="20"/>
              </w:rPr>
              <w:t>2 500 000 Kč</w:t>
            </w:r>
          </w:p>
        </w:tc>
        <w:tc>
          <w:tcPr>
            <w:tcW w:w="1134" w:type="dxa"/>
            <w:vAlign w:val="center"/>
          </w:tcPr>
          <w:p w14:paraId="6C5E88C9" w14:textId="77777777" w:rsidR="006755D9" w:rsidRPr="007E383D" w:rsidRDefault="006755D9" w:rsidP="006755D9">
            <w:pPr>
              <w:widowControl w:val="0"/>
              <w:jc w:val="center"/>
              <w:rPr>
                <w:sz w:val="20"/>
                <w:szCs w:val="20"/>
              </w:rPr>
            </w:pPr>
            <w:r w:rsidRPr="007E383D">
              <w:rPr>
                <w:sz w:val="20"/>
                <w:szCs w:val="20"/>
              </w:rPr>
              <w:t>nová cena</w:t>
            </w:r>
          </w:p>
        </w:tc>
        <w:tc>
          <w:tcPr>
            <w:tcW w:w="1418" w:type="dxa"/>
            <w:vAlign w:val="center"/>
          </w:tcPr>
          <w:p w14:paraId="01B27937" w14:textId="77777777" w:rsidR="006755D9" w:rsidRPr="007E383D" w:rsidRDefault="006755D9" w:rsidP="006755D9">
            <w:pPr>
              <w:widowControl w:val="0"/>
              <w:jc w:val="center"/>
              <w:rPr>
                <w:sz w:val="20"/>
                <w:szCs w:val="20"/>
              </w:rPr>
            </w:pPr>
            <w:r w:rsidRPr="007E383D">
              <w:rPr>
                <w:sz w:val="20"/>
                <w:szCs w:val="20"/>
              </w:rPr>
              <w:t>X</w:t>
            </w:r>
          </w:p>
        </w:tc>
        <w:tc>
          <w:tcPr>
            <w:tcW w:w="1134" w:type="dxa"/>
            <w:vAlign w:val="center"/>
          </w:tcPr>
          <w:p w14:paraId="36E0DF90" w14:textId="77777777" w:rsidR="006755D9" w:rsidRPr="007E383D" w:rsidRDefault="006755D9" w:rsidP="006755D9">
            <w:pPr>
              <w:widowControl w:val="0"/>
              <w:jc w:val="center"/>
              <w:rPr>
                <w:sz w:val="20"/>
                <w:szCs w:val="20"/>
              </w:rPr>
            </w:pPr>
            <w:r w:rsidRPr="007E383D">
              <w:rPr>
                <w:sz w:val="20"/>
                <w:szCs w:val="20"/>
              </w:rPr>
              <w:t>X</w:t>
            </w:r>
          </w:p>
        </w:tc>
      </w:tr>
      <w:tr w:rsidR="006755D9" w:rsidRPr="007E383D" w14:paraId="47363A7C" w14:textId="77777777" w:rsidTr="00647023">
        <w:trPr>
          <w:trHeight w:val="47"/>
        </w:trPr>
        <w:tc>
          <w:tcPr>
            <w:tcW w:w="738" w:type="dxa"/>
            <w:vAlign w:val="center"/>
          </w:tcPr>
          <w:p w14:paraId="1D195E2E" w14:textId="6EE8D5B1" w:rsidR="006755D9" w:rsidRPr="007E383D" w:rsidRDefault="006755D9" w:rsidP="006755D9">
            <w:pPr>
              <w:widowControl w:val="0"/>
              <w:jc w:val="center"/>
              <w:rPr>
                <w:sz w:val="20"/>
                <w:szCs w:val="20"/>
              </w:rPr>
            </w:pPr>
            <w:r w:rsidRPr="007E383D">
              <w:rPr>
                <w:sz w:val="20"/>
                <w:szCs w:val="20"/>
              </w:rPr>
              <w:t>7.</w:t>
            </w:r>
          </w:p>
        </w:tc>
        <w:tc>
          <w:tcPr>
            <w:tcW w:w="2410" w:type="dxa"/>
            <w:vAlign w:val="center"/>
          </w:tcPr>
          <w:p w14:paraId="713ED1BE" w14:textId="27413021" w:rsidR="006755D9" w:rsidRPr="007E383D" w:rsidRDefault="006755D9" w:rsidP="006755D9">
            <w:pPr>
              <w:widowControl w:val="0"/>
              <w:rPr>
                <w:rFonts w:cs="Arial"/>
                <w:sz w:val="20"/>
                <w:szCs w:val="20"/>
              </w:rPr>
            </w:pPr>
            <w:r w:rsidRPr="007E383D">
              <w:rPr>
                <w:rFonts w:cs="Arial"/>
                <w:sz w:val="20"/>
                <w:szCs w:val="20"/>
              </w:rPr>
              <w:t>Soubor ostatní vlastních a cizích zásob včetně, odmrazovací kapaliny</w:t>
            </w:r>
          </w:p>
        </w:tc>
        <w:tc>
          <w:tcPr>
            <w:tcW w:w="1701" w:type="dxa"/>
            <w:vAlign w:val="center"/>
          </w:tcPr>
          <w:p w14:paraId="1201475C" w14:textId="518AB531" w:rsidR="006755D9" w:rsidRPr="007E383D" w:rsidRDefault="006755D9" w:rsidP="006755D9">
            <w:pPr>
              <w:widowControl w:val="0"/>
              <w:jc w:val="center"/>
              <w:rPr>
                <w:rFonts w:cs="Arial"/>
                <w:sz w:val="20"/>
                <w:szCs w:val="20"/>
              </w:rPr>
            </w:pPr>
            <w:r w:rsidRPr="007E383D">
              <w:rPr>
                <w:rFonts w:cs="Arial"/>
                <w:sz w:val="20"/>
                <w:szCs w:val="20"/>
              </w:rPr>
              <w:t>60 000 000 Kč</w:t>
            </w:r>
          </w:p>
        </w:tc>
        <w:tc>
          <w:tcPr>
            <w:tcW w:w="1417" w:type="dxa"/>
            <w:vAlign w:val="center"/>
          </w:tcPr>
          <w:p w14:paraId="561B4619" w14:textId="77777777" w:rsidR="006755D9" w:rsidRPr="007E383D" w:rsidRDefault="006755D9" w:rsidP="006755D9">
            <w:pPr>
              <w:widowControl w:val="0"/>
              <w:ind w:left="-113" w:right="-112"/>
              <w:jc w:val="center"/>
              <w:rPr>
                <w:rFonts w:cs="Arial"/>
                <w:sz w:val="20"/>
                <w:szCs w:val="20"/>
              </w:rPr>
            </w:pPr>
            <w:r w:rsidRPr="007E383D">
              <w:rPr>
                <w:sz w:val="20"/>
                <w:szCs w:val="20"/>
              </w:rPr>
              <w:t>2 500 000 Kč</w:t>
            </w:r>
          </w:p>
        </w:tc>
        <w:tc>
          <w:tcPr>
            <w:tcW w:w="1134" w:type="dxa"/>
            <w:vAlign w:val="center"/>
          </w:tcPr>
          <w:p w14:paraId="6F5D1754" w14:textId="77777777" w:rsidR="006755D9" w:rsidRPr="007E383D" w:rsidRDefault="006755D9" w:rsidP="006755D9">
            <w:pPr>
              <w:widowControl w:val="0"/>
              <w:jc w:val="center"/>
              <w:rPr>
                <w:rFonts w:cs="Arial"/>
                <w:sz w:val="20"/>
                <w:szCs w:val="20"/>
              </w:rPr>
            </w:pPr>
            <w:r w:rsidRPr="007E383D">
              <w:rPr>
                <w:rFonts w:cs="Arial"/>
                <w:sz w:val="20"/>
                <w:szCs w:val="20"/>
              </w:rPr>
              <w:t>nová cena</w:t>
            </w:r>
          </w:p>
        </w:tc>
        <w:tc>
          <w:tcPr>
            <w:tcW w:w="1418" w:type="dxa"/>
            <w:vAlign w:val="center"/>
          </w:tcPr>
          <w:p w14:paraId="6154E115" w14:textId="77777777" w:rsidR="006755D9" w:rsidRPr="007E383D" w:rsidRDefault="006755D9" w:rsidP="006755D9">
            <w:pPr>
              <w:widowControl w:val="0"/>
              <w:jc w:val="center"/>
              <w:rPr>
                <w:rFonts w:cs="Arial"/>
                <w:sz w:val="20"/>
                <w:szCs w:val="20"/>
              </w:rPr>
            </w:pPr>
            <w:r w:rsidRPr="007E383D">
              <w:rPr>
                <w:rFonts w:cs="Arial"/>
                <w:sz w:val="20"/>
                <w:szCs w:val="20"/>
              </w:rPr>
              <w:t>X</w:t>
            </w:r>
          </w:p>
        </w:tc>
        <w:tc>
          <w:tcPr>
            <w:tcW w:w="1134" w:type="dxa"/>
            <w:vAlign w:val="center"/>
          </w:tcPr>
          <w:p w14:paraId="104BCE4E" w14:textId="77777777" w:rsidR="006755D9" w:rsidRPr="007E383D" w:rsidRDefault="006755D9" w:rsidP="006755D9">
            <w:pPr>
              <w:widowControl w:val="0"/>
              <w:jc w:val="center"/>
              <w:rPr>
                <w:rFonts w:cs="Arial"/>
                <w:sz w:val="20"/>
                <w:szCs w:val="20"/>
              </w:rPr>
            </w:pPr>
            <w:r w:rsidRPr="007E383D">
              <w:rPr>
                <w:rFonts w:cs="Arial"/>
                <w:sz w:val="20"/>
                <w:szCs w:val="20"/>
              </w:rPr>
              <w:t>X</w:t>
            </w:r>
          </w:p>
        </w:tc>
      </w:tr>
      <w:tr w:rsidR="006755D9" w:rsidRPr="007E383D" w14:paraId="0BCEFD2E" w14:textId="77777777" w:rsidTr="00647023">
        <w:trPr>
          <w:trHeight w:val="698"/>
        </w:trPr>
        <w:tc>
          <w:tcPr>
            <w:tcW w:w="738" w:type="dxa"/>
            <w:vMerge w:val="restart"/>
            <w:vAlign w:val="center"/>
          </w:tcPr>
          <w:p w14:paraId="7283C3D4" w14:textId="3B4D63B0" w:rsidR="006755D9" w:rsidRPr="007E383D" w:rsidRDefault="006755D9" w:rsidP="006755D9">
            <w:pPr>
              <w:widowControl w:val="0"/>
              <w:jc w:val="center"/>
              <w:rPr>
                <w:sz w:val="20"/>
                <w:szCs w:val="20"/>
              </w:rPr>
            </w:pPr>
            <w:r w:rsidRPr="007E383D">
              <w:rPr>
                <w:sz w:val="20"/>
                <w:szCs w:val="20"/>
              </w:rPr>
              <w:t>8.</w:t>
            </w:r>
          </w:p>
        </w:tc>
        <w:tc>
          <w:tcPr>
            <w:tcW w:w="2410" w:type="dxa"/>
            <w:vAlign w:val="center"/>
          </w:tcPr>
          <w:p w14:paraId="43FC94BA" w14:textId="795CCE1D" w:rsidR="006755D9" w:rsidRPr="007E383D" w:rsidRDefault="006755D9" w:rsidP="006755D9">
            <w:pPr>
              <w:widowControl w:val="0"/>
              <w:rPr>
                <w:sz w:val="20"/>
                <w:szCs w:val="20"/>
              </w:rPr>
            </w:pPr>
            <w:r w:rsidRPr="007E383D">
              <w:rPr>
                <w:rFonts w:cs="Arial"/>
                <w:sz w:val="20"/>
                <w:szCs w:val="20"/>
              </w:rPr>
              <w:t xml:space="preserve">Věci vnesené a </w:t>
            </w:r>
            <w:proofErr w:type="gramStart"/>
            <w:r w:rsidRPr="007E383D">
              <w:rPr>
                <w:rFonts w:cs="Arial"/>
                <w:sz w:val="20"/>
                <w:szCs w:val="20"/>
              </w:rPr>
              <w:t>odložené - věci</w:t>
            </w:r>
            <w:proofErr w:type="gramEnd"/>
            <w:r w:rsidRPr="007E383D">
              <w:rPr>
                <w:rFonts w:cs="Arial"/>
                <w:sz w:val="20"/>
                <w:szCs w:val="20"/>
              </w:rPr>
              <w:t xml:space="preserve"> zaměstnanců, návštěv apod.</w:t>
            </w:r>
          </w:p>
        </w:tc>
        <w:tc>
          <w:tcPr>
            <w:tcW w:w="1701" w:type="dxa"/>
            <w:vAlign w:val="center"/>
          </w:tcPr>
          <w:p w14:paraId="4BE26F06" w14:textId="618E22C6" w:rsidR="006755D9" w:rsidRPr="007E383D" w:rsidRDefault="006755D9" w:rsidP="006755D9">
            <w:pPr>
              <w:widowControl w:val="0"/>
              <w:jc w:val="center"/>
              <w:rPr>
                <w:sz w:val="20"/>
                <w:szCs w:val="20"/>
              </w:rPr>
            </w:pPr>
            <w:r w:rsidRPr="007E383D">
              <w:rPr>
                <w:sz w:val="20"/>
                <w:szCs w:val="20"/>
              </w:rPr>
              <w:t>X</w:t>
            </w:r>
          </w:p>
        </w:tc>
        <w:tc>
          <w:tcPr>
            <w:tcW w:w="1417" w:type="dxa"/>
            <w:vAlign w:val="center"/>
          </w:tcPr>
          <w:p w14:paraId="48CA0FA6" w14:textId="77777777" w:rsidR="006755D9" w:rsidRPr="007E383D" w:rsidRDefault="006755D9" w:rsidP="006755D9">
            <w:pPr>
              <w:widowControl w:val="0"/>
              <w:ind w:left="-113" w:right="-112"/>
              <w:jc w:val="center"/>
              <w:rPr>
                <w:sz w:val="20"/>
                <w:szCs w:val="20"/>
              </w:rPr>
            </w:pPr>
            <w:r w:rsidRPr="007E383D">
              <w:rPr>
                <w:sz w:val="20"/>
                <w:szCs w:val="20"/>
              </w:rPr>
              <w:t>2 500 000 Kč</w:t>
            </w:r>
          </w:p>
        </w:tc>
        <w:tc>
          <w:tcPr>
            <w:tcW w:w="1134" w:type="dxa"/>
            <w:vAlign w:val="center"/>
          </w:tcPr>
          <w:p w14:paraId="0AC71E50" w14:textId="77777777" w:rsidR="006755D9" w:rsidRPr="007E383D" w:rsidRDefault="006755D9" w:rsidP="006755D9">
            <w:pPr>
              <w:widowControl w:val="0"/>
              <w:rPr>
                <w:sz w:val="20"/>
                <w:szCs w:val="20"/>
              </w:rPr>
            </w:pPr>
            <w:r w:rsidRPr="007E383D">
              <w:rPr>
                <w:rFonts w:cs="Arial"/>
                <w:sz w:val="20"/>
                <w:szCs w:val="20"/>
              </w:rPr>
              <w:t>nová cena</w:t>
            </w:r>
          </w:p>
        </w:tc>
        <w:tc>
          <w:tcPr>
            <w:tcW w:w="1418" w:type="dxa"/>
            <w:vAlign w:val="center"/>
          </w:tcPr>
          <w:p w14:paraId="13E28FB9" w14:textId="4EF59E34" w:rsidR="006755D9" w:rsidRPr="007E383D" w:rsidRDefault="006755D9" w:rsidP="006755D9">
            <w:pPr>
              <w:widowControl w:val="0"/>
              <w:jc w:val="center"/>
              <w:rPr>
                <w:sz w:val="20"/>
                <w:szCs w:val="20"/>
              </w:rPr>
            </w:pPr>
            <w:r w:rsidRPr="007E383D">
              <w:rPr>
                <w:sz w:val="20"/>
                <w:szCs w:val="20"/>
              </w:rPr>
              <w:t>500 000 Kč</w:t>
            </w:r>
          </w:p>
        </w:tc>
        <w:tc>
          <w:tcPr>
            <w:tcW w:w="1134" w:type="dxa"/>
            <w:vAlign w:val="center"/>
          </w:tcPr>
          <w:p w14:paraId="75B06992" w14:textId="77777777" w:rsidR="006755D9" w:rsidRPr="007E383D" w:rsidRDefault="006755D9" w:rsidP="006755D9">
            <w:pPr>
              <w:widowControl w:val="0"/>
              <w:jc w:val="center"/>
              <w:rPr>
                <w:sz w:val="20"/>
                <w:szCs w:val="20"/>
              </w:rPr>
            </w:pPr>
            <w:r w:rsidRPr="007E383D">
              <w:rPr>
                <w:sz w:val="20"/>
                <w:szCs w:val="20"/>
              </w:rPr>
              <w:t>X</w:t>
            </w:r>
          </w:p>
        </w:tc>
      </w:tr>
      <w:tr w:rsidR="006755D9" w:rsidRPr="007E383D" w14:paraId="28ADB60F" w14:textId="77777777" w:rsidTr="000351E8">
        <w:trPr>
          <w:trHeight w:val="391"/>
        </w:trPr>
        <w:tc>
          <w:tcPr>
            <w:tcW w:w="738" w:type="dxa"/>
            <w:vMerge/>
            <w:vAlign w:val="center"/>
          </w:tcPr>
          <w:p w14:paraId="1ED379FF" w14:textId="77777777" w:rsidR="006755D9" w:rsidRPr="007E383D" w:rsidRDefault="006755D9" w:rsidP="006755D9">
            <w:pPr>
              <w:widowControl w:val="0"/>
              <w:jc w:val="center"/>
              <w:rPr>
                <w:sz w:val="20"/>
                <w:szCs w:val="20"/>
              </w:rPr>
            </w:pPr>
          </w:p>
        </w:tc>
        <w:tc>
          <w:tcPr>
            <w:tcW w:w="9214" w:type="dxa"/>
            <w:gridSpan w:val="6"/>
            <w:vAlign w:val="center"/>
          </w:tcPr>
          <w:p w14:paraId="31FBEC87" w14:textId="1E63CDF9" w:rsidR="006755D9" w:rsidRPr="007E383D" w:rsidRDefault="006755D9" w:rsidP="006755D9">
            <w:pPr>
              <w:widowControl w:val="0"/>
              <w:jc w:val="both"/>
              <w:rPr>
                <w:sz w:val="20"/>
                <w:szCs w:val="20"/>
              </w:rPr>
            </w:pPr>
            <w:r w:rsidRPr="007E383D">
              <w:rPr>
                <w:sz w:val="20"/>
                <w:szCs w:val="20"/>
              </w:rPr>
              <w:t>Pojištění se sjednává s limitem plnění 50 000 Kč na 1 událost.</w:t>
            </w:r>
          </w:p>
        </w:tc>
      </w:tr>
      <w:tr w:rsidR="006755D9" w:rsidRPr="007E383D" w14:paraId="164276F0" w14:textId="77777777" w:rsidTr="00647023">
        <w:tc>
          <w:tcPr>
            <w:tcW w:w="738" w:type="dxa"/>
            <w:vAlign w:val="center"/>
          </w:tcPr>
          <w:p w14:paraId="2B2E2E13" w14:textId="50BB8CAF" w:rsidR="006755D9" w:rsidRPr="007E383D" w:rsidRDefault="006755D9" w:rsidP="006755D9">
            <w:pPr>
              <w:widowControl w:val="0"/>
              <w:jc w:val="center"/>
              <w:rPr>
                <w:sz w:val="20"/>
                <w:szCs w:val="20"/>
              </w:rPr>
            </w:pPr>
            <w:r w:rsidRPr="007E383D">
              <w:rPr>
                <w:sz w:val="20"/>
                <w:szCs w:val="20"/>
              </w:rPr>
              <w:t>9.</w:t>
            </w:r>
          </w:p>
        </w:tc>
        <w:tc>
          <w:tcPr>
            <w:tcW w:w="2410" w:type="dxa"/>
            <w:vAlign w:val="center"/>
          </w:tcPr>
          <w:p w14:paraId="25AA5377" w14:textId="34241704" w:rsidR="006755D9" w:rsidRPr="007E383D" w:rsidRDefault="006755D9" w:rsidP="006755D9">
            <w:pPr>
              <w:widowControl w:val="0"/>
              <w:rPr>
                <w:sz w:val="20"/>
                <w:szCs w:val="20"/>
              </w:rPr>
            </w:pPr>
            <w:r w:rsidRPr="007E383D">
              <w:rPr>
                <w:rFonts w:cs="Arial"/>
                <w:sz w:val="20"/>
                <w:szCs w:val="20"/>
              </w:rPr>
              <w:t>Tuzemské a cizí bankovky a jiné finanční prostředky</w:t>
            </w:r>
          </w:p>
        </w:tc>
        <w:tc>
          <w:tcPr>
            <w:tcW w:w="1701" w:type="dxa"/>
            <w:vAlign w:val="center"/>
          </w:tcPr>
          <w:p w14:paraId="1250B76D" w14:textId="2133C136" w:rsidR="006755D9" w:rsidRPr="007E383D" w:rsidRDefault="006755D9" w:rsidP="006755D9">
            <w:pPr>
              <w:widowControl w:val="0"/>
              <w:jc w:val="center"/>
              <w:rPr>
                <w:sz w:val="20"/>
                <w:szCs w:val="20"/>
              </w:rPr>
            </w:pPr>
            <w:r w:rsidRPr="007E383D">
              <w:rPr>
                <w:sz w:val="20"/>
                <w:szCs w:val="20"/>
              </w:rPr>
              <w:t>X</w:t>
            </w:r>
          </w:p>
        </w:tc>
        <w:tc>
          <w:tcPr>
            <w:tcW w:w="1417" w:type="dxa"/>
            <w:vAlign w:val="center"/>
          </w:tcPr>
          <w:p w14:paraId="3D99971B" w14:textId="77777777" w:rsidR="006755D9" w:rsidRPr="007E383D" w:rsidRDefault="006755D9" w:rsidP="006755D9">
            <w:pPr>
              <w:widowControl w:val="0"/>
              <w:ind w:left="-113" w:right="-112"/>
              <w:jc w:val="center"/>
              <w:rPr>
                <w:sz w:val="20"/>
                <w:szCs w:val="20"/>
              </w:rPr>
            </w:pPr>
            <w:r w:rsidRPr="007E383D">
              <w:rPr>
                <w:sz w:val="20"/>
                <w:szCs w:val="20"/>
              </w:rPr>
              <w:t>2 500 000 Kč</w:t>
            </w:r>
          </w:p>
        </w:tc>
        <w:tc>
          <w:tcPr>
            <w:tcW w:w="1134" w:type="dxa"/>
            <w:vAlign w:val="center"/>
          </w:tcPr>
          <w:p w14:paraId="4846BDBA" w14:textId="77777777" w:rsidR="006755D9" w:rsidRPr="007E383D" w:rsidRDefault="006755D9" w:rsidP="006755D9">
            <w:pPr>
              <w:widowControl w:val="0"/>
              <w:jc w:val="center"/>
              <w:rPr>
                <w:sz w:val="20"/>
                <w:szCs w:val="20"/>
              </w:rPr>
            </w:pPr>
            <w:r w:rsidRPr="007E383D">
              <w:rPr>
                <w:sz w:val="20"/>
                <w:szCs w:val="20"/>
              </w:rPr>
              <w:t>nová cena</w:t>
            </w:r>
          </w:p>
        </w:tc>
        <w:tc>
          <w:tcPr>
            <w:tcW w:w="1418" w:type="dxa"/>
            <w:vAlign w:val="center"/>
          </w:tcPr>
          <w:p w14:paraId="5CE95705" w14:textId="0A541316" w:rsidR="006755D9" w:rsidRPr="007E383D" w:rsidRDefault="006755D9" w:rsidP="006755D9">
            <w:pPr>
              <w:widowControl w:val="0"/>
              <w:jc w:val="center"/>
              <w:rPr>
                <w:sz w:val="20"/>
                <w:szCs w:val="20"/>
              </w:rPr>
            </w:pPr>
            <w:r w:rsidRPr="007E383D">
              <w:rPr>
                <w:sz w:val="20"/>
                <w:szCs w:val="20"/>
              </w:rPr>
              <w:t>9 000 000 Kč</w:t>
            </w:r>
          </w:p>
        </w:tc>
        <w:tc>
          <w:tcPr>
            <w:tcW w:w="1134" w:type="dxa"/>
            <w:vAlign w:val="center"/>
          </w:tcPr>
          <w:p w14:paraId="7EBC3B78" w14:textId="77777777" w:rsidR="006755D9" w:rsidRPr="007E383D" w:rsidRDefault="006755D9" w:rsidP="006755D9">
            <w:pPr>
              <w:widowControl w:val="0"/>
              <w:jc w:val="center"/>
              <w:rPr>
                <w:sz w:val="20"/>
                <w:szCs w:val="20"/>
              </w:rPr>
            </w:pPr>
            <w:r w:rsidRPr="007E383D">
              <w:rPr>
                <w:sz w:val="20"/>
                <w:szCs w:val="20"/>
              </w:rPr>
              <w:t>X</w:t>
            </w:r>
          </w:p>
        </w:tc>
      </w:tr>
      <w:tr w:rsidR="006755D9" w:rsidRPr="007E383D" w14:paraId="2633F200" w14:textId="77777777" w:rsidTr="00A863C8">
        <w:tc>
          <w:tcPr>
            <w:tcW w:w="9952" w:type="dxa"/>
            <w:gridSpan w:val="7"/>
          </w:tcPr>
          <w:p w14:paraId="5E607B1E" w14:textId="77777777" w:rsidR="006755D9" w:rsidRPr="007E383D" w:rsidRDefault="006755D9" w:rsidP="006755D9">
            <w:pPr>
              <w:widowControl w:val="0"/>
              <w:jc w:val="both"/>
              <w:rPr>
                <w:rFonts w:cs="Arial"/>
                <w:sz w:val="20"/>
                <w:szCs w:val="20"/>
              </w:rPr>
            </w:pPr>
            <w:r w:rsidRPr="007E383D">
              <w:rPr>
                <w:rFonts w:cs="Arial"/>
                <w:sz w:val="20"/>
                <w:szCs w:val="20"/>
              </w:rPr>
              <w:t>Poznámky:</w:t>
            </w:r>
          </w:p>
          <w:p w14:paraId="732DFBFF" w14:textId="77777777" w:rsidR="006755D9" w:rsidRPr="007E383D" w:rsidRDefault="006755D9" w:rsidP="006755D9">
            <w:pPr>
              <w:widowControl w:val="0"/>
              <w:jc w:val="both"/>
              <w:rPr>
                <w:rFonts w:cs="Arial"/>
                <w:sz w:val="20"/>
                <w:szCs w:val="20"/>
              </w:rPr>
            </w:pPr>
            <w:r w:rsidRPr="007E383D">
              <w:rPr>
                <w:rFonts w:cs="Arial"/>
                <w:sz w:val="20"/>
                <w:szCs w:val="20"/>
              </w:rPr>
              <w:lastRenderedPageBreak/>
              <w:t>* Součásti a příslušenství nemovitosti – Ujednává se, že pojistitel poskytne pojistné plnění i na součástech a příslušenství nemovitosti, reklamních panelech a jiných součástech a příslušenství nemovitosti na plášti objektů, pokud budou tyto věci pevně spojeny se stavbou (nemovitostí) nebo připevněním své konstrukce k jiné stavbě, nebo ke konstrukci zapuštěné do zpevněné plochy nebo jsou na betonových patkách zapuštěných do země, případně je použit jiný vhodný způsob uchycení ztěžující pro svoji velkou hmotnost, rozměrnost nebo nedostupnost předmětu jeho odcizení.</w:t>
            </w:r>
          </w:p>
          <w:p w14:paraId="46296A1C" w14:textId="77777777" w:rsidR="006755D9" w:rsidRPr="007E383D" w:rsidRDefault="006755D9" w:rsidP="006755D9">
            <w:pPr>
              <w:widowControl w:val="0"/>
              <w:jc w:val="both"/>
              <w:rPr>
                <w:rFonts w:cs="Arial"/>
                <w:sz w:val="20"/>
                <w:szCs w:val="20"/>
              </w:rPr>
            </w:pPr>
            <w:r w:rsidRPr="007E383D">
              <w:rPr>
                <w:rFonts w:cs="Arial"/>
                <w:sz w:val="20"/>
                <w:szCs w:val="20"/>
              </w:rPr>
              <w:t xml:space="preserve">„Sklo“ </w:t>
            </w:r>
            <w:bookmarkStart w:id="18" w:name="_Hlk103003718"/>
            <w:r w:rsidRPr="007E383D">
              <w:rPr>
                <w:rFonts w:cs="Arial"/>
                <w:sz w:val="20"/>
                <w:szCs w:val="20"/>
              </w:rPr>
              <w:t>–</w:t>
            </w:r>
            <w:bookmarkEnd w:id="18"/>
            <w:r w:rsidRPr="007E383D">
              <w:rPr>
                <w:rFonts w:cs="Arial"/>
                <w:sz w:val="20"/>
                <w:szCs w:val="20"/>
              </w:rPr>
              <w:t xml:space="preserve"> Ujednává se, že pojistitel poskytne pojistné plnění za škody způsobené nahodilým rozbitím skla v rámci „pojištěného skla“ vzniklých na nalepených neodnímatelných snímačích zabezpečovacích zařízení, nalepených fóliích, nápisech; malbách nebo jiných výzdobách jako součást pojištěného skla; vnějším osvětlení, světelných reklamách a světelných nápisech včetně jejich elektrických instalací a nosných konstrukcích; skleněných pultech, vitrínách a skleněných stěnách uvnitř budovy; obyčejném skle v oknech, dveřích, světlících, střechách, obytných stěnách a ve vitrínách.</w:t>
            </w:r>
          </w:p>
          <w:p w14:paraId="4267E11D" w14:textId="4502777E" w:rsidR="006755D9" w:rsidRPr="007E383D" w:rsidRDefault="006755D9" w:rsidP="006755D9">
            <w:pPr>
              <w:widowControl w:val="0"/>
              <w:jc w:val="both"/>
              <w:rPr>
                <w:rFonts w:cs="Arial"/>
              </w:rPr>
            </w:pPr>
            <w:r w:rsidRPr="007E383D">
              <w:rPr>
                <w:rFonts w:cs="Arial"/>
                <w:sz w:val="20"/>
                <w:szCs w:val="20"/>
              </w:rPr>
              <w:t>**Umělecká díla – Umělecká díla, věci zvláštní kulturní a historické hodnoty, včetně exponátů na výstavách.</w:t>
            </w:r>
          </w:p>
        </w:tc>
      </w:tr>
    </w:tbl>
    <w:p w14:paraId="31D7A306" w14:textId="77777777" w:rsidR="00344367" w:rsidRPr="007E383D" w:rsidRDefault="00344367" w:rsidP="00282B75">
      <w:pPr>
        <w:widowControl w:val="0"/>
        <w:spacing w:after="200" w:line="276" w:lineRule="auto"/>
        <w:contextualSpacing/>
        <w:rPr>
          <w:rFonts w:ascii="Calibri" w:hAnsi="Calibri"/>
          <w:sz w:val="16"/>
          <w:szCs w:val="16"/>
        </w:rPr>
      </w:pPr>
      <w:r w:rsidRPr="007E383D">
        <w:rPr>
          <w:rFonts w:ascii="Calibri" w:hAnsi="Calibri"/>
          <w:sz w:val="16"/>
          <w:szCs w:val="16"/>
        </w:rPr>
        <w:lastRenderedPageBreak/>
        <w:t xml:space="preserve">*) není-li uvedeno, sjednává se pojištění s pojistnou hodnotou uvedenou v příslušných pojistných podmínkách </w:t>
      </w:r>
    </w:p>
    <w:p w14:paraId="3895D96C" w14:textId="77777777" w:rsidR="00ED6C62" w:rsidRPr="007E383D" w:rsidRDefault="00ED6C62" w:rsidP="00282B75">
      <w:pPr>
        <w:widowControl w:val="0"/>
        <w:rPr>
          <w:b/>
          <w:sz w:val="20"/>
          <w:szCs w:val="20"/>
        </w:rPr>
      </w:pPr>
    </w:p>
    <w:p w14:paraId="67C2DF92" w14:textId="2AA1733B" w:rsidR="003C09BD" w:rsidRPr="007E383D" w:rsidRDefault="003C09BD" w:rsidP="00A863C8">
      <w:pPr>
        <w:keepNext/>
        <w:keepLines/>
        <w:widowControl w:val="0"/>
        <w:rPr>
          <w:b/>
          <w:sz w:val="20"/>
          <w:szCs w:val="20"/>
        </w:rPr>
      </w:pPr>
      <w:r w:rsidRPr="007E383D">
        <w:rPr>
          <w:b/>
          <w:sz w:val="20"/>
          <w:szCs w:val="20"/>
        </w:rPr>
        <w:t>2.</w:t>
      </w:r>
      <w:r w:rsidR="00374B0A" w:rsidRPr="007E383D">
        <w:rPr>
          <w:b/>
          <w:sz w:val="20"/>
          <w:szCs w:val="20"/>
        </w:rPr>
        <w:t>2</w:t>
      </w:r>
      <w:r w:rsidRPr="007E383D">
        <w:rPr>
          <w:b/>
          <w:sz w:val="20"/>
          <w:szCs w:val="20"/>
        </w:rPr>
        <w:t xml:space="preserve"> </w:t>
      </w:r>
      <w:r w:rsidR="00C240F8" w:rsidRPr="007E383D">
        <w:rPr>
          <w:b/>
          <w:sz w:val="20"/>
          <w:szCs w:val="20"/>
        </w:rPr>
        <w:t xml:space="preserve">Pojištění terorismu – </w:t>
      </w:r>
      <w:r w:rsidRPr="007E383D">
        <w:rPr>
          <w:b/>
          <w:sz w:val="20"/>
          <w:szCs w:val="20"/>
        </w:rPr>
        <w:t>Pojištění pro případ přerušení nebo omezení provozu</w:t>
      </w:r>
    </w:p>
    <w:tbl>
      <w:tblPr>
        <w:tblStyle w:val="Mkatabulky"/>
        <w:tblW w:w="9952" w:type="dxa"/>
        <w:tblInd w:w="108" w:type="dxa"/>
        <w:tblLayout w:type="fixed"/>
        <w:tblLook w:val="04A0" w:firstRow="1" w:lastRow="0" w:firstColumn="1" w:lastColumn="0" w:noHBand="0" w:noVBand="1"/>
      </w:tblPr>
      <w:tblGrid>
        <w:gridCol w:w="596"/>
        <w:gridCol w:w="2410"/>
        <w:gridCol w:w="1843"/>
        <w:gridCol w:w="1275"/>
        <w:gridCol w:w="1560"/>
        <w:gridCol w:w="1134"/>
        <w:gridCol w:w="1134"/>
      </w:tblGrid>
      <w:tr w:rsidR="003C09BD" w:rsidRPr="007E383D" w14:paraId="5876369B" w14:textId="77777777" w:rsidTr="00A863C8">
        <w:tc>
          <w:tcPr>
            <w:tcW w:w="9952" w:type="dxa"/>
            <w:gridSpan w:val="7"/>
            <w:tcBorders>
              <w:top w:val="single" w:sz="4" w:space="0" w:color="auto"/>
              <w:left w:val="single" w:sz="4" w:space="0" w:color="auto"/>
              <w:bottom w:val="single" w:sz="4" w:space="0" w:color="auto"/>
              <w:right w:val="single" w:sz="4" w:space="0" w:color="auto"/>
            </w:tcBorders>
            <w:hideMark/>
          </w:tcPr>
          <w:p w14:paraId="3A07CDFD" w14:textId="77777777" w:rsidR="003C09BD" w:rsidRPr="007E383D" w:rsidRDefault="003C09BD" w:rsidP="00A863C8">
            <w:pPr>
              <w:keepNext/>
              <w:keepLines/>
              <w:widowControl w:val="0"/>
              <w:rPr>
                <w:b/>
                <w:sz w:val="20"/>
                <w:szCs w:val="20"/>
              </w:rPr>
            </w:pPr>
            <w:r w:rsidRPr="007E383D">
              <w:rPr>
                <w:b/>
                <w:sz w:val="20"/>
                <w:szCs w:val="20"/>
              </w:rPr>
              <w:t xml:space="preserve">Místo pojištění: </w:t>
            </w:r>
            <w:r w:rsidRPr="007E383D">
              <w:rPr>
                <w:sz w:val="20"/>
                <w:szCs w:val="20"/>
              </w:rPr>
              <w:t>viz. bod 1.2.</w:t>
            </w:r>
          </w:p>
        </w:tc>
      </w:tr>
      <w:tr w:rsidR="003C09BD" w:rsidRPr="007E383D" w14:paraId="56361497" w14:textId="77777777" w:rsidTr="00A863C8">
        <w:tc>
          <w:tcPr>
            <w:tcW w:w="9952" w:type="dxa"/>
            <w:gridSpan w:val="7"/>
            <w:tcBorders>
              <w:top w:val="single" w:sz="4" w:space="0" w:color="auto"/>
              <w:left w:val="single" w:sz="4" w:space="0" w:color="auto"/>
              <w:bottom w:val="single" w:sz="4" w:space="0" w:color="auto"/>
              <w:right w:val="single" w:sz="4" w:space="0" w:color="auto"/>
            </w:tcBorders>
            <w:hideMark/>
          </w:tcPr>
          <w:p w14:paraId="4A19AE07" w14:textId="574D56AE" w:rsidR="003C09BD" w:rsidRPr="007E383D" w:rsidRDefault="003C09BD" w:rsidP="00A863C8">
            <w:pPr>
              <w:keepNext/>
              <w:keepLines/>
              <w:widowControl w:val="0"/>
              <w:rPr>
                <w:sz w:val="20"/>
                <w:szCs w:val="20"/>
              </w:rPr>
            </w:pPr>
            <w:r w:rsidRPr="007E383D">
              <w:rPr>
                <w:b/>
                <w:sz w:val="20"/>
                <w:szCs w:val="20"/>
              </w:rPr>
              <w:t xml:space="preserve">Rozsah pojištění: </w:t>
            </w:r>
            <w:r w:rsidR="00C240F8" w:rsidRPr="007E383D">
              <w:rPr>
                <w:rFonts w:eastAsia="Calibri" w:cs="Arial"/>
                <w:sz w:val="20"/>
                <w:szCs w:val="20"/>
                <w:lang w:eastAsia="en-US"/>
              </w:rPr>
              <w:t>poj. nebezpečí "terorismus" dle Smluvní</w:t>
            </w:r>
            <w:r w:rsidR="00F21FF8" w:rsidRPr="007E383D">
              <w:rPr>
                <w:rFonts w:eastAsia="Calibri" w:cs="Arial"/>
                <w:sz w:val="20"/>
                <w:szCs w:val="20"/>
                <w:lang w:eastAsia="en-US"/>
              </w:rPr>
              <w:t>ch</w:t>
            </w:r>
            <w:r w:rsidR="00C240F8" w:rsidRPr="007E383D">
              <w:rPr>
                <w:rFonts w:eastAsia="Calibri" w:cs="Arial"/>
                <w:sz w:val="20"/>
                <w:szCs w:val="20"/>
                <w:lang w:eastAsia="en-US"/>
              </w:rPr>
              <w:t xml:space="preserve"> ujednání pro pojištění terorismu</w:t>
            </w:r>
          </w:p>
        </w:tc>
      </w:tr>
      <w:tr w:rsidR="003C09BD" w:rsidRPr="007E383D" w14:paraId="43C82B31" w14:textId="77777777" w:rsidTr="00A863C8">
        <w:tc>
          <w:tcPr>
            <w:tcW w:w="9952" w:type="dxa"/>
            <w:gridSpan w:val="7"/>
            <w:tcBorders>
              <w:top w:val="single" w:sz="4" w:space="0" w:color="auto"/>
              <w:left w:val="single" w:sz="4" w:space="0" w:color="auto"/>
              <w:bottom w:val="single" w:sz="4" w:space="0" w:color="auto"/>
              <w:right w:val="single" w:sz="4" w:space="0" w:color="auto"/>
            </w:tcBorders>
            <w:hideMark/>
          </w:tcPr>
          <w:p w14:paraId="73C0BAB8" w14:textId="0DA570A5" w:rsidR="003C09BD" w:rsidRPr="007E383D" w:rsidRDefault="00C240F8" w:rsidP="00A863C8">
            <w:pPr>
              <w:keepNext/>
              <w:keepLines/>
              <w:widowControl w:val="0"/>
              <w:rPr>
                <w:sz w:val="20"/>
                <w:szCs w:val="20"/>
              </w:rPr>
            </w:pPr>
            <w:r w:rsidRPr="007E383D">
              <w:rPr>
                <w:b/>
                <w:sz w:val="20"/>
                <w:szCs w:val="20"/>
              </w:rPr>
              <w:t xml:space="preserve">Pojištění se řídí: </w:t>
            </w:r>
            <w:r w:rsidRPr="007E383D">
              <w:rPr>
                <w:sz w:val="20"/>
                <w:szCs w:val="20"/>
              </w:rPr>
              <w:t>Smluvním</w:t>
            </w:r>
            <w:r w:rsidR="00F21FF8" w:rsidRPr="007E383D">
              <w:rPr>
                <w:sz w:val="20"/>
                <w:szCs w:val="20"/>
              </w:rPr>
              <w:t>i</w:t>
            </w:r>
            <w:r w:rsidRPr="007E383D">
              <w:rPr>
                <w:sz w:val="20"/>
                <w:szCs w:val="20"/>
              </w:rPr>
              <w:t xml:space="preserve"> ujednáním</w:t>
            </w:r>
            <w:r w:rsidR="00F21FF8" w:rsidRPr="007E383D">
              <w:rPr>
                <w:sz w:val="20"/>
                <w:szCs w:val="20"/>
              </w:rPr>
              <w:t>i</w:t>
            </w:r>
            <w:r w:rsidRPr="007E383D">
              <w:rPr>
                <w:sz w:val="20"/>
                <w:szCs w:val="20"/>
              </w:rPr>
              <w:t xml:space="preserve"> pro pojištění terorismu </w:t>
            </w:r>
          </w:p>
        </w:tc>
      </w:tr>
      <w:tr w:rsidR="003C09BD" w:rsidRPr="007E383D" w14:paraId="5C297964" w14:textId="77777777" w:rsidTr="00474ACA">
        <w:tc>
          <w:tcPr>
            <w:tcW w:w="596" w:type="dxa"/>
            <w:tcBorders>
              <w:top w:val="single" w:sz="4" w:space="0" w:color="auto"/>
              <w:left w:val="single" w:sz="4" w:space="0" w:color="auto"/>
              <w:bottom w:val="single" w:sz="4" w:space="0" w:color="auto"/>
              <w:right w:val="single" w:sz="4" w:space="0" w:color="auto"/>
            </w:tcBorders>
            <w:vAlign w:val="center"/>
            <w:hideMark/>
          </w:tcPr>
          <w:p w14:paraId="712DC480" w14:textId="77777777" w:rsidR="003C09BD" w:rsidRPr="007E383D" w:rsidRDefault="003C09BD" w:rsidP="00A863C8">
            <w:pPr>
              <w:keepNext/>
              <w:keepLines/>
              <w:widowControl w:val="0"/>
              <w:jc w:val="center"/>
              <w:rPr>
                <w:b/>
                <w:sz w:val="18"/>
                <w:szCs w:val="18"/>
              </w:rPr>
            </w:pPr>
            <w:proofErr w:type="spellStart"/>
            <w:r w:rsidRPr="007E383D">
              <w:rPr>
                <w:b/>
                <w:sz w:val="18"/>
                <w:szCs w:val="18"/>
              </w:rPr>
              <w:t>Poř</w:t>
            </w:r>
            <w:proofErr w:type="spellEnd"/>
            <w:r w:rsidRPr="007E383D">
              <w:rPr>
                <w:b/>
                <w:sz w:val="18"/>
                <w:szCs w:val="18"/>
              </w:rPr>
              <w:t>. číslo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D84A34" w14:textId="77777777" w:rsidR="003C09BD" w:rsidRPr="007E383D" w:rsidRDefault="003C09BD" w:rsidP="00A863C8">
            <w:pPr>
              <w:keepNext/>
              <w:keepLines/>
              <w:widowControl w:val="0"/>
              <w:jc w:val="center"/>
              <w:rPr>
                <w:b/>
                <w:sz w:val="18"/>
                <w:szCs w:val="18"/>
              </w:rPr>
            </w:pPr>
            <w:r w:rsidRPr="007E383D">
              <w:rPr>
                <w:b/>
                <w:sz w:val="18"/>
                <w:szCs w:val="18"/>
              </w:rPr>
              <w:t>Předmět pojištění / Rozsah pojištění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A36F5B" w14:textId="77777777" w:rsidR="003C09BD" w:rsidRPr="007E383D" w:rsidRDefault="003C09BD" w:rsidP="00A863C8">
            <w:pPr>
              <w:keepNext/>
              <w:keepLines/>
              <w:widowControl w:val="0"/>
              <w:jc w:val="center"/>
              <w:rPr>
                <w:b/>
                <w:sz w:val="18"/>
                <w:szCs w:val="18"/>
              </w:rPr>
            </w:pPr>
            <w:r w:rsidRPr="007E383D">
              <w:rPr>
                <w:b/>
                <w:sz w:val="18"/>
                <w:szCs w:val="18"/>
              </w:rPr>
              <w:t>Pojistná částka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F3ADF4" w14:textId="77777777" w:rsidR="003C09BD" w:rsidRPr="007E383D" w:rsidRDefault="003C09BD" w:rsidP="00A863C8">
            <w:pPr>
              <w:keepNext/>
              <w:keepLines/>
              <w:widowControl w:val="0"/>
              <w:jc w:val="center"/>
              <w:rPr>
                <w:b/>
                <w:sz w:val="18"/>
                <w:szCs w:val="18"/>
              </w:rPr>
            </w:pPr>
            <w:r w:rsidRPr="007E383D">
              <w:rPr>
                <w:b/>
                <w:sz w:val="18"/>
                <w:szCs w:val="18"/>
              </w:rPr>
              <w:t>Spoluúčast</w:t>
            </w:r>
            <w:r w:rsidRPr="007E383D">
              <w:rPr>
                <w:b/>
                <w:sz w:val="18"/>
                <w:szCs w:val="18"/>
                <w:vertAlign w:val="superscript"/>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6556D1" w14:textId="77777777" w:rsidR="003C09BD" w:rsidRPr="007E383D" w:rsidRDefault="003C09BD" w:rsidP="00A863C8">
            <w:pPr>
              <w:keepNext/>
              <w:keepLines/>
              <w:widowControl w:val="0"/>
              <w:jc w:val="center"/>
              <w:rPr>
                <w:b/>
                <w:sz w:val="18"/>
                <w:szCs w:val="18"/>
              </w:rPr>
            </w:pPr>
            <w:r w:rsidRPr="007E383D">
              <w:rPr>
                <w:b/>
                <w:sz w:val="18"/>
                <w:szCs w:val="18"/>
              </w:rPr>
              <w:t>Integrální časová franšíza</w:t>
            </w:r>
            <w:r w:rsidRPr="007E383D">
              <w:rPr>
                <w:b/>
                <w:sz w:val="18"/>
                <w:szCs w:val="18"/>
                <w:vertAlign w:val="superscript"/>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C035FD" w14:textId="77777777" w:rsidR="003C09BD" w:rsidRPr="007E383D" w:rsidRDefault="003C09BD" w:rsidP="00A863C8">
            <w:pPr>
              <w:keepNext/>
              <w:keepLines/>
              <w:widowControl w:val="0"/>
              <w:jc w:val="center"/>
              <w:rPr>
                <w:b/>
                <w:sz w:val="18"/>
                <w:szCs w:val="18"/>
              </w:rPr>
            </w:pPr>
            <w:r w:rsidRPr="007E383D">
              <w:rPr>
                <w:b/>
                <w:sz w:val="18"/>
                <w:szCs w:val="18"/>
              </w:rPr>
              <w:t>MRLPPR</w:t>
            </w:r>
            <w:r w:rsidRPr="007E383D">
              <w:rPr>
                <w:b/>
                <w:sz w:val="18"/>
                <w:szCs w:val="18"/>
                <w:vertAlign w:val="superscript"/>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E40F3E" w14:textId="3E2E0133" w:rsidR="003C09BD" w:rsidRPr="007E383D" w:rsidRDefault="00FC4888" w:rsidP="00A863C8">
            <w:pPr>
              <w:keepNext/>
              <w:keepLines/>
              <w:widowControl w:val="0"/>
              <w:jc w:val="center"/>
              <w:rPr>
                <w:b/>
                <w:sz w:val="18"/>
                <w:szCs w:val="18"/>
              </w:rPr>
            </w:pPr>
            <w:r w:rsidRPr="007E383D">
              <w:rPr>
                <w:b/>
                <w:sz w:val="18"/>
                <w:szCs w:val="20"/>
              </w:rPr>
              <w:t>Doba ručení</w:t>
            </w:r>
            <w:r w:rsidRPr="007E383D">
              <w:rPr>
                <w:b/>
                <w:sz w:val="18"/>
                <w:szCs w:val="20"/>
                <w:vertAlign w:val="superscript"/>
              </w:rPr>
              <w:t>8)</w:t>
            </w:r>
          </w:p>
        </w:tc>
      </w:tr>
      <w:tr w:rsidR="003C09BD" w:rsidRPr="007E383D" w14:paraId="4D175EC8" w14:textId="77777777" w:rsidTr="00474ACA">
        <w:tc>
          <w:tcPr>
            <w:tcW w:w="596" w:type="dxa"/>
            <w:tcBorders>
              <w:top w:val="single" w:sz="4" w:space="0" w:color="auto"/>
              <w:left w:val="single" w:sz="4" w:space="0" w:color="auto"/>
              <w:bottom w:val="single" w:sz="4" w:space="0" w:color="auto"/>
              <w:right w:val="single" w:sz="4" w:space="0" w:color="auto"/>
            </w:tcBorders>
            <w:vAlign w:val="center"/>
            <w:hideMark/>
          </w:tcPr>
          <w:p w14:paraId="3E22D030" w14:textId="77777777" w:rsidR="003C09BD" w:rsidRPr="007E383D" w:rsidRDefault="003C09BD" w:rsidP="00A863C8">
            <w:pPr>
              <w:keepNext/>
              <w:keepLines/>
              <w:widowControl w:val="0"/>
              <w:jc w:val="center"/>
              <w:rPr>
                <w:sz w:val="20"/>
                <w:szCs w:val="20"/>
              </w:rPr>
            </w:pPr>
            <w:r w:rsidRPr="007E383D">
              <w:rPr>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ED9A27" w14:textId="51866219" w:rsidR="009F212D" w:rsidRPr="007E383D" w:rsidRDefault="003C09BD" w:rsidP="009F212D">
            <w:pPr>
              <w:keepNext/>
              <w:keepLines/>
              <w:widowControl w:val="0"/>
              <w:rPr>
                <w:rFonts w:cs="Calibri"/>
                <w:sz w:val="20"/>
                <w:szCs w:val="20"/>
              </w:rPr>
            </w:pPr>
            <w:r w:rsidRPr="007E383D">
              <w:rPr>
                <w:rFonts w:cs="Calibri"/>
                <w:sz w:val="20"/>
                <w:szCs w:val="20"/>
              </w:rPr>
              <w:t xml:space="preserve">Ušlý zisk a </w:t>
            </w:r>
            <w:r w:rsidR="00BC0447" w:rsidRPr="007E383D">
              <w:rPr>
                <w:rFonts w:cs="Calibri"/>
                <w:sz w:val="20"/>
                <w:szCs w:val="20"/>
              </w:rPr>
              <w:t>stálé</w:t>
            </w:r>
            <w:r w:rsidRPr="007E383D">
              <w:rPr>
                <w:rFonts w:cs="Calibri"/>
                <w:sz w:val="20"/>
                <w:szCs w:val="20"/>
              </w:rPr>
              <w:t xml:space="preserve"> náklady</w:t>
            </w:r>
            <w:r w:rsidR="00496C23" w:rsidRPr="007E383D">
              <w:rPr>
                <w:rFonts w:cs="Calibri"/>
                <w:sz w:val="20"/>
                <w:szCs w:val="20"/>
              </w:rPr>
              <w:t xml:space="preserve"> </w:t>
            </w:r>
            <w:r w:rsidR="00BD2D30" w:rsidRPr="007E383D">
              <w:rPr>
                <w:rFonts w:cs="Calibri"/>
                <w:sz w:val="20"/>
                <w:szCs w:val="20"/>
              </w:rPr>
              <w:t>(</w:t>
            </w:r>
            <w:r w:rsidR="00496C23" w:rsidRPr="007E383D">
              <w:rPr>
                <w:rFonts w:cs="Calibri"/>
                <w:sz w:val="20"/>
                <w:szCs w:val="20"/>
              </w:rPr>
              <w:t>vč</w:t>
            </w:r>
            <w:r w:rsidR="00BC0447" w:rsidRPr="007E383D">
              <w:rPr>
                <w:rFonts w:cs="Calibri"/>
                <w:sz w:val="20"/>
                <w:szCs w:val="20"/>
              </w:rPr>
              <w:t>etně ušlého nájmu</w:t>
            </w:r>
            <w:r w:rsidR="009F212D" w:rsidRPr="007E383D">
              <w:rPr>
                <w:rFonts w:cs="Calibri"/>
                <w:sz w:val="20"/>
                <w:szCs w:val="20"/>
              </w:rPr>
              <w:t>)</w:t>
            </w:r>
            <w:r w:rsidR="006F3F23" w:rsidRPr="007E383D">
              <w:rPr>
                <w:rFonts w:cs="Calibri"/>
                <w:sz w:val="20"/>
                <w:szCs w:val="20"/>
              </w:rPr>
              <w:t>,</w:t>
            </w:r>
            <w:r w:rsidR="00BD2D30" w:rsidRPr="007E383D">
              <w:rPr>
                <w:rFonts w:cs="Calibri"/>
                <w:sz w:val="20"/>
                <w:szCs w:val="20"/>
              </w:rPr>
              <w:t xml:space="preserve"> </w:t>
            </w:r>
            <w:r w:rsidR="00496C23" w:rsidRPr="007E383D">
              <w:rPr>
                <w:rFonts w:cs="Calibri"/>
                <w:sz w:val="20"/>
                <w:szCs w:val="20"/>
              </w:rPr>
              <w:t xml:space="preserve"> </w:t>
            </w:r>
          </w:p>
          <w:p w14:paraId="2B9B8142" w14:textId="20DE72A3" w:rsidR="009F212D" w:rsidRPr="007E383D" w:rsidRDefault="009F212D" w:rsidP="009F212D">
            <w:pPr>
              <w:keepNext/>
              <w:keepLines/>
              <w:widowControl w:val="0"/>
              <w:rPr>
                <w:rFonts w:cs="Calibri"/>
                <w:sz w:val="20"/>
                <w:szCs w:val="20"/>
              </w:rPr>
            </w:pPr>
            <w:r w:rsidRPr="007E383D">
              <w:rPr>
                <w:rFonts w:cs="Calibri"/>
                <w:sz w:val="20"/>
                <w:szCs w:val="20"/>
              </w:rPr>
              <w:t xml:space="preserve">přerušení provozu u pojištěného následkem věcné škody na majetku pojištěného a u odběratelů / dodavatelů </w:t>
            </w:r>
            <w:r w:rsidR="00474ACA" w:rsidRPr="007E383D">
              <w:rPr>
                <w:rFonts w:cs="Calibri"/>
                <w:sz w:val="20"/>
                <w:szCs w:val="20"/>
              </w:rPr>
              <w:t>–</w:t>
            </w:r>
            <w:r w:rsidRPr="007E383D">
              <w:rPr>
                <w:rFonts w:cs="Calibri"/>
                <w:sz w:val="20"/>
                <w:szCs w:val="20"/>
              </w:rPr>
              <w:t xml:space="preserve"> specifikovaní</w:t>
            </w:r>
            <w:r w:rsidR="00474ACA" w:rsidRPr="007E383D">
              <w:rPr>
                <w:rFonts w:cs="Calibri"/>
                <w:sz w:val="20"/>
                <w:szCs w:val="20"/>
              </w:rPr>
              <w:t xml:space="preserve"> </w:t>
            </w:r>
            <w:r w:rsidRPr="007E383D">
              <w:rPr>
                <w:rFonts w:cs="Calibri"/>
                <w:sz w:val="20"/>
                <w:szCs w:val="20"/>
              </w:rPr>
              <w:t xml:space="preserve">/nespecifikovaní </w:t>
            </w:r>
          </w:p>
          <w:p w14:paraId="589999A0" w14:textId="07BA92E0" w:rsidR="003C09BD" w:rsidRPr="007E383D" w:rsidRDefault="00496C23" w:rsidP="00A863C8">
            <w:pPr>
              <w:keepNext/>
              <w:keepLines/>
              <w:widowControl w:val="0"/>
              <w:rPr>
                <w:sz w:val="20"/>
                <w:szCs w:val="20"/>
              </w:rPr>
            </w:pPr>
            <w:r w:rsidRPr="007E383D">
              <w:rPr>
                <w:rFonts w:cs="Calibri"/>
                <w:sz w:val="20"/>
                <w:szCs w:val="20"/>
              </w:rPr>
              <w:t xml:space="preserve"> a následkem</w:t>
            </w:r>
            <w:r w:rsidR="00C240F8" w:rsidRPr="007E383D">
              <w:rPr>
                <w:rFonts w:cs="Calibri"/>
                <w:sz w:val="20"/>
                <w:szCs w:val="20"/>
              </w:rPr>
              <w:t xml:space="preserve"> zamezení přístupu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A78750" w14:textId="115E66CE" w:rsidR="003C09BD" w:rsidRPr="007E383D" w:rsidRDefault="000A12C3" w:rsidP="002251FB">
            <w:pPr>
              <w:widowControl w:val="0"/>
              <w:ind w:left="-113" w:right="-112"/>
              <w:jc w:val="center"/>
              <w:rPr>
                <w:sz w:val="20"/>
                <w:szCs w:val="20"/>
              </w:rPr>
            </w:pPr>
            <w:r w:rsidRPr="007E383D">
              <w:rPr>
                <w:sz w:val="20"/>
                <w:szCs w:val="20"/>
              </w:rPr>
              <w:t>7 507 674 000 Kč</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FEC907" w14:textId="77777777" w:rsidR="003C09BD" w:rsidRPr="007E383D" w:rsidRDefault="003C09BD" w:rsidP="00A863C8">
            <w:pPr>
              <w:keepNext/>
              <w:keepLines/>
              <w:widowControl w:val="0"/>
              <w:jc w:val="center"/>
              <w:rPr>
                <w:sz w:val="20"/>
                <w:szCs w:val="20"/>
              </w:rPr>
            </w:pPr>
            <w:r w:rsidRPr="007E383D">
              <w:rPr>
                <w:sz w:val="20"/>
                <w:szCs w:val="20"/>
              </w:rPr>
              <w:t>14 dnů</w:t>
            </w:r>
          </w:p>
        </w:tc>
        <w:tc>
          <w:tcPr>
            <w:tcW w:w="1560" w:type="dxa"/>
            <w:tcBorders>
              <w:top w:val="single" w:sz="4" w:space="0" w:color="auto"/>
              <w:left w:val="single" w:sz="4" w:space="0" w:color="auto"/>
              <w:bottom w:val="single" w:sz="4" w:space="0" w:color="auto"/>
              <w:right w:val="single" w:sz="4" w:space="0" w:color="auto"/>
            </w:tcBorders>
            <w:vAlign w:val="center"/>
          </w:tcPr>
          <w:p w14:paraId="1972D787" w14:textId="77777777" w:rsidR="003C09BD" w:rsidRPr="007E383D" w:rsidRDefault="003C09BD" w:rsidP="00A863C8">
            <w:pPr>
              <w:keepNext/>
              <w:keepLines/>
              <w:widowControl w:val="0"/>
              <w:jc w:val="center"/>
              <w:rPr>
                <w:sz w:val="20"/>
                <w:szCs w:val="20"/>
              </w:rPr>
            </w:pPr>
            <w:r w:rsidRPr="007E383D">
              <w:rPr>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C3228B" w14:textId="34C05DBA" w:rsidR="003C09BD" w:rsidRPr="007E383D" w:rsidRDefault="0088560D" w:rsidP="00A863C8">
            <w:pPr>
              <w:keepNext/>
              <w:keepLines/>
              <w:widowControl w:val="0"/>
              <w:ind w:left="-111" w:right="-112"/>
              <w:jc w:val="center"/>
              <w:rPr>
                <w:sz w:val="20"/>
                <w:szCs w:val="20"/>
              </w:rPr>
            </w:pPr>
            <w:r w:rsidRPr="007E383D">
              <w:rPr>
                <w:sz w:val="20"/>
                <w:szCs w:val="20"/>
              </w:rPr>
              <w:t>X</w:t>
            </w:r>
          </w:p>
        </w:tc>
        <w:tc>
          <w:tcPr>
            <w:tcW w:w="1134" w:type="dxa"/>
            <w:tcBorders>
              <w:top w:val="single" w:sz="4" w:space="0" w:color="auto"/>
              <w:left w:val="single" w:sz="4" w:space="0" w:color="auto"/>
              <w:right w:val="single" w:sz="4" w:space="0" w:color="auto"/>
            </w:tcBorders>
            <w:vAlign w:val="center"/>
            <w:hideMark/>
          </w:tcPr>
          <w:p w14:paraId="0A1119CC" w14:textId="77777777" w:rsidR="003C09BD" w:rsidRPr="007E383D" w:rsidRDefault="003C09BD" w:rsidP="00A863C8">
            <w:pPr>
              <w:keepNext/>
              <w:keepLines/>
              <w:widowControl w:val="0"/>
              <w:jc w:val="center"/>
              <w:rPr>
                <w:sz w:val="20"/>
                <w:szCs w:val="20"/>
              </w:rPr>
            </w:pPr>
            <w:r w:rsidRPr="007E383D">
              <w:rPr>
                <w:sz w:val="20"/>
                <w:szCs w:val="20"/>
              </w:rPr>
              <w:t>12 měsíců</w:t>
            </w:r>
          </w:p>
        </w:tc>
      </w:tr>
      <w:tr w:rsidR="003C09BD" w:rsidRPr="007E383D" w14:paraId="1FF5F598" w14:textId="77777777" w:rsidTr="00A863C8">
        <w:trPr>
          <w:trHeight w:val="982"/>
        </w:trPr>
        <w:tc>
          <w:tcPr>
            <w:tcW w:w="9952" w:type="dxa"/>
            <w:gridSpan w:val="7"/>
            <w:tcBorders>
              <w:top w:val="single" w:sz="4" w:space="0" w:color="auto"/>
              <w:left w:val="single" w:sz="4" w:space="0" w:color="auto"/>
              <w:bottom w:val="single" w:sz="4" w:space="0" w:color="auto"/>
              <w:right w:val="single" w:sz="4" w:space="0" w:color="auto"/>
            </w:tcBorders>
          </w:tcPr>
          <w:p w14:paraId="149BF6ED" w14:textId="77777777" w:rsidR="003C09BD" w:rsidRPr="007E383D" w:rsidRDefault="003C09BD" w:rsidP="00A863C8">
            <w:pPr>
              <w:keepNext/>
              <w:keepLines/>
              <w:widowControl w:val="0"/>
              <w:rPr>
                <w:sz w:val="20"/>
                <w:szCs w:val="20"/>
              </w:rPr>
            </w:pPr>
            <w:r w:rsidRPr="007E383D">
              <w:rPr>
                <w:sz w:val="20"/>
                <w:szCs w:val="20"/>
              </w:rPr>
              <w:t>Poznámky:</w:t>
            </w:r>
          </w:p>
          <w:p w14:paraId="5AC84595" w14:textId="77777777" w:rsidR="00884211" w:rsidRPr="007E383D" w:rsidRDefault="00884211" w:rsidP="00884211">
            <w:pPr>
              <w:keepNext/>
              <w:keepLines/>
              <w:widowControl w:val="0"/>
              <w:jc w:val="both"/>
              <w:rPr>
                <w:sz w:val="20"/>
                <w:szCs w:val="20"/>
              </w:rPr>
            </w:pPr>
            <w:r w:rsidRPr="007E383D">
              <w:rPr>
                <w:sz w:val="20"/>
                <w:szCs w:val="20"/>
              </w:rPr>
              <w:t>Dodavatelem se rozumí jakýkoli dodavatel, výrobce nebo zpracovatel komponentů, zboží nebo surovin určených pro provoz pojištěného, ať již specifikovaný, či nespecifikovaný a odběratelem jakýkoli odběratel, specifikovaný či nespecifikovaný, vůči němuž má pojistník/pojištěný závazky vyplývající ze smluvního vztahu.</w:t>
            </w:r>
          </w:p>
          <w:p w14:paraId="3F3199A6" w14:textId="77777777" w:rsidR="0058782B" w:rsidRPr="007E383D" w:rsidRDefault="0058782B" w:rsidP="008F7D95">
            <w:pPr>
              <w:widowControl w:val="0"/>
              <w:rPr>
                <w:sz w:val="20"/>
                <w:szCs w:val="20"/>
              </w:rPr>
            </w:pPr>
          </w:p>
          <w:p w14:paraId="312CD50C" w14:textId="30F84310" w:rsidR="003C09BD" w:rsidRPr="007E383D" w:rsidRDefault="008F7D95" w:rsidP="008F7D95">
            <w:pPr>
              <w:widowControl w:val="0"/>
              <w:rPr>
                <w:sz w:val="20"/>
                <w:szCs w:val="20"/>
              </w:rPr>
            </w:pPr>
            <w:proofErr w:type="spellStart"/>
            <w:r w:rsidRPr="007E383D">
              <w:rPr>
                <w:sz w:val="20"/>
                <w:szCs w:val="20"/>
              </w:rPr>
              <w:t>Denial</w:t>
            </w:r>
            <w:proofErr w:type="spellEnd"/>
            <w:r w:rsidRPr="007E383D">
              <w:rPr>
                <w:sz w:val="20"/>
                <w:szCs w:val="20"/>
              </w:rPr>
              <w:t xml:space="preserve"> </w:t>
            </w:r>
            <w:proofErr w:type="spellStart"/>
            <w:r w:rsidRPr="007E383D">
              <w:rPr>
                <w:sz w:val="20"/>
                <w:szCs w:val="20"/>
              </w:rPr>
              <w:t>of</w:t>
            </w:r>
            <w:proofErr w:type="spellEnd"/>
            <w:r w:rsidRPr="007E383D">
              <w:rPr>
                <w:sz w:val="20"/>
                <w:szCs w:val="20"/>
              </w:rPr>
              <w:t xml:space="preserve"> </w:t>
            </w:r>
            <w:proofErr w:type="gramStart"/>
            <w:r w:rsidRPr="007E383D">
              <w:rPr>
                <w:sz w:val="20"/>
                <w:szCs w:val="20"/>
              </w:rPr>
              <w:t>Access - zamezení</w:t>
            </w:r>
            <w:proofErr w:type="gramEnd"/>
            <w:r w:rsidRPr="007E383D">
              <w:rPr>
                <w:sz w:val="20"/>
                <w:szCs w:val="20"/>
              </w:rPr>
              <w:t xml:space="preserve"> přístupu: Ujednává se, že za věcnou škodu se také považuje poškození nebo zničení cizího hmotného majetku, který neslouží pojištěnému provozu některým z pojištěných nebezpečí, proti němuž je sjednáno pojištění přerušení provozu pojištěného a jehož poškození nebo zničení zabraňuje nebo překáží v používání provozních prostor nebo přístupu k nim</w:t>
            </w:r>
            <w:r w:rsidRPr="007E383D">
              <w:rPr>
                <w:b/>
                <w:szCs w:val="18"/>
              </w:rPr>
              <w:t xml:space="preserve">. </w:t>
            </w:r>
          </w:p>
        </w:tc>
      </w:tr>
    </w:tbl>
    <w:p w14:paraId="0DB40915" w14:textId="77777777" w:rsidR="00FC4888" w:rsidRPr="007E383D" w:rsidRDefault="00FC4888" w:rsidP="00282B75">
      <w:pPr>
        <w:widowControl w:val="0"/>
        <w:rPr>
          <w:b/>
          <w:sz w:val="20"/>
          <w:szCs w:val="20"/>
        </w:rPr>
      </w:pPr>
    </w:p>
    <w:p w14:paraId="4ECD200D" w14:textId="5C400189" w:rsidR="00FC4888" w:rsidRPr="007E383D" w:rsidRDefault="00FC4888" w:rsidP="00282B75">
      <w:pPr>
        <w:keepNext/>
        <w:keepLines/>
        <w:widowControl w:val="0"/>
        <w:rPr>
          <w:b/>
          <w:sz w:val="20"/>
          <w:szCs w:val="20"/>
        </w:rPr>
      </w:pPr>
      <w:r w:rsidRPr="007E383D">
        <w:rPr>
          <w:b/>
          <w:sz w:val="20"/>
          <w:szCs w:val="20"/>
        </w:rPr>
        <w:t>2.3 Pojištění terorismu – Pojištění odpovědnosti za újmu</w:t>
      </w:r>
    </w:p>
    <w:tbl>
      <w:tblPr>
        <w:tblStyle w:val="Mkatabulky"/>
        <w:tblW w:w="9952" w:type="dxa"/>
        <w:tblInd w:w="108" w:type="dxa"/>
        <w:tblLayout w:type="fixed"/>
        <w:tblLook w:val="04A0" w:firstRow="1" w:lastRow="0" w:firstColumn="1" w:lastColumn="0" w:noHBand="0" w:noVBand="1"/>
      </w:tblPr>
      <w:tblGrid>
        <w:gridCol w:w="596"/>
        <w:gridCol w:w="3686"/>
        <w:gridCol w:w="2268"/>
        <w:gridCol w:w="1843"/>
        <w:gridCol w:w="1559"/>
      </w:tblGrid>
      <w:tr w:rsidR="00FC4888" w:rsidRPr="007E383D" w14:paraId="2E736CE7" w14:textId="77777777" w:rsidTr="000351E8">
        <w:tc>
          <w:tcPr>
            <w:tcW w:w="9952" w:type="dxa"/>
            <w:gridSpan w:val="5"/>
            <w:tcBorders>
              <w:top w:val="single" w:sz="4" w:space="0" w:color="auto"/>
              <w:left w:val="single" w:sz="4" w:space="0" w:color="auto"/>
              <w:bottom w:val="single" w:sz="4" w:space="0" w:color="auto"/>
              <w:right w:val="single" w:sz="4" w:space="0" w:color="auto"/>
            </w:tcBorders>
            <w:hideMark/>
          </w:tcPr>
          <w:p w14:paraId="1F197392" w14:textId="1EDF10C2" w:rsidR="00FC4888" w:rsidRPr="007E383D" w:rsidRDefault="00FC4888" w:rsidP="00282B75">
            <w:pPr>
              <w:keepNext/>
              <w:keepLines/>
              <w:widowControl w:val="0"/>
              <w:rPr>
                <w:sz w:val="20"/>
                <w:szCs w:val="20"/>
              </w:rPr>
            </w:pPr>
            <w:r w:rsidRPr="007E383D">
              <w:rPr>
                <w:b/>
                <w:sz w:val="20"/>
                <w:szCs w:val="20"/>
              </w:rPr>
              <w:t xml:space="preserve">Pojištění se řídí: </w:t>
            </w:r>
            <w:r w:rsidRPr="007E383D">
              <w:rPr>
                <w:sz w:val="20"/>
                <w:szCs w:val="20"/>
              </w:rPr>
              <w:t xml:space="preserve">Smluvními ujednáními pro pojištění terorismu </w:t>
            </w:r>
          </w:p>
        </w:tc>
      </w:tr>
      <w:tr w:rsidR="00A3296C" w:rsidRPr="007E383D" w14:paraId="4CF5BCD2" w14:textId="77777777" w:rsidTr="000351E8">
        <w:tc>
          <w:tcPr>
            <w:tcW w:w="596" w:type="dxa"/>
            <w:tcBorders>
              <w:top w:val="single" w:sz="4" w:space="0" w:color="auto"/>
              <w:left w:val="single" w:sz="4" w:space="0" w:color="auto"/>
              <w:bottom w:val="single" w:sz="4" w:space="0" w:color="auto"/>
              <w:right w:val="single" w:sz="4" w:space="0" w:color="auto"/>
            </w:tcBorders>
            <w:vAlign w:val="center"/>
            <w:hideMark/>
          </w:tcPr>
          <w:p w14:paraId="1D25A1A0" w14:textId="77777777" w:rsidR="00A3296C" w:rsidRPr="007E383D" w:rsidRDefault="00A3296C" w:rsidP="00282B75">
            <w:pPr>
              <w:keepNext/>
              <w:keepLines/>
              <w:widowControl w:val="0"/>
              <w:jc w:val="center"/>
              <w:rPr>
                <w:b/>
                <w:sz w:val="18"/>
                <w:szCs w:val="18"/>
              </w:rPr>
            </w:pPr>
            <w:proofErr w:type="spellStart"/>
            <w:r w:rsidRPr="007E383D">
              <w:rPr>
                <w:b/>
                <w:sz w:val="18"/>
                <w:szCs w:val="18"/>
              </w:rPr>
              <w:t>Poř</w:t>
            </w:r>
            <w:proofErr w:type="spellEnd"/>
            <w:r w:rsidRPr="007E383D">
              <w:rPr>
                <w:b/>
                <w:sz w:val="18"/>
                <w:szCs w:val="18"/>
              </w:rPr>
              <w:t>. číslo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B64A72" w14:textId="0B83740A" w:rsidR="00A3296C" w:rsidRPr="007E383D" w:rsidRDefault="00A3296C" w:rsidP="00282B75">
            <w:pPr>
              <w:keepNext/>
              <w:keepLines/>
              <w:widowControl w:val="0"/>
              <w:jc w:val="center"/>
              <w:rPr>
                <w:b/>
                <w:sz w:val="18"/>
                <w:szCs w:val="18"/>
              </w:rPr>
            </w:pPr>
            <w:r w:rsidRPr="007E383D">
              <w:rPr>
                <w:b/>
                <w:sz w:val="18"/>
                <w:szCs w:val="18"/>
              </w:rPr>
              <w:t>Rozsah pojištění</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52D0A8" w14:textId="5D6A67C4" w:rsidR="00A3296C" w:rsidRPr="007E383D" w:rsidRDefault="00A3296C" w:rsidP="00282B75">
            <w:pPr>
              <w:keepNext/>
              <w:keepLines/>
              <w:widowControl w:val="0"/>
              <w:jc w:val="center"/>
              <w:rPr>
                <w:b/>
                <w:sz w:val="18"/>
                <w:szCs w:val="18"/>
              </w:rPr>
            </w:pPr>
            <w:r w:rsidRPr="007E383D">
              <w:rPr>
                <w:b/>
                <w:sz w:val="18"/>
                <w:szCs w:val="20"/>
              </w:rPr>
              <w:t>Limit pojistného plnění</w:t>
            </w:r>
            <w:r w:rsidRPr="007E383D">
              <w:rPr>
                <w:b/>
                <w:sz w:val="18"/>
                <w:szCs w:val="20"/>
                <w:vertAlign w:val="superscript"/>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1B7D51" w14:textId="4E8CF6FD" w:rsidR="00A3296C" w:rsidRPr="007E383D" w:rsidRDefault="00A3296C" w:rsidP="00282B75">
            <w:pPr>
              <w:keepNext/>
              <w:keepLines/>
              <w:widowControl w:val="0"/>
              <w:jc w:val="center"/>
              <w:rPr>
                <w:b/>
                <w:sz w:val="18"/>
                <w:szCs w:val="18"/>
              </w:rPr>
            </w:pPr>
            <w:proofErr w:type="spellStart"/>
            <w:r w:rsidRPr="007E383D">
              <w:rPr>
                <w:b/>
                <w:sz w:val="18"/>
                <w:szCs w:val="20"/>
              </w:rPr>
              <w:t>Sublimit</w:t>
            </w:r>
            <w:proofErr w:type="spellEnd"/>
            <w:r w:rsidRPr="007E383D">
              <w:rPr>
                <w:b/>
                <w:sz w:val="18"/>
                <w:szCs w:val="20"/>
              </w:rPr>
              <w:t xml:space="preserve"> pojistného plnění</w:t>
            </w:r>
            <w:r w:rsidRPr="007E383D">
              <w:rPr>
                <w:b/>
                <w:sz w:val="18"/>
                <w:szCs w:val="20"/>
                <w:vertAlign w:val="superscript"/>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A386C8" w14:textId="23F40F48" w:rsidR="00A3296C" w:rsidRPr="007E383D" w:rsidRDefault="00A3296C" w:rsidP="00282B75">
            <w:pPr>
              <w:keepNext/>
              <w:keepLines/>
              <w:widowControl w:val="0"/>
              <w:jc w:val="center"/>
              <w:rPr>
                <w:b/>
                <w:sz w:val="18"/>
                <w:szCs w:val="18"/>
              </w:rPr>
            </w:pPr>
            <w:r w:rsidRPr="007E383D">
              <w:rPr>
                <w:b/>
                <w:sz w:val="18"/>
                <w:szCs w:val="20"/>
              </w:rPr>
              <w:t>Spoluúčast</w:t>
            </w:r>
            <w:r w:rsidRPr="007E383D">
              <w:rPr>
                <w:b/>
                <w:sz w:val="18"/>
                <w:szCs w:val="20"/>
                <w:vertAlign w:val="superscript"/>
              </w:rPr>
              <w:t>5)</w:t>
            </w:r>
          </w:p>
        </w:tc>
      </w:tr>
      <w:tr w:rsidR="00A3296C" w:rsidRPr="007E383D" w14:paraId="1769FBC1" w14:textId="77777777" w:rsidTr="000351E8">
        <w:tc>
          <w:tcPr>
            <w:tcW w:w="596" w:type="dxa"/>
            <w:tcBorders>
              <w:top w:val="single" w:sz="4" w:space="0" w:color="auto"/>
              <w:left w:val="single" w:sz="4" w:space="0" w:color="auto"/>
              <w:bottom w:val="single" w:sz="4" w:space="0" w:color="auto"/>
              <w:right w:val="single" w:sz="4" w:space="0" w:color="auto"/>
            </w:tcBorders>
            <w:vAlign w:val="center"/>
            <w:hideMark/>
          </w:tcPr>
          <w:p w14:paraId="0A599690" w14:textId="77777777" w:rsidR="00A3296C" w:rsidRPr="007E383D" w:rsidRDefault="00A3296C" w:rsidP="00282B75">
            <w:pPr>
              <w:keepNext/>
              <w:keepLines/>
              <w:widowControl w:val="0"/>
              <w:jc w:val="center"/>
              <w:rPr>
                <w:sz w:val="20"/>
                <w:szCs w:val="20"/>
              </w:rPr>
            </w:pPr>
            <w:r w:rsidRPr="007E383D">
              <w:rPr>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9F1D6B9" w14:textId="2DCAE5CB" w:rsidR="00A3296C" w:rsidRPr="007E383D" w:rsidRDefault="00A3296C" w:rsidP="00282B75">
            <w:pPr>
              <w:keepNext/>
              <w:keepLines/>
              <w:widowControl w:val="0"/>
              <w:rPr>
                <w:sz w:val="20"/>
                <w:szCs w:val="20"/>
              </w:rPr>
            </w:pPr>
            <w:r w:rsidRPr="007E383D">
              <w:rPr>
                <w:rFonts w:cs="Calibri"/>
                <w:sz w:val="20"/>
                <w:szCs w:val="20"/>
              </w:rPr>
              <w:t xml:space="preserve">Pojištění odpovědnosti za újmu v důsledku </w:t>
            </w:r>
            <w:r w:rsidR="002E282B" w:rsidRPr="007E383D">
              <w:rPr>
                <w:rFonts w:cs="Calibri"/>
                <w:sz w:val="20"/>
                <w:szCs w:val="20"/>
              </w:rPr>
              <w:t>t</w:t>
            </w:r>
            <w:r w:rsidRPr="007E383D">
              <w:rPr>
                <w:rFonts w:cs="Calibri"/>
                <w:sz w:val="20"/>
                <w:szCs w:val="20"/>
              </w:rPr>
              <w:t>erorismu ve smyslu Smluvních ujednání pro pojištění terorismu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C74AD4" w14:textId="716914BF" w:rsidR="00A3296C" w:rsidRPr="007E383D" w:rsidRDefault="00A3296C" w:rsidP="00282B75">
            <w:pPr>
              <w:keepNext/>
              <w:keepLines/>
              <w:widowControl w:val="0"/>
              <w:jc w:val="center"/>
              <w:rPr>
                <w:sz w:val="20"/>
                <w:szCs w:val="20"/>
              </w:rPr>
            </w:pPr>
            <w:r w:rsidRPr="007E383D">
              <w:rPr>
                <w:sz w:val="20"/>
                <w:szCs w:val="20"/>
              </w:rPr>
              <w:t>500 000 000 Kč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8E75C4" w14:textId="34522278" w:rsidR="00A3296C" w:rsidRPr="007E383D" w:rsidRDefault="00A3296C" w:rsidP="00282B75">
            <w:pPr>
              <w:keepNext/>
              <w:keepLines/>
              <w:widowControl w:val="0"/>
              <w:jc w:val="center"/>
              <w:rPr>
                <w:sz w:val="20"/>
                <w:szCs w:val="20"/>
              </w:rPr>
            </w:pPr>
            <w:r w:rsidRPr="007E383D">
              <w:rPr>
                <w:sz w:val="20"/>
                <w:szCs w:val="20"/>
              </w:rPr>
              <w:t>x</w:t>
            </w:r>
          </w:p>
        </w:tc>
        <w:tc>
          <w:tcPr>
            <w:tcW w:w="1559" w:type="dxa"/>
            <w:tcBorders>
              <w:top w:val="single" w:sz="4" w:space="0" w:color="auto"/>
              <w:left w:val="single" w:sz="4" w:space="0" w:color="auto"/>
              <w:bottom w:val="single" w:sz="4" w:space="0" w:color="auto"/>
              <w:right w:val="single" w:sz="4" w:space="0" w:color="auto"/>
            </w:tcBorders>
            <w:vAlign w:val="center"/>
          </w:tcPr>
          <w:p w14:paraId="7148B65E" w14:textId="7A922606" w:rsidR="00A3296C" w:rsidRPr="007E383D" w:rsidRDefault="00A3296C" w:rsidP="00282B75">
            <w:pPr>
              <w:keepNext/>
              <w:keepLines/>
              <w:widowControl w:val="0"/>
              <w:jc w:val="center"/>
              <w:rPr>
                <w:sz w:val="20"/>
                <w:szCs w:val="20"/>
              </w:rPr>
            </w:pPr>
            <w:r w:rsidRPr="007E383D">
              <w:rPr>
                <w:sz w:val="20"/>
                <w:szCs w:val="20"/>
              </w:rPr>
              <w:t>250 000 Kč</w:t>
            </w:r>
          </w:p>
        </w:tc>
      </w:tr>
      <w:tr w:rsidR="00FC4888" w:rsidRPr="007E383D" w14:paraId="4720E6D8" w14:textId="77777777" w:rsidTr="000351E8">
        <w:trPr>
          <w:trHeight w:val="70"/>
        </w:trPr>
        <w:tc>
          <w:tcPr>
            <w:tcW w:w="9952" w:type="dxa"/>
            <w:gridSpan w:val="5"/>
            <w:tcBorders>
              <w:top w:val="single" w:sz="4" w:space="0" w:color="auto"/>
              <w:left w:val="single" w:sz="4" w:space="0" w:color="auto"/>
              <w:bottom w:val="single" w:sz="4" w:space="0" w:color="auto"/>
              <w:right w:val="single" w:sz="4" w:space="0" w:color="auto"/>
            </w:tcBorders>
          </w:tcPr>
          <w:p w14:paraId="14CE3DAE" w14:textId="66D06998" w:rsidR="00FC4888" w:rsidRPr="007E383D" w:rsidRDefault="00FC4888" w:rsidP="00282B75">
            <w:pPr>
              <w:keepNext/>
              <w:keepLines/>
              <w:widowControl w:val="0"/>
              <w:rPr>
                <w:sz w:val="20"/>
                <w:szCs w:val="20"/>
              </w:rPr>
            </w:pPr>
            <w:r w:rsidRPr="007E383D">
              <w:rPr>
                <w:sz w:val="20"/>
                <w:szCs w:val="20"/>
              </w:rPr>
              <w:t>Poznámky:</w:t>
            </w:r>
          </w:p>
        </w:tc>
      </w:tr>
    </w:tbl>
    <w:p w14:paraId="2B416F43" w14:textId="77777777" w:rsidR="000351E8" w:rsidRPr="007E383D" w:rsidRDefault="000351E8" w:rsidP="00282B75">
      <w:pPr>
        <w:widowControl w:val="0"/>
        <w:tabs>
          <w:tab w:val="left" w:pos="284"/>
        </w:tabs>
        <w:jc w:val="both"/>
        <w:rPr>
          <w:b/>
          <w:sz w:val="20"/>
          <w:szCs w:val="20"/>
          <w:vertAlign w:val="superscript"/>
        </w:rPr>
      </w:pPr>
    </w:p>
    <w:p w14:paraId="34BAA69D" w14:textId="4B1B695B" w:rsidR="005F5DA0" w:rsidRPr="007E383D" w:rsidRDefault="005F5DA0" w:rsidP="00282B75">
      <w:pPr>
        <w:widowControl w:val="0"/>
        <w:tabs>
          <w:tab w:val="left" w:pos="284"/>
        </w:tabs>
        <w:jc w:val="both"/>
        <w:rPr>
          <w:rFonts w:cs="Arial"/>
          <w:bCs/>
          <w:sz w:val="18"/>
        </w:rPr>
      </w:pPr>
      <w:r w:rsidRPr="007E383D">
        <w:rPr>
          <w:b/>
          <w:sz w:val="20"/>
          <w:szCs w:val="20"/>
          <w:vertAlign w:val="superscript"/>
        </w:rPr>
        <w:t>1)</w:t>
      </w:r>
      <w:r w:rsidRPr="007E383D">
        <w:rPr>
          <w:sz w:val="20"/>
          <w:szCs w:val="20"/>
        </w:rPr>
        <w:tab/>
      </w:r>
      <w:r w:rsidR="003450CC" w:rsidRPr="007E383D">
        <w:rPr>
          <w:sz w:val="18"/>
          <w:szCs w:val="18"/>
        </w:rPr>
        <w:t xml:space="preserve">nová </w:t>
      </w:r>
      <w:r w:rsidRPr="007E383D">
        <w:rPr>
          <w:rFonts w:cs="Arial"/>
          <w:bCs/>
          <w:sz w:val="18"/>
          <w:szCs w:val="18"/>
        </w:rPr>
        <w:t>cena</w:t>
      </w:r>
      <w:r w:rsidRPr="007E383D">
        <w:rPr>
          <w:rFonts w:cs="Arial"/>
          <w:bCs/>
          <w:sz w:val="18"/>
        </w:rPr>
        <w:t xml:space="preserve"> je vyjádření pojistné hodnoty ve smyslu ustanovení čl. 21 odst. 2) písm. a)</w:t>
      </w:r>
      <w:r w:rsidR="003450CC" w:rsidRPr="007E383D">
        <w:rPr>
          <w:rFonts w:cs="Arial"/>
          <w:bCs/>
          <w:sz w:val="18"/>
        </w:rPr>
        <w:t xml:space="preserve"> VPP P-100/14</w:t>
      </w:r>
    </w:p>
    <w:p w14:paraId="779697F1" w14:textId="77777777" w:rsidR="005F5DA0" w:rsidRPr="007E383D" w:rsidRDefault="005F5DA0" w:rsidP="00282B75">
      <w:pPr>
        <w:widowControl w:val="0"/>
        <w:tabs>
          <w:tab w:val="left" w:pos="284"/>
        </w:tabs>
        <w:jc w:val="both"/>
        <w:rPr>
          <w:rFonts w:cs="Arial"/>
          <w:sz w:val="18"/>
        </w:rPr>
      </w:pPr>
      <w:r w:rsidRPr="007E383D">
        <w:rPr>
          <w:rFonts w:cs="Arial"/>
          <w:bCs/>
          <w:sz w:val="18"/>
        </w:rPr>
        <w:tab/>
        <w:t>časová cena</w:t>
      </w:r>
      <w:r w:rsidRPr="007E383D">
        <w:rPr>
          <w:rFonts w:cs="Arial"/>
          <w:sz w:val="18"/>
        </w:rPr>
        <w:t xml:space="preserve"> je vyjádření pojistné hodnoty věci ve smyslu ustanovení čl. 21 odst. 2) písm. b) VPP P-100/14</w:t>
      </w:r>
    </w:p>
    <w:p w14:paraId="6750009E" w14:textId="77777777" w:rsidR="005F5DA0" w:rsidRPr="007E383D" w:rsidRDefault="005F5DA0" w:rsidP="00282B75">
      <w:pPr>
        <w:widowControl w:val="0"/>
        <w:tabs>
          <w:tab w:val="left" w:pos="284"/>
        </w:tabs>
        <w:jc w:val="both"/>
        <w:rPr>
          <w:rFonts w:cs="Arial"/>
          <w:sz w:val="18"/>
        </w:rPr>
      </w:pPr>
      <w:r w:rsidRPr="007E383D">
        <w:rPr>
          <w:rFonts w:cs="Arial"/>
          <w:sz w:val="18"/>
        </w:rPr>
        <w:tab/>
        <w:t>obvyklá cena je vyjádření pojistné hodnoty věci ve smyslu ustanovení čl. 21 odst. 2) písm. c) VPP P-100/14</w:t>
      </w:r>
    </w:p>
    <w:p w14:paraId="0334A836" w14:textId="77777777" w:rsidR="005F5DA0" w:rsidRPr="007E383D" w:rsidRDefault="005F5DA0" w:rsidP="00282B75">
      <w:pPr>
        <w:widowControl w:val="0"/>
        <w:tabs>
          <w:tab w:val="left" w:pos="284"/>
        </w:tabs>
        <w:jc w:val="both"/>
        <w:rPr>
          <w:rFonts w:cs="Arial"/>
          <w:sz w:val="18"/>
        </w:rPr>
      </w:pPr>
      <w:r w:rsidRPr="007E383D">
        <w:rPr>
          <w:rFonts w:cs="Arial"/>
          <w:sz w:val="18"/>
        </w:rPr>
        <w:tab/>
        <w:t>jiná cena je vyjádření pojistné hodnoty věci ve smyslu čl.</w:t>
      </w:r>
      <w:r w:rsidR="00FE4C16" w:rsidRPr="007E383D">
        <w:rPr>
          <w:rFonts w:cs="Arial"/>
          <w:sz w:val="18"/>
        </w:rPr>
        <w:t xml:space="preserve"> </w:t>
      </w:r>
      <w:r w:rsidRPr="007E383D">
        <w:rPr>
          <w:rFonts w:cs="Arial"/>
          <w:sz w:val="18"/>
        </w:rPr>
        <w:t>V</w:t>
      </w:r>
      <w:r w:rsidR="00E67A10" w:rsidRPr="007E383D">
        <w:rPr>
          <w:rFonts w:cs="Arial"/>
          <w:sz w:val="18"/>
        </w:rPr>
        <w:t>I</w:t>
      </w:r>
      <w:r w:rsidRPr="007E383D">
        <w:rPr>
          <w:rFonts w:cs="Arial"/>
          <w:sz w:val="18"/>
        </w:rPr>
        <w:t>. Zvláštní ujednání této pojistné smlouvy</w:t>
      </w:r>
    </w:p>
    <w:p w14:paraId="1625C7EE" w14:textId="77777777" w:rsidR="005F5DA0" w:rsidRPr="007E383D" w:rsidRDefault="005F5DA0" w:rsidP="00282B75">
      <w:pPr>
        <w:widowControl w:val="0"/>
        <w:tabs>
          <w:tab w:val="left" w:pos="284"/>
        </w:tabs>
        <w:jc w:val="both"/>
        <w:rPr>
          <w:rFonts w:cs="Arial"/>
          <w:sz w:val="18"/>
        </w:rPr>
      </w:pPr>
      <w:r w:rsidRPr="007E383D">
        <w:rPr>
          <w:b/>
          <w:sz w:val="20"/>
          <w:szCs w:val="20"/>
          <w:vertAlign w:val="superscript"/>
        </w:rPr>
        <w:t>2)</w:t>
      </w:r>
      <w:r w:rsidRPr="007E383D">
        <w:rPr>
          <w:rFonts w:cs="Arial"/>
          <w:sz w:val="18"/>
        </w:rPr>
        <w:tab/>
      </w:r>
      <w:r w:rsidRPr="007E383D">
        <w:rPr>
          <w:rFonts w:cs="Arial"/>
          <w:bCs/>
          <w:sz w:val="18"/>
        </w:rPr>
        <w:t xml:space="preserve">první riziko ve smyslu ustanovení </w:t>
      </w:r>
      <w:r w:rsidRPr="007E383D">
        <w:rPr>
          <w:rFonts w:cs="Arial"/>
          <w:sz w:val="18"/>
        </w:rPr>
        <w:t>čl. 23 odst. 1) písm. a) VPP P-100/14</w:t>
      </w:r>
    </w:p>
    <w:p w14:paraId="4273C4AA" w14:textId="77777777" w:rsidR="003450CC" w:rsidRPr="007E383D" w:rsidRDefault="005F5DA0" w:rsidP="00282B75">
      <w:pPr>
        <w:widowControl w:val="0"/>
        <w:tabs>
          <w:tab w:val="left" w:pos="284"/>
        </w:tabs>
        <w:ind w:left="284" w:hanging="284"/>
        <w:jc w:val="both"/>
        <w:rPr>
          <w:rFonts w:cs="Arial"/>
          <w:bCs/>
          <w:i/>
          <w:sz w:val="18"/>
          <w:u w:val="single"/>
        </w:rPr>
      </w:pPr>
      <w:r w:rsidRPr="007E383D">
        <w:rPr>
          <w:b/>
          <w:sz w:val="20"/>
          <w:szCs w:val="20"/>
          <w:vertAlign w:val="superscript"/>
        </w:rPr>
        <w:t>3)</w:t>
      </w:r>
      <w:r w:rsidRPr="007E383D">
        <w:rPr>
          <w:rFonts w:cs="Arial"/>
          <w:sz w:val="18"/>
        </w:rPr>
        <w:tab/>
      </w:r>
      <w:r w:rsidR="003450CC" w:rsidRPr="007E383D">
        <w:rPr>
          <w:rFonts w:cs="Arial"/>
          <w:bCs/>
          <w:sz w:val="18"/>
        </w:rPr>
        <w:t xml:space="preserve">MRLP je horní hranicí pojistného plnění </w:t>
      </w:r>
      <w:r w:rsidR="0071310E" w:rsidRPr="007E383D">
        <w:rPr>
          <w:rFonts w:cs="Arial"/>
          <w:bCs/>
          <w:sz w:val="18"/>
        </w:rPr>
        <w:t xml:space="preserve">v souhrnu </w:t>
      </w:r>
      <w:r w:rsidR="003450CC" w:rsidRPr="007E383D">
        <w:rPr>
          <w:rFonts w:cs="Arial"/>
          <w:bCs/>
          <w:sz w:val="18"/>
        </w:rPr>
        <w:t>ze všech pojistných událostí vzniklých v jednom pojistném roce</w:t>
      </w:r>
      <w:r w:rsidR="00E65AC5" w:rsidRPr="007E383D">
        <w:rPr>
          <w:rFonts w:cs="Arial"/>
          <w:bCs/>
          <w:sz w:val="18"/>
        </w:rPr>
        <w:t>. Je-li pojištění sjednáno na dobu</w:t>
      </w:r>
      <w:r w:rsidR="00FE4C16" w:rsidRPr="007E383D">
        <w:rPr>
          <w:rFonts w:cs="Arial"/>
          <w:bCs/>
          <w:sz w:val="18"/>
        </w:rPr>
        <w:t xml:space="preserve"> </w:t>
      </w:r>
      <w:proofErr w:type="gramStart"/>
      <w:r w:rsidR="00E65AC5" w:rsidRPr="007E383D">
        <w:rPr>
          <w:rFonts w:cs="Arial"/>
          <w:bCs/>
          <w:sz w:val="18"/>
        </w:rPr>
        <w:t>kratší</w:t>
      </w:r>
      <w:proofErr w:type="gramEnd"/>
      <w:r w:rsidR="00E65AC5" w:rsidRPr="007E383D">
        <w:rPr>
          <w:rFonts w:cs="Arial"/>
          <w:bCs/>
          <w:sz w:val="18"/>
        </w:rPr>
        <w:t xml:space="preserve"> než jeden pojistný rok je MRLP horní hranicí pojistného plnění </w:t>
      </w:r>
      <w:r w:rsidR="0071310E" w:rsidRPr="007E383D">
        <w:rPr>
          <w:rFonts w:cs="Arial"/>
          <w:bCs/>
          <w:sz w:val="18"/>
        </w:rPr>
        <w:t xml:space="preserve">v souhrnu </w:t>
      </w:r>
      <w:r w:rsidR="00E65AC5" w:rsidRPr="007E383D">
        <w:rPr>
          <w:rFonts w:cs="Arial"/>
          <w:bCs/>
          <w:sz w:val="18"/>
        </w:rPr>
        <w:t>ze všech pojistných událostí vzniklých za dobu trvání pojištění</w:t>
      </w:r>
      <w:r w:rsidR="00E65AC5" w:rsidRPr="007E383D">
        <w:rPr>
          <w:rFonts w:cs="Arial"/>
          <w:sz w:val="18"/>
        </w:rPr>
        <w:t xml:space="preserve">. </w:t>
      </w:r>
    </w:p>
    <w:p w14:paraId="6E4C7802" w14:textId="77777777" w:rsidR="005F5DA0" w:rsidRPr="007E383D" w:rsidRDefault="001773E3" w:rsidP="00282B75">
      <w:pPr>
        <w:widowControl w:val="0"/>
        <w:tabs>
          <w:tab w:val="left" w:pos="284"/>
        </w:tabs>
        <w:ind w:left="284" w:hanging="284"/>
        <w:jc w:val="both"/>
        <w:rPr>
          <w:rFonts w:cs="Arial"/>
          <w:sz w:val="18"/>
        </w:rPr>
      </w:pPr>
      <w:r w:rsidRPr="007E383D">
        <w:rPr>
          <w:b/>
          <w:sz w:val="20"/>
          <w:szCs w:val="20"/>
          <w:vertAlign w:val="superscript"/>
        </w:rPr>
        <w:t>5)</w:t>
      </w:r>
      <w:r w:rsidRPr="007E383D">
        <w:rPr>
          <w:rFonts w:cs="Arial"/>
          <w:sz w:val="18"/>
        </w:rPr>
        <w:tab/>
        <w:t xml:space="preserve">spoluúčast </w:t>
      </w:r>
      <w:r w:rsidR="00D52C75" w:rsidRPr="007E383D">
        <w:rPr>
          <w:rFonts w:cs="Arial"/>
          <w:sz w:val="18"/>
        </w:rPr>
        <w:t>může být vyjádřena pevnou částkou, procentem, časovým úsekem nebo jejich kombinací ve smyslu čl.</w:t>
      </w:r>
      <w:r w:rsidR="00BD3226" w:rsidRPr="007E383D">
        <w:rPr>
          <w:rFonts w:cs="Arial"/>
          <w:sz w:val="18"/>
        </w:rPr>
        <w:t> </w:t>
      </w:r>
      <w:r w:rsidR="00D52C75" w:rsidRPr="007E383D">
        <w:rPr>
          <w:rFonts w:cs="Arial"/>
          <w:sz w:val="18"/>
        </w:rPr>
        <w:t>11</w:t>
      </w:r>
      <w:r w:rsidR="00BD3226" w:rsidRPr="007E383D">
        <w:rPr>
          <w:rFonts w:cs="Arial"/>
          <w:sz w:val="18"/>
        </w:rPr>
        <w:t> </w:t>
      </w:r>
      <w:r w:rsidR="00D52C75" w:rsidRPr="007E383D">
        <w:rPr>
          <w:rFonts w:cs="Arial"/>
          <w:sz w:val="18"/>
        </w:rPr>
        <w:t>odst. 4) VPP P-100/14</w:t>
      </w:r>
    </w:p>
    <w:p w14:paraId="7675A5A9" w14:textId="77777777" w:rsidR="00FC4888" w:rsidRPr="007E383D" w:rsidRDefault="00FC4888" w:rsidP="00282B75">
      <w:pPr>
        <w:widowControl w:val="0"/>
        <w:tabs>
          <w:tab w:val="left" w:pos="284"/>
        </w:tabs>
        <w:ind w:left="284" w:hanging="284"/>
        <w:rPr>
          <w:sz w:val="18"/>
          <w:szCs w:val="18"/>
        </w:rPr>
      </w:pPr>
      <w:r w:rsidRPr="007E383D">
        <w:rPr>
          <w:b/>
          <w:sz w:val="18"/>
          <w:szCs w:val="18"/>
          <w:vertAlign w:val="superscript"/>
        </w:rPr>
        <w:lastRenderedPageBreak/>
        <w:t>6)</w:t>
      </w:r>
      <w:r w:rsidRPr="007E383D">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14:paraId="1A613790" w14:textId="77777777" w:rsidR="00FC4888" w:rsidRPr="007E383D" w:rsidRDefault="00FC4888" w:rsidP="00282B75">
      <w:pPr>
        <w:widowControl w:val="0"/>
        <w:tabs>
          <w:tab w:val="left" w:pos="284"/>
        </w:tabs>
        <w:ind w:left="284" w:hanging="284"/>
        <w:rPr>
          <w:sz w:val="18"/>
          <w:szCs w:val="18"/>
        </w:rPr>
      </w:pPr>
      <w:r w:rsidRPr="007E383D">
        <w:rPr>
          <w:b/>
          <w:sz w:val="18"/>
          <w:szCs w:val="18"/>
          <w:vertAlign w:val="superscript"/>
        </w:rPr>
        <w:t>7)</w:t>
      </w:r>
      <w:r w:rsidRPr="007E383D">
        <w:rPr>
          <w:sz w:val="18"/>
          <w:szCs w:val="18"/>
        </w:rPr>
        <w:tab/>
        <w:t xml:space="preserve">odchylně od čl. 8 odst. 2) věta třetí ZPP P-600/14 poskytne pojistitel na úhradu všech pojistných událostí nastalých během jednoho pojistného roku pojistné plnění v souhrnu maximálně do výše </w:t>
      </w:r>
      <w:proofErr w:type="spellStart"/>
      <w:r w:rsidRPr="007E383D">
        <w:rPr>
          <w:sz w:val="18"/>
          <w:szCs w:val="18"/>
        </w:rPr>
        <w:t>sublimitu</w:t>
      </w:r>
      <w:proofErr w:type="spellEnd"/>
      <w:r w:rsidRPr="007E383D">
        <w:rPr>
          <w:sz w:val="18"/>
          <w:szCs w:val="18"/>
        </w:rPr>
        <w:t xml:space="preserve"> pojistného plnění</w:t>
      </w:r>
    </w:p>
    <w:p w14:paraId="4C033C7E" w14:textId="77777777" w:rsidR="00FC4888" w:rsidRPr="007E383D" w:rsidRDefault="00FC4888" w:rsidP="00282B75">
      <w:pPr>
        <w:widowControl w:val="0"/>
        <w:tabs>
          <w:tab w:val="left" w:pos="284"/>
        </w:tabs>
        <w:ind w:left="284" w:hanging="284"/>
        <w:rPr>
          <w:sz w:val="18"/>
          <w:szCs w:val="18"/>
        </w:rPr>
      </w:pPr>
      <w:r w:rsidRPr="007E383D">
        <w:rPr>
          <w:b/>
          <w:sz w:val="18"/>
          <w:szCs w:val="18"/>
          <w:vertAlign w:val="superscript"/>
        </w:rPr>
        <w:t>8)</w:t>
      </w:r>
      <w:r w:rsidRPr="007E383D">
        <w:rPr>
          <w:sz w:val="18"/>
          <w:szCs w:val="18"/>
        </w:rPr>
        <w:tab/>
        <w:t>dobou ručení se rozumí doba ve smyslu čl. 11 odst. 5) ZPP P-400/14, resp. čl. 14 odst. 2) DPP P-330/16, resp. čl. 20 odst. 4) DPP P-340/16</w:t>
      </w:r>
    </w:p>
    <w:p w14:paraId="7EF7EFE4" w14:textId="77777777" w:rsidR="00E645B5" w:rsidRPr="007E383D" w:rsidRDefault="001773E3" w:rsidP="00282B75">
      <w:pPr>
        <w:pStyle w:val="Zkladntext32"/>
        <w:widowControl w:val="0"/>
        <w:tabs>
          <w:tab w:val="clear" w:pos="-720"/>
          <w:tab w:val="left" w:pos="426"/>
        </w:tabs>
        <w:spacing w:line="240" w:lineRule="auto"/>
        <w:ind w:left="284" w:hanging="284"/>
        <w:jc w:val="both"/>
        <w:rPr>
          <w:rFonts w:ascii="Koop Office" w:hAnsi="Koop Office"/>
          <w:spacing w:val="-2"/>
          <w:sz w:val="18"/>
          <w:szCs w:val="18"/>
        </w:rPr>
      </w:pPr>
      <w:r w:rsidRPr="007E383D">
        <w:rPr>
          <w:rFonts w:ascii="Koop Office" w:hAnsi="Koop Office"/>
          <w:b/>
          <w:vertAlign w:val="superscript"/>
        </w:rPr>
        <w:t>9)</w:t>
      </w:r>
      <w:r w:rsidRPr="007E383D">
        <w:rPr>
          <w:rFonts w:ascii="Koop Office" w:hAnsi="Koop Office" w:cs="Arial"/>
          <w:sz w:val="18"/>
        </w:rPr>
        <w:tab/>
      </w:r>
      <w:r w:rsidRPr="007E383D">
        <w:rPr>
          <w:rFonts w:ascii="Koop Office" w:hAnsi="Koop Office" w:cs="Arial"/>
          <w:sz w:val="18"/>
          <w:szCs w:val="18"/>
        </w:rPr>
        <w:t xml:space="preserve">integrální </w:t>
      </w:r>
      <w:r w:rsidR="00BE2287" w:rsidRPr="007E383D">
        <w:rPr>
          <w:rFonts w:ascii="Koop Office" w:hAnsi="Koop Office" w:cs="Arial"/>
          <w:sz w:val="18"/>
          <w:szCs w:val="18"/>
        </w:rPr>
        <w:t xml:space="preserve">časová </w:t>
      </w:r>
      <w:r w:rsidRPr="007E383D">
        <w:rPr>
          <w:rFonts w:ascii="Koop Office" w:hAnsi="Koop Office" w:cs="Arial"/>
          <w:sz w:val="18"/>
          <w:szCs w:val="18"/>
        </w:rPr>
        <w:t>franšíza</w:t>
      </w:r>
      <w:r w:rsidR="00FE4C16" w:rsidRPr="007E383D">
        <w:rPr>
          <w:rFonts w:ascii="Koop Office" w:hAnsi="Koop Office" w:cs="Arial"/>
          <w:sz w:val="18"/>
          <w:szCs w:val="18"/>
        </w:rPr>
        <w:t xml:space="preserve"> </w:t>
      </w:r>
      <w:r w:rsidR="00BE2287" w:rsidRPr="007E383D">
        <w:rPr>
          <w:rFonts w:ascii="Koop Office" w:hAnsi="Koop Office"/>
          <w:spacing w:val="-2"/>
          <w:sz w:val="18"/>
          <w:szCs w:val="18"/>
        </w:rPr>
        <w:t>je časový úsek specifikovaný několika pracovními dny. Právo na pojistné plnění vzniká jen tehdy, je-li přerušení</w:t>
      </w:r>
      <w:r w:rsidR="00FE4C16" w:rsidRPr="007E383D">
        <w:rPr>
          <w:rFonts w:ascii="Koop Office" w:hAnsi="Koop Office"/>
          <w:spacing w:val="-2"/>
          <w:sz w:val="18"/>
          <w:szCs w:val="18"/>
        </w:rPr>
        <w:t xml:space="preserve"> </w:t>
      </w:r>
      <w:r w:rsidR="00BE2287" w:rsidRPr="007E383D">
        <w:rPr>
          <w:rFonts w:ascii="Koop Office" w:hAnsi="Koop Office"/>
          <w:spacing w:val="-2"/>
          <w:sz w:val="18"/>
          <w:szCs w:val="18"/>
        </w:rPr>
        <w:t xml:space="preserve">provozu pojištěného delší než tento počet pracovních dní. </w:t>
      </w:r>
      <w:r w:rsidR="00C87D47" w:rsidRPr="007E383D">
        <w:rPr>
          <w:rFonts w:ascii="Koop Office" w:hAnsi="Koop Office"/>
          <w:spacing w:val="-2"/>
          <w:sz w:val="18"/>
          <w:szCs w:val="18"/>
        </w:rPr>
        <w:t>Je-li však přerušení</w:t>
      </w:r>
      <w:r w:rsidR="00FE4C16" w:rsidRPr="007E383D">
        <w:rPr>
          <w:rFonts w:ascii="Koop Office" w:hAnsi="Koop Office"/>
          <w:spacing w:val="-2"/>
          <w:sz w:val="18"/>
          <w:szCs w:val="18"/>
        </w:rPr>
        <w:t xml:space="preserve"> </w:t>
      </w:r>
      <w:r w:rsidR="00C87D47" w:rsidRPr="007E383D">
        <w:rPr>
          <w:rFonts w:ascii="Koop Office" w:hAnsi="Koop Office"/>
          <w:spacing w:val="-2"/>
          <w:sz w:val="18"/>
          <w:szCs w:val="18"/>
        </w:rPr>
        <w:t>provozu pojištěného delší než tento počet pracovních dní, nemá integrální časová franšíza vliv na výši pojistného plnění.</w:t>
      </w:r>
    </w:p>
    <w:p w14:paraId="08BAFF28" w14:textId="77777777" w:rsidR="001773E3" w:rsidRPr="007E383D" w:rsidRDefault="00D52C75" w:rsidP="00282B75">
      <w:pPr>
        <w:pStyle w:val="Zkladntext32"/>
        <w:widowControl w:val="0"/>
        <w:tabs>
          <w:tab w:val="clear" w:pos="-720"/>
          <w:tab w:val="left" w:pos="426"/>
        </w:tabs>
        <w:spacing w:line="240" w:lineRule="auto"/>
        <w:ind w:left="284" w:hanging="284"/>
        <w:jc w:val="both"/>
        <w:rPr>
          <w:rFonts w:ascii="Koop Office" w:hAnsi="Koop Office" w:cs="Arial"/>
          <w:sz w:val="18"/>
          <w:szCs w:val="18"/>
        </w:rPr>
      </w:pPr>
      <w:r w:rsidRPr="007E383D">
        <w:rPr>
          <w:rFonts w:ascii="Koop Office" w:hAnsi="Koop Office"/>
          <w:b/>
          <w:vertAlign w:val="superscript"/>
        </w:rPr>
        <w:t>10)</w:t>
      </w:r>
      <w:r w:rsidR="006E12A7" w:rsidRPr="007E383D">
        <w:rPr>
          <w:rFonts w:ascii="Koop Office" w:hAnsi="Koop Office" w:cs="Arial"/>
          <w:sz w:val="18"/>
          <w:szCs w:val="18"/>
        </w:rPr>
        <w:tab/>
      </w:r>
      <w:r w:rsidR="001773E3" w:rsidRPr="007E383D">
        <w:rPr>
          <w:rFonts w:ascii="Koop Office" w:hAnsi="Koop Office" w:cs="Arial"/>
          <w:sz w:val="18"/>
          <w:szCs w:val="18"/>
        </w:rPr>
        <w:t>agregovaná pojistná částka se sjednává v případě pojištění souboru věcí, celková pojistná částka se sjednává v případě pojištění výčtu jednotlivých věcí a součtu jejich hodnot</w:t>
      </w:r>
    </w:p>
    <w:p w14:paraId="08DB68CB" w14:textId="77777777" w:rsidR="007A4D41" w:rsidRPr="007E383D" w:rsidRDefault="007A4D41" w:rsidP="00282B75">
      <w:pPr>
        <w:widowControl w:val="0"/>
        <w:tabs>
          <w:tab w:val="left" w:pos="284"/>
        </w:tabs>
        <w:ind w:left="284" w:hanging="284"/>
        <w:jc w:val="both"/>
        <w:rPr>
          <w:rFonts w:cs="Arial"/>
          <w:sz w:val="18"/>
          <w:szCs w:val="18"/>
        </w:rPr>
      </w:pPr>
      <w:r w:rsidRPr="007E383D">
        <w:rPr>
          <w:b/>
          <w:sz w:val="18"/>
          <w:szCs w:val="18"/>
          <w:vertAlign w:val="superscript"/>
        </w:rPr>
        <w:t>11)</w:t>
      </w:r>
      <w:r w:rsidRPr="007E383D">
        <w:rPr>
          <w:b/>
          <w:sz w:val="18"/>
          <w:szCs w:val="18"/>
          <w:vertAlign w:val="superscript"/>
        </w:rPr>
        <w:tab/>
      </w:r>
      <w:r w:rsidRPr="007E383D">
        <w:rPr>
          <w:rFonts w:cs="Arial"/>
          <w:sz w:val="18"/>
          <w:szCs w:val="18"/>
        </w:rPr>
        <w:t xml:space="preserve">MRLPPR je horní hranicí plnění pojistitele v souhrnu ze všech pojistných událostí, u nichž věcná škoda, která byla důvodem jejich vzniku, nastala během jednoho pojistného roku. Je-li </w:t>
      </w:r>
      <w:r w:rsidRPr="007E383D">
        <w:rPr>
          <w:rFonts w:cs="Arial"/>
          <w:bCs/>
          <w:sz w:val="18"/>
        </w:rPr>
        <w:t>pojištění přerušení provozu</w:t>
      </w:r>
      <w:r w:rsidRPr="007E383D">
        <w:rPr>
          <w:rFonts w:cs="Arial"/>
          <w:bCs/>
          <w:i/>
          <w:sz w:val="18"/>
        </w:rPr>
        <w:t xml:space="preserve"> </w:t>
      </w:r>
      <w:r w:rsidRPr="007E383D">
        <w:rPr>
          <w:rFonts w:cs="Arial"/>
          <w:bCs/>
          <w:sz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7E383D">
        <w:rPr>
          <w:rFonts w:cs="Koop Office"/>
          <w:sz w:val="18"/>
          <w:szCs w:val="18"/>
        </w:rPr>
        <w:t xml:space="preserve">Není-li sjednán limit plnění pojistitele pro jednu pojistnou událost, považuje se sjednaný MRLPPR i za limit plnění pojistitele pro jednu pojistnou událost. </w:t>
      </w:r>
    </w:p>
    <w:p w14:paraId="644FDD41" w14:textId="77777777" w:rsidR="007A4D41" w:rsidRPr="007E383D" w:rsidRDefault="007A4D41" w:rsidP="00282B75">
      <w:pPr>
        <w:pStyle w:val="Zkladntext32"/>
        <w:widowControl w:val="0"/>
        <w:tabs>
          <w:tab w:val="clear" w:pos="-720"/>
          <w:tab w:val="left" w:pos="426"/>
        </w:tabs>
        <w:spacing w:line="240" w:lineRule="auto"/>
        <w:ind w:left="284" w:hanging="284"/>
        <w:jc w:val="both"/>
        <w:rPr>
          <w:rFonts w:ascii="Koop Office" w:hAnsi="Koop Office" w:cs="Arial"/>
          <w:sz w:val="18"/>
          <w:szCs w:val="18"/>
        </w:rPr>
      </w:pPr>
    </w:p>
    <w:p w14:paraId="6C382A2B" w14:textId="77777777" w:rsidR="000459CA" w:rsidRPr="007E383D" w:rsidRDefault="000459CA" w:rsidP="00A863C8">
      <w:pPr>
        <w:keepNext/>
        <w:keepLines/>
        <w:widowControl w:val="0"/>
        <w:numPr>
          <w:ilvl w:val="0"/>
          <w:numId w:val="9"/>
        </w:numPr>
        <w:rPr>
          <w:rFonts w:cs="Arial"/>
          <w:b/>
          <w:sz w:val="20"/>
          <w:szCs w:val="20"/>
        </w:rPr>
      </w:pPr>
      <w:r w:rsidRPr="007E383D">
        <w:rPr>
          <w:rFonts w:cs="Arial"/>
          <w:b/>
          <w:sz w:val="20"/>
          <w:szCs w:val="20"/>
        </w:rPr>
        <w:t xml:space="preserve">Pojistné plnění </w:t>
      </w:r>
    </w:p>
    <w:p w14:paraId="41B69CBF" w14:textId="1D4608A4" w:rsidR="000459CA" w:rsidRPr="007E383D" w:rsidRDefault="000459CA" w:rsidP="00A863C8">
      <w:pPr>
        <w:keepNext/>
        <w:keepLines/>
        <w:widowControl w:val="0"/>
        <w:numPr>
          <w:ilvl w:val="0"/>
          <w:numId w:val="10"/>
        </w:numPr>
        <w:tabs>
          <w:tab w:val="left" w:pos="-1418"/>
        </w:tabs>
        <w:spacing w:before="120"/>
        <w:jc w:val="both"/>
        <w:rPr>
          <w:rFonts w:cs="Arial"/>
          <w:sz w:val="20"/>
        </w:rPr>
      </w:pPr>
      <w:r w:rsidRPr="007E383D">
        <w:rPr>
          <w:rFonts w:cs="Arial"/>
          <w:sz w:val="20"/>
        </w:rPr>
        <w:t xml:space="preserve">Pojistné plnění </w:t>
      </w:r>
      <w:r w:rsidR="0041124A" w:rsidRPr="007E383D">
        <w:rPr>
          <w:rFonts w:cs="Arial"/>
          <w:sz w:val="20"/>
        </w:rPr>
        <w:t>z </w:t>
      </w:r>
      <w:r w:rsidRPr="007E383D">
        <w:rPr>
          <w:rFonts w:cs="Arial"/>
          <w:sz w:val="20"/>
        </w:rPr>
        <w:t>pojištění</w:t>
      </w:r>
      <w:r w:rsidR="0041124A" w:rsidRPr="007E383D">
        <w:rPr>
          <w:rFonts w:cs="Arial"/>
          <w:sz w:val="20"/>
        </w:rPr>
        <w:t xml:space="preserve"> terorismu – Pojištění majetku</w:t>
      </w:r>
      <w:r w:rsidR="00B2266F" w:rsidRPr="007E383D">
        <w:rPr>
          <w:rFonts w:cs="Arial"/>
          <w:sz w:val="20"/>
        </w:rPr>
        <w:t xml:space="preserve"> </w:t>
      </w:r>
      <w:r w:rsidR="00557681" w:rsidRPr="007E383D">
        <w:rPr>
          <w:rFonts w:cs="Arial"/>
          <w:sz w:val="20"/>
        </w:rPr>
        <w:t>a</w:t>
      </w:r>
      <w:r w:rsidR="0041124A" w:rsidRPr="007E383D">
        <w:rPr>
          <w:rFonts w:cs="Arial"/>
          <w:sz w:val="20"/>
        </w:rPr>
        <w:t xml:space="preserve"> Pojištění pro případ přerušení nebo omezení provozu</w:t>
      </w:r>
      <w:r w:rsidRPr="007E383D">
        <w:rPr>
          <w:rFonts w:cs="Arial"/>
          <w:sz w:val="20"/>
        </w:rPr>
        <w:t xml:space="preserve"> v souhrnu za všechny pojistné události způsobené teroristickým činem, a/nebo sabotáží, povstáním, stávkou, občanskými nepokoji, úmyslným poškozením, včetně nákladů na vyklizení místa pojištění (vč. nákladů na demolici, odvoz suti, likvidace zbytků), stavební úpravy a de/re-montáž ostatních nepoškozených pojištěných věcí provedené v souvislosti se znovupořízením nebo opravou věcí poškozených, zničených nebo ztracených při pojistné události, hašení, </w:t>
      </w:r>
      <w:r w:rsidR="002256B0" w:rsidRPr="007E383D">
        <w:rPr>
          <w:rFonts w:cs="Arial"/>
          <w:sz w:val="20"/>
        </w:rPr>
        <w:t xml:space="preserve">dočasné přemístění nepoškozeného majetku i mimo místo pojištění, které </w:t>
      </w:r>
      <w:r w:rsidR="006E4990" w:rsidRPr="007E383D">
        <w:rPr>
          <w:rFonts w:cs="Arial"/>
          <w:sz w:val="20"/>
        </w:rPr>
        <w:t xml:space="preserve">pojistník </w:t>
      </w:r>
      <w:r w:rsidR="002256B0" w:rsidRPr="007E383D">
        <w:rPr>
          <w:rFonts w:cs="Arial"/>
          <w:sz w:val="20"/>
        </w:rPr>
        <w:t xml:space="preserve">vynaložil na zmírnění následků při pojistné události </w:t>
      </w:r>
      <w:r w:rsidRPr="007E383D">
        <w:rPr>
          <w:rFonts w:cs="Arial"/>
          <w:sz w:val="20"/>
        </w:rPr>
        <w:t xml:space="preserve">nastalé v průběhu jednoho pojistného roku (resp. je-li pojištění sjednáno na dobu kratší než jeden pojistný rok, v průběhu trvání pojištění), je omezeno maximálním ročním </w:t>
      </w:r>
      <w:r w:rsidR="00832B9A" w:rsidRPr="007E383D">
        <w:rPr>
          <w:rFonts w:cs="Arial"/>
          <w:sz w:val="20"/>
        </w:rPr>
        <w:t xml:space="preserve">kombinovaným </w:t>
      </w:r>
      <w:r w:rsidRPr="007E383D">
        <w:rPr>
          <w:rFonts w:cs="Arial"/>
          <w:sz w:val="20"/>
        </w:rPr>
        <w:t xml:space="preserve">limitem pojistného plnění pro jednu a všechny pojistné události ve výši </w:t>
      </w:r>
      <w:r w:rsidRPr="007E383D">
        <w:rPr>
          <w:rFonts w:cs="Arial"/>
          <w:b/>
          <w:bCs/>
          <w:sz w:val="20"/>
        </w:rPr>
        <w:t>10</w:t>
      </w:r>
      <w:r w:rsidR="007D6C25" w:rsidRPr="007E383D">
        <w:rPr>
          <w:rFonts w:cs="Arial"/>
          <w:b/>
          <w:bCs/>
          <w:sz w:val="20"/>
        </w:rPr>
        <w:t> </w:t>
      </w:r>
      <w:r w:rsidRPr="007E383D">
        <w:rPr>
          <w:rFonts w:cs="Arial"/>
          <w:b/>
          <w:bCs/>
          <w:sz w:val="20"/>
        </w:rPr>
        <w:t>000</w:t>
      </w:r>
      <w:r w:rsidR="007D6C25" w:rsidRPr="007E383D">
        <w:rPr>
          <w:rFonts w:cs="Arial"/>
          <w:b/>
          <w:bCs/>
          <w:sz w:val="20"/>
        </w:rPr>
        <w:t> </w:t>
      </w:r>
      <w:r w:rsidRPr="007E383D">
        <w:rPr>
          <w:rFonts w:cs="Arial"/>
          <w:b/>
          <w:bCs/>
          <w:sz w:val="20"/>
        </w:rPr>
        <w:t>000</w:t>
      </w:r>
      <w:r w:rsidR="007D6C25" w:rsidRPr="007E383D">
        <w:rPr>
          <w:rFonts w:cs="Arial"/>
          <w:b/>
          <w:bCs/>
          <w:sz w:val="20"/>
        </w:rPr>
        <w:t> </w:t>
      </w:r>
      <w:r w:rsidRPr="007E383D">
        <w:rPr>
          <w:rFonts w:cs="Arial"/>
          <w:b/>
          <w:bCs/>
          <w:sz w:val="20"/>
        </w:rPr>
        <w:t>000</w:t>
      </w:r>
      <w:r w:rsidR="007D6C25" w:rsidRPr="007E383D">
        <w:rPr>
          <w:rFonts w:cs="Arial"/>
          <w:b/>
          <w:bCs/>
          <w:sz w:val="20"/>
        </w:rPr>
        <w:t> </w:t>
      </w:r>
      <w:r w:rsidRPr="007E383D">
        <w:rPr>
          <w:rFonts w:cs="Arial"/>
          <w:b/>
          <w:bCs/>
          <w:sz w:val="20"/>
        </w:rPr>
        <w:t>Kč</w:t>
      </w:r>
      <w:r w:rsidRPr="007E383D">
        <w:rPr>
          <w:rFonts w:cs="Arial"/>
          <w:sz w:val="20"/>
        </w:rPr>
        <w:t>; tím nejsou dotčena jiná ujednání, z nichž vyplývá povinnost pojistitele poskytnout pojistné plnění v nižší nebo stejné výši.</w:t>
      </w:r>
    </w:p>
    <w:p w14:paraId="6DC2FE16" w14:textId="47D744F5" w:rsidR="00263019" w:rsidRPr="007E383D" w:rsidRDefault="000459CA" w:rsidP="00A642C6">
      <w:pPr>
        <w:widowControl w:val="0"/>
        <w:numPr>
          <w:ilvl w:val="0"/>
          <w:numId w:val="10"/>
        </w:numPr>
        <w:tabs>
          <w:tab w:val="clear" w:pos="425"/>
          <w:tab w:val="left" w:pos="-1418"/>
          <w:tab w:val="num" w:pos="0"/>
        </w:tabs>
        <w:spacing w:before="120"/>
        <w:ind w:left="426" w:hanging="426"/>
        <w:jc w:val="both"/>
        <w:rPr>
          <w:sz w:val="20"/>
          <w:szCs w:val="20"/>
        </w:rPr>
      </w:pPr>
      <w:r w:rsidRPr="007E383D">
        <w:rPr>
          <w:rFonts w:cs="Arial"/>
          <w:sz w:val="20"/>
        </w:rPr>
        <w:t xml:space="preserve">Pojistné plnění ze všech pojištění sjednaných touto pojistnou smlouvou, v souhrnu za všechny pojistné události způsobené zachraňovacími náklady (náklady vynaložené jinak než na záchranu života nebo zdraví osob), nastalé v průběhu jednoho pojistného roku </w:t>
      </w:r>
      <w:r w:rsidRPr="007E383D">
        <w:rPr>
          <w:sz w:val="20"/>
          <w:szCs w:val="20"/>
        </w:rPr>
        <w:t>(resp. je-li pojištění sjednáno na dobu kratší než jeden pojistný rok, v průběhu trvání pojištění)</w:t>
      </w:r>
      <w:r w:rsidRPr="007E383D">
        <w:rPr>
          <w:rFonts w:cs="Arial"/>
          <w:sz w:val="20"/>
        </w:rPr>
        <w:t xml:space="preserve">, je omezeno maximálním ročním limitem pojistného plnění ve výši </w:t>
      </w:r>
      <w:r w:rsidRPr="007E383D">
        <w:rPr>
          <w:rFonts w:cs="Arial"/>
          <w:b/>
          <w:bCs/>
          <w:sz w:val="20"/>
        </w:rPr>
        <w:t>10</w:t>
      </w:r>
      <w:r w:rsidR="00604352" w:rsidRPr="007E383D">
        <w:rPr>
          <w:rFonts w:cs="Arial"/>
          <w:b/>
          <w:bCs/>
          <w:sz w:val="20"/>
        </w:rPr>
        <w:t xml:space="preserve"> </w:t>
      </w:r>
      <w:r w:rsidRPr="007E383D">
        <w:rPr>
          <w:rFonts w:cs="Arial"/>
          <w:b/>
          <w:bCs/>
          <w:sz w:val="20"/>
        </w:rPr>
        <w:t>%</w:t>
      </w:r>
      <w:r w:rsidR="007244EC" w:rsidRPr="007E383D">
        <w:rPr>
          <w:rFonts w:cs="Arial"/>
          <w:b/>
          <w:bCs/>
          <w:sz w:val="20"/>
        </w:rPr>
        <w:t>,</w:t>
      </w:r>
      <w:r w:rsidRPr="007E383D">
        <w:rPr>
          <w:rFonts w:cs="Arial"/>
          <w:b/>
          <w:bCs/>
          <w:sz w:val="20"/>
        </w:rPr>
        <w:t xml:space="preserve"> maximálně však 100 000 000 Kč.</w:t>
      </w:r>
    </w:p>
    <w:p w14:paraId="6C9A8228" w14:textId="77777777" w:rsidR="00AB2CAD" w:rsidRPr="007E383D" w:rsidRDefault="00E67A10" w:rsidP="00282B75">
      <w:pPr>
        <w:widowControl w:val="0"/>
        <w:tabs>
          <w:tab w:val="left" w:pos="-720"/>
        </w:tabs>
        <w:spacing w:before="120"/>
        <w:jc w:val="center"/>
        <w:rPr>
          <w:rFonts w:cs="Arial"/>
          <w:b/>
          <w:sz w:val="24"/>
        </w:rPr>
      </w:pPr>
      <w:bookmarkStart w:id="19" w:name="_Toc367839357"/>
      <w:r w:rsidRPr="007E383D">
        <w:rPr>
          <w:rFonts w:cs="Arial"/>
          <w:b/>
          <w:sz w:val="24"/>
        </w:rPr>
        <w:t>Článek I</w:t>
      </w:r>
      <w:r w:rsidR="00A35B21" w:rsidRPr="007E383D">
        <w:rPr>
          <w:rFonts w:cs="Arial"/>
          <w:b/>
          <w:sz w:val="24"/>
        </w:rPr>
        <w:t>II</w:t>
      </w:r>
      <w:r w:rsidR="00AB2CAD" w:rsidRPr="007E383D">
        <w:rPr>
          <w:rFonts w:cs="Arial"/>
          <w:b/>
          <w:sz w:val="24"/>
        </w:rPr>
        <w:t>.</w:t>
      </w:r>
    </w:p>
    <w:p w14:paraId="7E803595" w14:textId="77777777" w:rsidR="00AB2CAD" w:rsidRPr="007E383D" w:rsidRDefault="00AB2CAD" w:rsidP="00282B75">
      <w:pPr>
        <w:widowControl w:val="0"/>
        <w:tabs>
          <w:tab w:val="left" w:pos="-720"/>
        </w:tabs>
        <w:jc w:val="center"/>
        <w:rPr>
          <w:rFonts w:cs="Arial"/>
          <w:b/>
          <w:sz w:val="24"/>
        </w:rPr>
      </w:pPr>
      <w:r w:rsidRPr="007E383D">
        <w:rPr>
          <w:rFonts w:cs="Arial"/>
          <w:b/>
          <w:sz w:val="24"/>
        </w:rPr>
        <w:t>Výše a způsob placení pojistného</w:t>
      </w:r>
    </w:p>
    <w:p w14:paraId="17949B7A" w14:textId="77777777" w:rsidR="00AB2CAD" w:rsidRPr="007E383D" w:rsidRDefault="00AB2CAD" w:rsidP="00282B75">
      <w:pPr>
        <w:widowControl w:val="0"/>
        <w:numPr>
          <w:ilvl w:val="0"/>
          <w:numId w:val="12"/>
        </w:numPr>
        <w:tabs>
          <w:tab w:val="left" w:pos="-720"/>
        </w:tabs>
        <w:spacing w:before="120"/>
        <w:jc w:val="both"/>
        <w:rPr>
          <w:rFonts w:cs="Arial"/>
          <w:b/>
          <w:sz w:val="20"/>
        </w:rPr>
      </w:pPr>
      <w:r w:rsidRPr="007E383D">
        <w:rPr>
          <w:rFonts w:cs="Arial"/>
          <w:b/>
          <w:sz w:val="20"/>
        </w:rPr>
        <w:t>Pojistné za jeden pojistný rok činí:</w:t>
      </w:r>
    </w:p>
    <w:p w14:paraId="3B1D6506" w14:textId="2FB16005" w:rsidR="00AB2CAD" w:rsidRPr="007E383D" w:rsidRDefault="00AB2CAD" w:rsidP="00282B75">
      <w:pPr>
        <w:widowControl w:val="0"/>
        <w:numPr>
          <w:ilvl w:val="0"/>
          <w:numId w:val="11"/>
        </w:numPr>
        <w:tabs>
          <w:tab w:val="clear" w:pos="425"/>
          <w:tab w:val="left" w:pos="-720"/>
        </w:tabs>
        <w:spacing w:before="120"/>
        <w:ind w:left="567" w:hanging="567"/>
        <w:jc w:val="both"/>
        <w:rPr>
          <w:rFonts w:cs="Arial"/>
          <w:b/>
          <w:sz w:val="20"/>
        </w:rPr>
      </w:pPr>
      <w:r w:rsidRPr="007E383D">
        <w:rPr>
          <w:rFonts w:cs="Arial"/>
          <w:b/>
          <w:sz w:val="20"/>
        </w:rPr>
        <w:t xml:space="preserve">Pojištění </w:t>
      </w:r>
      <w:r w:rsidR="005D1089" w:rsidRPr="007E383D">
        <w:rPr>
          <w:rFonts w:cs="Arial"/>
          <w:b/>
          <w:sz w:val="20"/>
        </w:rPr>
        <w:t>terorismu</w:t>
      </w:r>
      <w:r w:rsidR="00496C23" w:rsidRPr="007E383D">
        <w:rPr>
          <w:rFonts w:cs="Arial"/>
          <w:b/>
          <w:sz w:val="20"/>
        </w:rPr>
        <w:t xml:space="preserve"> </w:t>
      </w:r>
      <w:r w:rsidR="00496C23" w:rsidRPr="007E383D">
        <w:rPr>
          <w:b/>
          <w:sz w:val="20"/>
          <w:szCs w:val="20"/>
        </w:rPr>
        <w:t>– Pojištění majetku</w:t>
      </w:r>
      <w:r w:rsidR="00305842" w:rsidRPr="007E383D">
        <w:rPr>
          <w:b/>
          <w:sz w:val="20"/>
          <w:szCs w:val="20"/>
        </w:rPr>
        <w:t xml:space="preserve">, </w:t>
      </w:r>
      <w:r w:rsidR="00305842" w:rsidRPr="007E383D">
        <w:rPr>
          <w:rFonts w:cs="Arial"/>
          <w:b/>
          <w:sz w:val="20"/>
        </w:rPr>
        <w:t>Pojištění pro případ přerušení nebo omezení provozu a Pojištění odpovědnosti za újmu</w:t>
      </w:r>
    </w:p>
    <w:p w14:paraId="71B95884" w14:textId="241EA215" w:rsidR="00AB2CAD" w:rsidRPr="007E383D" w:rsidRDefault="00AB2CAD" w:rsidP="009018A2">
      <w:pPr>
        <w:widowControl w:val="0"/>
        <w:numPr>
          <w:ilvl w:val="12"/>
          <w:numId w:val="0"/>
        </w:numPr>
        <w:tabs>
          <w:tab w:val="right" w:leader="dot" w:pos="10065"/>
        </w:tabs>
        <w:ind w:left="567"/>
        <w:jc w:val="both"/>
        <w:rPr>
          <w:rFonts w:cs="Arial"/>
          <w:sz w:val="20"/>
        </w:rPr>
      </w:pPr>
      <w:r w:rsidRPr="007E383D">
        <w:rPr>
          <w:rFonts w:cs="Arial"/>
          <w:sz w:val="20"/>
        </w:rPr>
        <w:t xml:space="preserve">Pojistné </w:t>
      </w:r>
      <w:r w:rsidRPr="007E383D">
        <w:rPr>
          <w:rFonts w:cs="Arial"/>
          <w:sz w:val="20"/>
        </w:rPr>
        <w:tab/>
      </w:r>
      <w:r w:rsidR="004B2B44" w:rsidRPr="007E383D">
        <w:rPr>
          <w:rFonts w:cs="Arial"/>
          <w:sz w:val="20"/>
        </w:rPr>
        <w:t xml:space="preserve"> </w:t>
      </w:r>
      <w:r w:rsidR="00965349" w:rsidRPr="007E383D">
        <w:rPr>
          <w:rFonts w:cs="Arial"/>
          <w:sz w:val="20"/>
        </w:rPr>
        <w:t>6</w:t>
      </w:r>
      <w:r w:rsidR="00292160" w:rsidRPr="007E383D">
        <w:rPr>
          <w:rFonts w:cs="Arial"/>
          <w:sz w:val="20"/>
        </w:rPr>
        <w:t> 080 000</w:t>
      </w:r>
      <w:r w:rsidR="00965349" w:rsidRPr="007E383D">
        <w:rPr>
          <w:rFonts w:cs="Arial"/>
          <w:sz w:val="20"/>
        </w:rPr>
        <w:t xml:space="preserve"> </w:t>
      </w:r>
      <w:r w:rsidRPr="007E383D">
        <w:rPr>
          <w:rFonts w:cs="Arial"/>
          <w:sz w:val="20"/>
        </w:rPr>
        <w:t>Kč</w:t>
      </w:r>
    </w:p>
    <w:p w14:paraId="1BBFC657" w14:textId="2899ED7F" w:rsidR="00496C23" w:rsidRPr="007E383D" w:rsidRDefault="00305842" w:rsidP="009018A2">
      <w:pPr>
        <w:widowControl w:val="0"/>
        <w:tabs>
          <w:tab w:val="right" w:leader="dot" w:pos="10065"/>
        </w:tabs>
        <w:spacing w:before="120"/>
        <w:ind w:left="284" w:hanging="284"/>
        <w:jc w:val="both"/>
        <w:rPr>
          <w:rFonts w:cs="Arial"/>
          <w:b/>
          <w:sz w:val="20"/>
        </w:rPr>
      </w:pPr>
      <w:r w:rsidRPr="007E383D">
        <w:rPr>
          <w:rFonts w:cs="Arial"/>
          <w:b/>
          <w:sz w:val="20"/>
        </w:rPr>
        <w:t>Celkové pojistné</w:t>
      </w:r>
      <w:r w:rsidR="00496C23" w:rsidRPr="007E383D">
        <w:rPr>
          <w:rFonts w:cs="Arial"/>
          <w:b/>
          <w:sz w:val="20"/>
        </w:rPr>
        <w:t xml:space="preserve"> za sjednaná pojištění za jeden pojistný rok činí </w:t>
      </w:r>
      <w:r w:rsidR="00496C23" w:rsidRPr="007E383D">
        <w:rPr>
          <w:rFonts w:cs="Arial"/>
          <w:b/>
          <w:sz w:val="20"/>
        </w:rPr>
        <w:tab/>
        <w:t xml:space="preserve"> </w:t>
      </w:r>
      <w:r w:rsidR="00965349" w:rsidRPr="007E383D">
        <w:rPr>
          <w:rFonts w:cs="Arial"/>
          <w:b/>
          <w:sz w:val="20"/>
        </w:rPr>
        <w:t>6</w:t>
      </w:r>
      <w:r w:rsidR="00292160" w:rsidRPr="007E383D">
        <w:rPr>
          <w:rFonts w:cs="Arial"/>
          <w:b/>
          <w:sz w:val="20"/>
        </w:rPr>
        <w:t> 080 000</w:t>
      </w:r>
      <w:r w:rsidR="00965349" w:rsidRPr="007E383D">
        <w:rPr>
          <w:rFonts w:cs="Arial"/>
          <w:b/>
          <w:sz w:val="20"/>
        </w:rPr>
        <w:t xml:space="preserve"> </w:t>
      </w:r>
      <w:r w:rsidR="00496C23" w:rsidRPr="007E383D">
        <w:rPr>
          <w:rFonts w:cs="Arial"/>
          <w:b/>
          <w:sz w:val="20"/>
        </w:rPr>
        <w:t>Kč</w:t>
      </w:r>
    </w:p>
    <w:p w14:paraId="5FDBC821" w14:textId="77777777" w:rsidR="006A622C" w:rsidRPr="007E383D" w:rsidRDefault="006A622C" w:rsidP="00282B75">
      <w:pPr>
        <w:widowControl w:val="0"/>
        <w:tabs>
          <w:tab w:val="left" w:pos="-1560"/>
        </w:tabs>
        <w:jc w:val="both"/>
        <w:rPr>
          <w:rFonts w:cs="Arial"/>
          <w:sz w:val="20"/>
        </w:rPr>
      </w:pPr>
    </w:p>
    <w:p w14:paraId="7495DC25" w14:textId="77777777" w:rsidR="000A35C7" w:rsidRPr="007E383D" w:rsidRDefault="000A35C7" w:rsidP="00282B75">
      <w:pPr>
        <w:widowControl w:val="0"/>
        <w:tabs>
          <w:tab w:val="left" w:pos="-1560"/>
        </w:tabs>
        <w:jc w:val="both"/>
        <w:rPr>
          <w:rFonts w:cs="Arial"/>
          <w:sz w:val="20"/>
        </w:rPr>
      </w:pPr>
      <w:r w:rsidRPr="007E383D">
        <w:rPr>
          <w:rFonts w:cs="Arial"/>
          <w:sz w:val="20"/>
        </w:rPr>
        <w:t>Pojistné je stanoveno bez provize pojišťovacího makléře.</w:t>
      </w:r>
    </w:p>
    <w:p w14:paraId="62628652" w14:textId="77777777" w:rsidR="00BC2B92" w:rsidRPr="007E383D" w:rsidRDefault="00BC2B92" w:rsidP="00282B75">
      <w:pPr>
        <w:widowControl w:val="0"/>
        <w:numPr>
          <w:ilvl w:val="0"/>
          <w:numId w:val="12"/>
        </w:numPr>
        <w:tabs>
          <w:tab w:val="left" w:pos="-720"/>
        </w:tabs>
        <w:spacing w:before="120"/>
        <w:jc w:val="both"/>
        <w:rPr>
          <w:rFonts w:cs="Arial"/>
          <w:sz w:val="20"/>
        </w:rPr>
      </w:pPr>
      <w:r w:rsidRPr="007E383D">
        <w:rPr>
          <w:rFonts w:cs="Arial"/>
          <w:sz w:val="20"/>
        </w:rPr>
        <w:t xml:space="preserve">Pojistné je sjednáno jako běžné. Pojistné období je dvanáctiměsíční (roční). Pojistné </w:t>
      </w:r>
      <w:r w:rsidRPr="007E383D">
        <w:rPr>
          <w:rFonts w:cs="Arial"/>
          <w:sz w:val="20"/>
          <w:szCs w:val="22"/>
        </w:rPr>
        <w:t>bude uhrazeno ve čtvrtletních splátkách, které jsou splatné k datům a v částkách takto:</w:t>
      </w:r>
    </w:p>
    <w:p w14:paraId="78C7D6CC" w14:textId="10BFAB63" w:rsidR="00BC2B92" w:rsidRPr="007E383D" w:rsidRDefault="00BC2B92" w:rsidP="00282B75">
      <w:pPr>
        <w:widowControl w:val="0"/>
        <w:tabs>
          <w:tab w:val="left" w:pos="-720"/>
          <w:tab w:val="left" w:pos="426"/>
          <w:tab w:val="left" w:pos="1843"/>
          <w:tab w:val="left" w:pos="2268"/>
        </w:tabs>
        <w:spacing w:before="120"/>
        <w:ind w:left="426"/>
        <w:jc w:val="both"/>
        <w:rPr>
          <w:rFonts w:cs="Arial"/>
          <w:sz w:val="20"/>
        </w:rPr>
      </w:pPr>
      <w:r w:rsidRPr="007E383D">
        <w:rPr>
          <w:rFonts w:cs="Arial"/>
          <w:sz w:val="20"/>
        </w:rPr>
        <w:t>datum:</w:t>
      </w:r>
      <w:r w:rsidRPr="007E383D">
        <w:rPr>
          <w:rFonts w:cs="Arial"/>
          <w:sz w:val="20"/>
        </w:rPr>
        <w:tab/>
      </w:r>
      <w:r w:rsidRPr="007E383D">
        <w:rPr>
          <w:rFonts w:cs="Arial"/>
          <w:sz w:val="20"/>
        </w:rPr>
        <w:tab/>
      </w:r>
      <w:r w:rsidR="00E6773C" w:rsidRPr="007E383D">
        <w:rPr>
          <w:rFonts w:cs="Arial"/>
          <w:sz w:val="20"/>
        </w:rPr>
        <w:tab/>
      </w:r>
      <w:r w:rsidRPr="007E383D">
        <w:rPr>
          <w:rFonts w:cs="Arial"/>
          <w:sz w:val="20"/>
        </w:rPr>
        <w:t>částka:</w:t>
      </w:r>
      <w:r w:rsidR="00CF635D" w:rsidRPr="007E383D">
        <w:rPr>
          <w:rFonts w:cs="Arial"/>
          <w:sz w:val="20"/>
        </w:rPr>
        <w:tab/>
      </w:r>
      <w:r w:rsidR="00CF635D" w:rsidRPr="007E383D">
        <w:rPr>
          <w:rFonts w:cs="Arial"/>
          <w:sz w:val="20"/>
        </w:rPr>
        <w:tab/>
      </w:r>
      <w:r w:rsidR="00CF635D" w:rsidRPr="007E383D">
        <w:rPr>
          <w:rFonts w:cs="Arial"/>
          <w:sz w:val="20"/>
        </w:rPr>
        <w:tab/>
      </w:r>
      <w:r w:rsidR="00CF635D" w:rsidRPr="007E383D">
        <w:rPr>
          <w:rFonts w:cs="Arial"/>
          <w:sz w:val="20"/>
        </w:rPr>
        <w:tab/>
      </w:r>
    </w:p>
    <w:p w14:paraId="2588363D" w14:textId="3305A9C0" w:rsidR="00CF635D" w:rsidRPr="007E383D" w:rsidRDefault="00BC2B92" w:rsidP="00E6773C">
      <w:pPr>
        <w:widowControl w:val="0"/>
        <w:tabs>
          <w:tab w:val="left" w:pos="-720"/>
          <w:tab w:val="left" w:pos="1843"/>
          <w:tab w:val="left" w:pos="2268"/>
          <w:tab w:val="left" w:pos="2835"/>
        </w:tabs>
        <w:ind w:left="720" w:hanging="294"/>
        <w:jc w:val="both"/>
        <w:rPr>
          <w:rFonts w:cs="Arial"/>
          <w:sz w:val="20"/>
        </w:rPr>
      </w:pPr>
      <w:r w:rsidRPr="007E383D">
        <w:rPr>
          <w:rFonts w:cs="Arial"/>
          <w:sz w:val="20"/>
        </w:rPr>
        <w:t>01. 01. 2</w:t>
      </w:r>
      <w:r w:rsidR="00CF635D" w:rsidRPr="007E383D">
        <w:rPr>
          <w:rFonts w:cs="Arial"/>
          <w:sz w:val="20"/>
        </w:rPr>
        <w:t>0</w:t>
      </w:r>
      <w:r w:rsidR="00605B6D" w:rsidRPr="007E383D">
        <w:rPr>
          <w:rFonts w:cs="Arial"/>
          <w:sz w:val="20"/>
        </w:rPr>
        <w:t>2</w:t>
      </w:r>
      <w:r w:rsidR="007D6C25" w:rsidRPr="007E383D">
        <w:rPr>
          <w:rFonts w:cs="Arial"/>
          <w:sz w:val="20"/>
        </w:rPr>
        <w:t>6</w:t>
      </w:r>
      <w:r w:rsidR="00835F0C" w:rsidRPr="007E383D">
        <w:rPr>
          <w:szCs w:val="20"/>
          <w:vertAlign w:val="superscript"/>
        </w:rPr>
        <w:t>*)</w:t>
      </w:r>
      <w:r w:rsidRPr="007E383D">
        <w:rPr>
          <w:rFonts w:cs="Arial"/>
          <w:sz w:val="20"/>
        </w:rPr>
        <w:tab/>
      </w:r>
      <w:r w:rsidRPr="007E383D">
        <w:rPr>
          <w:rFonts w:cs="Arial"/>
          <w:sz w:val="20"/>
        </w:rPr>
        <w:tab/>
      </w:r>
      <w:r w:rsidR="00E6773C" w:rsidRPr="007E383D">
        <w:rPr>
          <w:rFonts w:cs="Arial"/>
          <w:sz w:val="20"/>
        </w:rPr>
        <w:tab/>
      </w:r>
      <w:r w:rsidR="008E046C" w:rsidRPr="007E383D">
        <w:rPr>
          <w:rFonts w:cs="Arial"/>
          <w:sz w:val="20"/>
        </w:rPr>
        <w:t>1</w:t>
      </w:r>
      <w:r w:rsidR="001C11D7" w:rsidRPr="007E383D">
        <w:rPr>
          <w:rFonts w:cs="Arial"/>
          <w:sz w:val="20"/>
        </w:rPr>
        <w:t> </w:t>
      </w:r>
      <w:r w:rsidR="008E046C" w:rsidRPr="007E383D">
        <w:rPr>
          <w:rFonts w:cs="Arial"/>
          <w:sz w:val="20"/>
        </w:rPr>
        <w:t>5</w:t>
      </w:r>
      <w:r w:rsidR="001C11D7" w:rsidRPr="007E383D">
        <w:rPr>
          <w:rFonts w:cs="Arial"/>
          <w:sz w:val="20"/>
        </w:rPr>
        <w:t>20 000</w:t>
      </w:r>
      <w:r w:rsidR="005C0A16" w:rsidRPr="007E383D">
        <w:rPr>
          <w:rFonts w:cs="Arial"/>
          <w:sz w:val="20"/>
        </w:rPr>
        <w:t xml:space="preserve"> </w:t>
      </w:r>
      <w:r w:rsidRPr="007E383D">
        <w:rPr>
          <w:rFonts w:cs="Arial"/>
          <w:sz w:val="20"/>
        </w:rPr>
        <w:t>Kč</w:t>
      </w:r>
      <w:r w:rsidR="00CF635D" w:rsidRPr="007E383D">
        <w:rPr>
          <w:rFonts w:cs="Arial"/>
          <w:sz w:val="20"/>
        </w:rPr>
        <w:tab/>
      </w:r>
      <w:r w:rsidR="00713653" w:rsidRPr="007E383D">
        <w:rPr>
          <w:sz w:val="20"/>
          <w:szCs w:val="20"/>
          <w:vertAlign w:val="superscript"/>
        </w:rPr>
        <w:t xml:space="preserve">*) </w:t>
      </w:r>
      <w:r w:rsidR="00713653" w:rsidRPr="007E383D">
        <w:rPr>
          <w:sz w:val="20"/>
          <w:szCs w:val="20"/>
        </w:rPr>
        <w:t>avšak splatnost první splátky k </w:t>
      </w:r>
      <w:r w:rsidR="00311C67" w:rsidRPr="007E383D">
        <w:rPr>
          <w:sz w:val="20"/>
          <w:szCs w:val="20"/>
        </w:rPr>
        <w:t>3</w:t>
      </w:r>
      <w:r w:rsidR="00713653" w:rsidRPr="007E383D">
        <w:rPr>
          <w:sz w:val="20"/>
          <w:szCs w:val="20"/>
        </w:rPr>
        <w:t>0.01.202</w:t>
      </w:r>
      <w:r w:rsidR="007D6C25" w:rsidRPr="007E383D">
        <w:rPr>
          <w:sz w:val="20"/>
          <w:szCs w:val="20"/>
        </w:rPr>
        <w:t>6</w:t>
      </w:r>
    </w:p>
    <w:p w14:paraId="75958BD0" w14:textId="6687412A" w:rsidR="00CF635D" w:rsidRPr="007E383D" w:rsidRDefault="00CF635D" w:rsidP="00E6773C">
      <w:pPr>
        <w:widowControl w:val="0"/>
        <w:tabs>
          <w:tab w:val="left" w:pos="-720"/>
          <w:tab w:val="left" w:pos="1843"/>
          <w:tab w:val="left" w:pos="2268"/>
          <w:tab w:val="left" w:pos="2835"/>
        </w:tabs>
        <w:ind w:left="720" w:hanging="294"/>
        <w:jc w:val="both"/>
        <w:rPr>
          <w:rFonts w:cs="Arial"/>
          <w:sz w:val="20"/>
        </w:rPr>
      </w:pPr>
      <w:r w:rsidRPr="007E383D">
        <w:rPr>
          <w:rFonts w:cs="Arial"/>
          <w:sz w:val="20"/>
        </w:rPr>
        <w:t>01. 04. 20</w:t>
      </w:r>
      <w:r w:rsidR="00605B6D" w:rsidRPr="007E383D">
        <w:rPr>
          <w:rFonts w:cs="Arial"/>
          <w:sz w:val="20"/>
        </w:rPr>
        <w:t>2</w:t>
      </w:r>
      <w:r w:rsidR="007D6C25" w:rsidRPr="007E383D">
        <w:rPr>
          <w:rFonts w:cs="Arial"/>
          <w:sz w:val="20"/>
        </w:rPr>
        <w:t>6</w:t>
      </w:r>
      <w:r w:rsidRPr="007E383D">
        <w:rPr>
          <w:rFonts w:cs="Arial"/>
          <w:sz w:val="20"/>
        </w:rPr>
        <w:tab/>
      </w:r>
      <w:r w:rsidRPr="007E383D">
        <w:rPr>
          <w:rFonts w:cs="Arial"/>
          <w:sz w:val="20"/>
        </w:rPr>
        <w:tab/>
      </w:r>
      <w:r w:rsidR="00E6773C" w:rsidRPr="007E383D">
        <w:rPr>
          <w:rFonts w:cs="Arial"/>
          <w:sz w:val="20"/>
        </w:rPr>
        <w:tab/>
      </w:r>
      <w:r w:rsidR="001C11D7" w:rsidRPr="007E383D">
        <w:rPr>
          <w:rFonts w:cs="Arial"/>
          <w:sz w:val="20"/>
        </w:rPr>
        <w:t>1 520 000 Kč</w:t>
      </w:r>
      <w:r w:rsidRPr="007E383D">
        <w:rPr>
          <w:rFonts w:cs="Arial"/>
          <w:sz w:val="20"/>
        </w:rPr>
        <w:tab/>
      </w:r>
    </w:p>
    <w:p w14:paraId="0521999C" w14:textId="27411640" w:rsidR="00CF635D" w:rsidRPr="007E383D" w:rsidRDefault="00CF635D" w:rsidP="00E6773C">
      <w:pPr>
        <w:widowControl w:val="0"/>
        <w:tabs>
          <w:tab w:val="left" w:pos="-720"/>
          <w:tab w:val="left" w:pos="1843"/>
          <w:tab w:val="left" w:pos="2268"/>
          <w:tab w:val="left" w:pos="2835"/>
        </w:tabs>
        <w:ind w:left="720" w:hanging="294"/>
        <w:jc w:val="both"/>
        <w:rPr>
          <w:rFonts w:cs="Arial"/>
          <w:sz w:val="20"/>
        </w:rPr>
      </w:pPr>
      <w:r w:rsidRPr="007E383D">
        <w:rPr>
          <w:rFonts w:cs="Arial"/>
          <w:sz w:val="20"/>
        </w:rPr>
        <w:t>01. 07. 20</w:t>
      </w:r>
      <w:r w:rsidR="00605B6D" w:rsidRPr="007E383D">
        <w:rPr>
          <w:rFonts w:cs="Arial"/>
          <w:sz w:val="20"/>
        </w:rPr>
        <w:t>2</w:t>
      </w:r>
      <w:r w:rsidR="007D6C25" w:rsidRPr="007E383D">
        <w:rPr>
          <w:rFonts w:cs="Arial"/>
          <w:sz w:val="20"/>
        </w:rPr>
        <w:t>6</w:t>
      </w:r>
      <w:r w:rsidRPr="007E383D">
        <w:rPr>
          <w:rFonts w:cs="Arial"/>
          <w:sz w:val="20"/>
        </w:rPr>
        <w:tab/>
      </w:r>
      <w:r w:rsidRPr="007E383D">
        <w:rPr>
          <w:rFonts w:cs="Arial"/>
          <w:sz w:val="20"/>
        </w:rPr>
        <w:tab/>
      </w:r>
      <w:r w:rsidR="00E6773C" w:rsidRPr="007E383D">
        <w:rPr>
          <w:rFonts w:cs="Arial"/>
          <w:sz w:val="20"/>
        </w:rPr>
        <w:tab/>
      </w:r>
      <w:r w:rsidR="001C11D7" w:rsidRPr="007E383D">
        <w:rPr>
          <w:rFonts w:cs="Arial"/>
          <w:sz w:val="20"/>
        </w:rPr>
        <w:t>1 520 000 Kč</w:t>
      </w:r>
      <w:r w:rsidRPr="007E383D">
        <w:rPr>
          <w:rFonts w:cs="Arial"/>
          <w:sz w:val="20"/>
        </w:rPr>
        <w:tab/>
      </w:r>
    </w:p>
    <w:p w14:paraId="0FC34D5D" w14:textId="0CBDC06A" w:rsidR="0054211A" w:rsidRPr="007E383D" w:rsidRDefault="00CF635D" w:rsidP="00E6773C">
      <w:pPr>
        <w:widowControl w:val="0"/>
        <w:tabs>
          <w:tab w:val="left" w:pos="-720"/>
          <w:tab w:val="left" w:pos="1843"/>
          <w:tab w:val="left" w:pos="2268"/>
          <w:tab w:val="left" w:pos="2835"/>
        </w:tabs>
        <w:ind w:left="720" w:hanging="294"/>
        <w:jc w:val="both"/>
        <w:rPr>
          <w:rFonts w:cs="Arial"/>
          <w:sz w:val="20"/>
        </w:rPr>
      </w:pPr>
      <w:r w:rsidRPr="007E383D">
        <w:rPr>
          <w:rFonts w:cs="Arial"/>
          <w:sz w:val="20"/>
        </w:rPr>
        <w:t>01. 10. 20</w:t>
      </w:r>
      <w:r w:rsidR="00605B6D" w:rsidRPr="007E383D">
        <w:rPr>
          <w:rFonts w:cs="Arial"/>
          <w:sz w:val="20"/>
        </w:rPr>
        <w:t>2</w:t>
      </w:r>
      <w:r w:rsidR="007D6C25" w:rsidRPr="007E383D">
        <w:rPr>
          <w:rFonts w:cs="Arial"/>
          <w:sz w:val="20"/>
        </w:rPr>
        <w:t>6</w:t>
      </w:r>
      <w:r w:rsidRPr="007E383D">
        <w:rPr>
          <w:rFonts w:cs="Arial"/>
          <w:sz w:val="20"/>
        </w:rPr>
        <w:tab/>
      </w:r>
      <w:r w:rsidRPr="007E383D">
        <w:rPr>
          <w:rFonts w:cs="Arial"/>
          <w:sz w:val="20"/>
        </w:rPr>
        <w:tab/>
      </w:r>
      <w:r w:rsidR="00E6773C" w:rsidRPr="007E383D">
        <w:rPr>
          <w:rFonts w:cs="Arial"/>
          <w:sz w:val="20"/>
        </w:rPr>
        <w:tab/>
      </w:r>
      <w:r w:rsidR="001C11D7" w:rsidRPr="007E383D">
        <w:rPr>
          <w:rFonts w:cs="Arial"/>
          <w:sz w:val="20"/>
        </w:rPr>
        <w:t>1 520 000 Kč</w:t>
      </w:r>
    </w:p>
    <w:p w14:paraId="2F1426F5" w14:textId="018FF980" w:rsidR="00117904" w:rsidRPr="007E383D" w:rsidRDefault="00117904" w:rsidP="00117904">
      <w:pPr>
        <w:widowControl w:val="0"/>
        <w:numPr>
          <w:ilvl w:val="0"/>
          <w:numId w:val="12"/>
        </w:numPr>
        <w:tabs>
          <w:tab w:val="left" w:pos="-720"/>
        </w:tabs>
        <w:spacing w:before="120"/>
        <w:jc w:val="both"/>
        <w:rPr>
          <w:rFonts w:cs="Arial"/>
          <w:sz w:val="20"/>
        </w:rPr>
      </w:pPr>
      <w:r w:rsidRPr="007E383D">
        <w:rPr>
          <w:rFonts w:cs="Arial"/>
          <w:sz w:val="20"/>
        </w:rPr>
        <w:t xml:space="preserve">Pojistné se považuje za uhrazené odepsáním fakturované částky z účtu pojištěného na účet samostatného zprostředkovatele, </w:t>
      </w:r>
      <w:r w:rsidRPr="007E383D">
        <w:rPr>
          <w:rFonts w:cs="Arial"/>
          <w:b/>
          <w:bCs/>
          <w:sz w:val="20"/>
        </w:rPr>
        <w:t xml:space="preserve">č. </w:t>
      </w:r>
      <w:proofErr w:type="spellStart"/>
      <w:r w:rsidRPr="007E383D">
        <w:rPr>
          <w:rFonts w:cs="Arial"/>
          <w:b/>
          <w:bCs/>
          <w:sz w:val="20"/>
        </w:rPr>
        <w:t>ú.</w:t>
      </w:r>
      <w:proofErr w:type="spellEnd"/>
      <w:r w:rsidRPr="007E383D">
        <w:rPr>
          <w:rFonts w:cs="Arial"/>
          <w:b/>
          <w:bCs/>
          <w:sz w:val="20"/>
        </w:rPr>
        <w:t xml:space="preserve"> </w:t>
      </w:r>
      <w:r w:rsidR="006E5BDA">
        <w:rPr>
          <w:rFonts w:cs="Arial"/>
          <w:b/>
          <w:bCs/>
          <w:sz w:val="20"/>
        </w:rPr>
        <w:t>XXXXXX</w:t>
      </w:r>
      <w:r w:rsidRPr="007E383D">
        <w:rPr>
          <w:rFonts w:cs="Arial"/>
          <w:b/>
          <w:bCs/>
          <w:sz w:val="20"/>
        </w:rPr>
        <w:t xml:space="preserve"> vedený u Raiffeisenbank a.s.,</w:t>
      </w:r>
      <w:r w:rsidRPr="007E383D">
        <w:rPr>
          <w:rFonts w:cs="Arial"/>
          <w:sz w:val="20"/>
        </w:rPr>
        <w:t xml:space="preserve"> uvedeného na faktuře. Připadne-li splatnost pojistného na sobotu, neděli, pracovní volno a den pracovního klidu ve smyslu platných a účinných právních předpisů České republiky nebo na 31. 12. nebo den, který není pracovním dnem podle zákona č. 370/2017 Sb., o platebním styku, ve znění pozdějších předpisů, posouvá se termín splatnosti na nejbližší následující pracovní den. Pojistné se považuje za zaplacené okamžikem připsání pojistného v plné výši na výše uvedený účet. Variabilní symbol: číslo pojistné smlouvy.</w:t>
      </w:r>
    </w:p>
    <w:p w14:paraId="34BEE551" w14:textId="77777777" w:rsidR="00206023" w:rsidRPr="007E383D" w:rsidRDefault="00206023" w:rsidP="00206023">
      <w:pPr>
        <w:pStyle w:val="slovn-rove1-netun"/>
        <w:numPr>
          <w:ilvl w:val="0"/>
          <w:numId w:val="14"/>
        </w:numPr>
      </w:pPr>
      <w:r w:rsidRPr="007E383D">
        <w:lastRenderedPageBreak/>
        <w:t xml:space="preserve">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6C85383B" w14:textId="77777777" w:rsidR="0054211A" w:rsidRPr="007E383D" w:rsidRDefault="0054211A" w:rsidP="00282B75">
      <w:pPr>
        <w:widowControl w:val="0"/>
        <w:tabs>
          <w:tab w:val="left" w:pos="-1560"/>
        </w:tabs>
        <w:jc w:val="both"/>
        <w:rPr>
          <w:rFonts w:cs="Arial"/>
          <w:sz w:val="20"/>
        </w:rPr>
      </w:pPr>
      <w:r w:rsidRPr="007E383D">
        <w:rPr>
          <w:rFonts w:cs="Arial"/>
          <w:sz w:val="20"/>
        </w:rPr>
        <w:t xml:space="preserve"> </w:t>
      </w:r>
    </w:p>
    <w:p w14:paraId="4DA75949" w14:textId="77777777" w:rsidR="00D7357B" w:rsidRPr="007E383D" w:rsidRDefault="00E67A10" w:rsidP="00282B75">
      <w:pPr>
        <w:widowControl w:val="0"/>
        <w:tabs>
          <w:tab w:val="left" w:pos="-720"/>
        </w:tabs>
        <w:spacing w:before="120"/>
        <w:jc w:val="center"/>
        <w:rPr>
          <w:rFonts w:cs="Arial"/>
          <w:b/>
          <w:sz w:val="24"/>
        </w:rPr>
      </w:pPr>
      <w:r w:rsidRPr="007E383D">
        <w:rPr>
          <w:rFonts w:cs="Arial"/>
          <w:b/>
          <w:sz w:val="24"/>
        </w:rPr>
        <w:t xml:space="preserve">Článek </w:t>
      </w:r>
      <w:r w:rsidR="00A35B21" w:rsidRPr="007E383D">
        <w:rPr>
          <w:rFonts w:cs="Arial"/>
          <w:b/>
          <w:sz w:val="24"/>
        </w:rPr>
        <w:t>I</w:t>
      </w:r>
      <w:r w:rsidR="00D7357B" w:rsidRPr="007E383D">
        <w:rPr>
          <w:rFonts w:cs="Arial"/>
          <w:b/>
          <w:sz w:val="24"/>
        </w:rPr>
        <w:t>V.</w:t>
      </w:r>
    </w:p>
    <w:p w14:paraId="28191F83" w14:textId="77777777" w:rsidR="00D7357B" w:rsidRPr="007E383D" w:rsidRDefault="00D7357B" w:rsidP="00282B75">
      <w:pPr>
        <w:widowControl w:val="0"/>
        <w:jc w:val="center"/>
        <w:rPr>
          <w:b/>
          <w:bCs/>
          <w:sz w:val="24"/>
        </w:rPr>
      </w:pPr>
      <w:r w:rsidRPr="007E383D">
        <w:rPr>
          <w:b/>
          <w:bCs/>
          <w:sz w:val="24"/>
        </w:rPr>
        <w:t>Hlášení škodných událostí</w:t>
      </w:r>
    </w:p>
    <w:p w14:paraId="03216BE9" w14:textId="77777777" w:rsidR="00F42D0B" w:rsidRPr="007E383D" w:rsidRDefault="00F42D0B" w:rsidP="00F42D0B">
      <w:pPr>
        <w:pStyle w:val="slovn-rove1-netunb"/>
        <w:numPr>
          <w:ilvl w:val="0"/>
          <w:numId w:val="21"/>
        </w:numPr>
        <w:spacing w:after="240"/>
      </w:pPr>
      <w:r w:rsidRPr="007E383D">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34357900" w14:textId="77777777" w:rsidR="00F42D0B" w:rsidRPr="007E383D" w:rsidRDefault="00F42D0B" w:rsidP="00F42D0B">
      <w:pPr>
        <w:spacing w:before="240"/>
        <w:ind w:left="425"/>
        <w:rPr>
          <w:sz w:val="20"/>
          <w:szCs w:val="20"/>
        </w:rPr>
      </w:pPr>
      <w:r w:rsidRPr="007E383D">
        <w:rPr>
          <w:sz w:val="20"/>
          <w:szCs w:val="20"/>
        </w:rPr>
        <w:t xml:space="preserve">Kooperativa pojišťovna, a.s., </w:t>
      </w:r>
      <w:proofErr w:type="spellStart"/>
      <w:r w:rsidRPr="007E383D">
        <w:rPr>
          <w:sz w:val="20"/>
          <w:szCs w:val="20"/>
        </w:rPr>
        <w:t>Vienna</w:t>
      </w:r>
      <w:proofErr w:type="spellEnd"/>
      <w:r w:rsidRPr="007E383D">
        <w:rPr>
          <w:sz w:val="20"/>
          <w:szCs w:val="20"/>
        </w:rPr>
        <w:t xml:space="preserve"> </w:t>
      </w:r>
      <w:proofErr w:type="spellStart"/>
      <w:r w:rsidRPr="007E383D">
        <w:rPr>
          <w:sz w:val="20"/>
          <w:szCs w:val="20"/>
        </w:rPr>
        <w:t>Insurance</w:t>
      </w:r>
      <w:proofErr w:type="spellEnd"/>
      <w:r w:rsidRPr="007E383D">
        <w:rPr>
          <w:sz w:val="20"/>
          <w:szCs w:val="20"/>
        </w:rPr>
        <w:t xml:space="preserve"> Group</w:t>
      </w:r>
    </w:p>
    <w:p w14:paraId="026FC70E" w14:textId="77777777" w:rsidR="00F42D0B" w:rsidRPr="007E383D" w:rsidRDefault="00F42D0B" w:rsidP="00F42D0B">
      <w:pPr>
        <w:ind w:left="425"/>
        <w:rPr>
          <w:sz w:val="20"/>
          <w:szCs w:val="20"/>
        </w:rPr>
      </w:pPr>
      <w:r w:rsidRPr="007E383D">
        <w:rPr>
          <w:sz w:val="20"/>
          <w:szCs w:val="20"/>
        </w:rPr>
        <w:t>CENTRUM ZÁKAZNICKÉ PODPORY</w:t>
      </w:r>
    </w:p>
    <w:p w14:paraId="1534043C" w14:textId="77777777" w:rsidR="00F42D0B" w:rsidRPr="007E383D" w:rsidRDefault="00F42D0B" w:rsidP="00F42D0B">
      <w:pPr>
        <w:ind w:left="425"/>
        <w:rPr>
          <w:sz w:val="20"/>
          <w:szCs w:val="20"/>
        </w:rPr>
      </w:pPr>
      <w:r w:rsidRPr="007E383D">
        <w:rPr>
          <w:sz w:val="20"/>
          <w:szCs w:val="20"/>
        </w:rPr>
        <w:t>Centrální podatelna</w:t>
      </w:r>
    </w:p>
    <w:p w14:paraId="0793225B" w14:textId="77777777" w:rsidR="00F42D0B" w:rsidRPr="007E383D" w:rsidRDefault="00F42D0B" w:rsidP="00F42D0B">
      <w:pPr>
        <w:ind w:left="425"/>
        <w:rPr>
          <w:sz w:val="20"/>
          <w:szCs w:val="20"/>
        </w:rPr>
      </w:pPr>
      <w:r w:rsidRPr="007E383D">
        <w:rPr>
          <w:sz w:val="20"/>
          <w:szCs w:val="20"/>
        </w:rPr>
        <w:t>Brněnská 634</w:t>
      </w:r>
    </w:p>
    <w:p w14:paraId="3299BC26" w14:textId="77777777" w:rsidR="00F42D0B" w:rsidRPr="007E383D" w:rsidRDefault="00F42D0B" w:rsidP="00F42D0B">
      <w:pPr>
        <w:ind w:left="425"/>
        <w:rPr>
          <w:sz w:val="20"/>
          <w:szCs w:val="20"/>
        </w:rPr>
      </w:pPr>
      <w:r w:rsidRPr="007E383D">
        <w:rPr>
          <w:sz w:val="20"/>
          <w:szCs w:val="20"/>
        </w:rPr>
        <w:t>664 42 Modřice</w:t>
      </w:r>
    </w:p>
    <w:p w14:paraId="4ED3D565" w14:textId="3CF76213" w:rsidR="00F42D0B" w:rsidRPr="007E383D" w:rsidRDefault="00F42D0B" w:rsidP="008F66F1">
      <w:pPr>
        <w:ind w:left="425"/>
        <w:rPr>
          <w:sz w:val="20"/>
          <w:szCs w:val="20"/>
        </w:rPr>
      </w:pPr>
      <w:r w:rsidRPr="007E383D">
        <w:rPr>
          <w:sz w:val="20"/>
          <w:szCs w:val="20"/>
        </w:rPr>
        <w:t xml:space="preserve">tel.: </w:t>
      </w:r>
      <w:r w:rsidR="006E5BDA">
        <w:rPr>
          <w:sz w:val="20"/>
          <w:szCs w:val="20"/>
        </w:rPr>
        <w:t>XXXXXX</w:t>
      </w:r>
    </w:p>
    <w:p w14:paraId="2FAE6A7F" w14:textId="77777777" w:rsidR="00F42D0B" w:rsidRPr="007E383D" w:rsidRDefault="00F42D0B" w:rsidP="008F66F1">
      <w:pPr>
        <w:ind w:left="425"/>
      </w:pPr>
      <w:r w:rsidRPr="007E383D">
        <w:rPr>
          <w:sz w:val="20"/>
          <w:szCs w:val="20"/>
        </w:rPr>
        <w:t>datová schránka: n6tetn3</w:t>
      </w:r>
    </w:p>
    <w:p w14:paraId="513845B4" w14:textId="77777777" w:rsidR="00F42D0B" w:rsidRPr="007E383D" w:rsidRDefault="00F42D0B" w:rsidP="008F66F1">
      <w:pPr>
        <w:ind w:left="425"/>
        <w:rPr>
          <w:sz w:val="20"/>
          <w:szCs w:val="20"/>
        </w:rPr>
      </w:pPr>
      <w:r w:rsidRPr="007E383D">
        <w:rPr>
          <w:sz w:val="20"/>
          <w:szCs w:val="20"/>
        </w:rPr>
        <w:t>www.koop.cz</w:t>
      </w:r>
    </w:p>
    <w:p w14:paraId="5FBC0620" w14:textId="2133FB99" w:rsidR="00D7357B" w:rsidRPr="007E383D" w:rsidRDefault="00F42D0B" w:rsidP="008F66F1">
      <w:pPr>
        <w:pStyle w:val="slovn-rove1-netunb"/>
        <w:numPr>
          <w:ilvl w:val="0"/>
          <w:numId w:val="21"/>
        </w:numPr>
        <w:spacing w:after="240"/>
      </w:pPr>
      <w:r w:rsidRPr="007E383D">
        <w:t>Na výzvu pojistitele je pojistník (pojištěný nebo jakákoliv jiná osoba) povinen oznámit vznik škodné události písemnou formou</w:t>
      </w:r>
    </w:p>
    <w:bookmarkEnd w:id="19"/>
    <w:p w14:paraId="4B43D4BD" w14:textId="77777777" w:rsidR="00D7357B" w:rsidRPr="007E383D" w:rsidRDefault="00D7357B" w:rsidP="00282B75">
      <w:pPr>
        <w:widowControl w:val="0"/>
        <w:jc w:val="center"/>
        <w:rPr>
          <w:rFonts w:cs="Arial"/>
          <w:b/>
          <w:bCs/>
          <w:sz w:val="24"/>
        </w:rPr>
      </w:pPr>
      <w:r w:rsidRPr="007E383D">
        <w:rPr>
          <w:rFonts w:cs="Arial"/>
          <w:b/>
          <w:bCs/>
          <w:sz w:val="24"/>
        </w:rPr>
        <w:t>Článek V.</w:t>
      </w:r>
    </w:p>
    <w:p w14:paraId="04452BB5" w14:textId="4CD8AB01" w:rsidR="0085333E" w:rsidRPr="007E383D" w:rsidRDefault="00D7357B" w:rsidP="00282B75">
      <w:pPr>
        <w:widowControl w:val="0"/>
        <w:jc w:val="center"/>
        <w:rPr>
          <w:rFonts w:cs="Arial"/>
          <w:b/>
          <w:bCs/>
          <w:sz w:val="24"/>
        </w:rPr>
      </w:pPr>
      <w:r w:rsidRPr="007E383D">
        <w:rPr>
          <w:rFonts w:cs="Arial"/>
          <w:b/>
          <w:bCs/>
          <w:sz w:val="24"/>
        </w:rPr>
        <w:t>Zvláštní ujednání</w:t>
      </w:r>
    </w:p>
    <w:p w14:paraId="2F251191" w14:textId="77777777" w:rsidR="004E3092" w:rsidRPr="007E383D" w:rsidRDefault="004E3092" w:rsidP="00282B75">
      <w:pPr>
        <w:widowControl w:val="0"/>
        <w:jc w:val="center"/>
        <w:rPr>
          <w:rFonts w:cs="Arial"/>
          <w:b/>
          <w:bCs/>
          <w:sz w:val="24"/>
        </w:rPr>
      </w:pPr>
    </w:p>
    <w:p w14:paraId="6CAA7872" w14:textId="55AD4770" w:rsidR="005D1089" w:rsidRPr="007E383D" w:rsidRDefault="00C25414" w:rsidP="008E0F92">
      <w:pPr>
        <w:widowControl w:val="0"/>
        <w:numPr>
          <w:ilvl w:val="0"/>
          <w:numId w:val="18"/>
        </w:numPr>
        <w:spacing w:before="120"/>
        <w:ind w:left="357" w:hanging="357"/>
        <w:jc w:val="both"/>
        <w:rPr>
          <w:rFonts w:cs="Arial"/>
          <w:b/>
          <w:sz w:val="20"/>
          <w:szCs w:val="20"/>
        </w:rPr>
      </w:pPr>
      <w:r w:rsidRPr="007E383D">
        <w:rPr>
          <w:rFonts w:cs="Arial"/>
          <w:sz w:val="20"/>
          <w:szCs w:val="20"/>
        </w:rPr>
        <w:t xml:space="preserve">Odchylně od ustanovení čl. 8 odst. 1) písm. a) VPP P-100/14 se pojištění vztahuje na události vzniklé v důsledku </w:t>
      </w:r>
      <w:r w:rsidR="00735BFB" w:rsidRPr="007E383D">
        <w:rPr>
          <w:rFonts w:cs="Arial"/>
          <w:sz w:val="20"/>
          <w:szCs w:val="20"/>
        </w:rPr>
        <w:t xml:space="preserve">vzpoury, </w:t>
      </w:r>
      <w:r w:rsidRPr="007E383D">
        <w:rPr>
          <w:rFonts w:cs="Arial"/>
          <w:sz w:val="20"/>
          <w:szCs w:val="20"/>
        </w:rPr>
        <w:t>povstání</w:t>
      </w:r>
      <w:r w:rsidR="008647A6" w:rsidRPr="007E383D">
        <w:rPr>
          <w:rFonts w:cs="Arial"/>
          <w:sz w:val="20"/>
          <w:szCs w:val="20"/>
        </w:rPr>
        <w:t xml:space="preserve"> nebo jiných </w:t>
      </w:r>
      <w:r w:rsidR="006778D5" w:rsidRPr="007E383D">
        <w:rPr>
          <w:rFonts w:cs="Arial"/>
          <w:sz w:val="20"/>
          <w:szCs w:val="20"/>
        </w:rPr>
        <w:t>hromadných násilných nepokojů</w:t>
      </w:r>
      <w:r w:rsidRPr="007E383D">
        <w:rPr>
          <w:rFonts w:cs="Arial"/>
          <w:sz w:val="20"/>
          <w:szCs w:val="20"/>
        </w:rPr>
        <w:t>, teroristických aktů, sabotáže, občanských nepokojů</w:t>
      </w:r>
      <w:r w:rsidR="00177869" w:rsidRPr="007E383D">
        <w:rPr>
          <w:rFonts w:cs="Arial"/>
          <w:sz w:val="20"/>
          <w:szCs w:val="20"/>
        </w:rPr>
        <w:t>,</w:t>
      </w:r>
      <w:r w:rsidRPr="007E383D">
        <w:rPr>
          <w:rFonts w:cs="Arial"/>
          <w:sz w:val="20"/>
          <w:szCs w:val="20"/>
        </w:rPr>
        <w:t xml:space="preserve"> stávky</w:t>
      </w:r>
      <w:r w:rsidR="00177869" w:rsidRPr="007E383D">
        <w:rPr>
          <w:rFonts w:cs="Arial"/>
          <w:sz w:val="20"/>
          <w:szCs w:val="20"/>
        </w:rPr>
        <w:t xml:space="preserve"> a výluky</w:t>
      </w:r>
      <w:r w:rsidRPr="007E383D">
        <w:rPr>
          <w:rFonts w:cs="Arial"/>
          <w:sz w:val="20"/>
          <w:szCs w:val="20"/>
        </w:rPr>
        <w:t>.</w:t>
      </w:r>
    </w:p>
    <w:p w14:paraId="62DBA85F" w14:textId="4B3C7C45" w:rsidR="005E0659" w:rsidRPr="007E383D" w:rsidRDefault="005E0659" w:rsidP="008E0F92">
      <w:pPr>
        <w:widowControl w:val="0"/>
        <w:numPr>
          <w:ilvl w:val="0"/>
          <w:numId w:val="18"/>
        </w:numPr>
        <w:tabs>
          <w:tab w:val="clear" w:pos="502"/>
        </w:tabs>
        <w:spacing w:before="120"/>
        <w:ind w:left="357" w:hanging="357"/>
        <w:jc w:val="both"/>
        <w:rPr>
          <w:rFonts w:cs="Arial"/>
          <w:sz w:val="20"/>
          <w:szCs w:val="20"/>
        </w:rPr>
      </w:pPr>
      <w:r w:rsidRPr="007E383D">
        <w:rPr>
          <w:rFonts w:cs="Arial"/>
          <w:sz w:val="20"/>
          <w:szCs w:val="20"/>
        </w:rPr>
        <w:t xml:space="preserve">Ujednává se, že pokud jsou v této pojistné smlouvě uvedená </w:t>
      </w:r>
      <w:r w:rsidR="000A5909" w:rsidRPr="007E383D">
        <w:rPr>
          <w:rFonts w:cs="Arial"/>
          <w:sz w:val="20"/>
          <w:szCs w:val="20"/>
        </w:rPr>
        <w:t xml:space="preserve">Smluvní ujednání pro pojištění terorismu </w:t>
      </w:r>
      <w:r w:rsidRPr="007E383D">
        <w:rPr>
          <w:rFonts w:cs="Arial"/>
          <w:sz w:val="20"/>
          <w:szCs w:val="20"/>
        </w:rPr>
        <w:t>v rozporu s přiloženými VPP</w:t>
      </w:r>
      <w:r w:rsidR="00A34D34" w:rsidRPr="007E383D">
        <w:rPr>
          <w:rFonts w:cs="Arial"/>
          <w:sz w:val="20"/>
          <w:szCs w:val="20"/>
        </w:rPr>
        <w:t>, DPP</w:t>
      </w:r>
      <w:r w:rsidRPr="007E383D">
        <w:rPr>
          <w:rFonts w:cs="Arial"/>
          <w:sz w:val="20"/>
          <w:szCs w:val="20"/>
        </w:rPr>
        <w:t xml:space="preserve"> nebo doložkami, pak mají tato </w:t>
      </w:r>
      <w:r w:rsidR="000A5909" w:rsidRPr="007E383D">
        <w:rPr>
          <w:rFonts w:cs="Arial"/>
          <w:sz w:val="20"/>
          <w:szCs w:val="20"/>
        </w:rPr>
        <w:t xml:space="preserve">Smluvní ujednání pro pojištění terorismu </w:t>
      </w:r>
      <w:r w:rsidRPr="007E383D">
        <w:rPr>
          <w:rFonts w:cs="Arial"/>
          <w:sz w:val="20"/>
          <w:szCs w:val="20"/>
        </w:rPr>
        <w:t>přednost před ustanoveními přiložených VPP</w:t>
      </w:r>
      <w:r w:rsidR="00A34D34" w:rsidRPr="007E383D">
        <w:rPr>
          <w:rFonts w:cs="Arial"/>
          <w:sz w:val="20"/>
          <w:szCs w:val="20"/>
        </w:rPr>
        <w:t>, DPP</w:t>
      </w:r>
      <w:r w:rsidR="00F21FF8" w:rsidRPr="007E383D">
        <w:rPr>
          <w:rFonts w:cs="Arial"/>
          <w:sz w:val="20"/>
          <w:szCs w:val="20"/>
        </w:rPr>
        <w:t xml:space="preserve"> </w:t>
      </w:r>
      <w:r w:rsidRPr="007E383D">
        <w:rPr>
          <w:rFonts w:cs="Arial"/>
          <w:sz w:val="20"/>
          <w:szCs w:val="20"/>
        </w:rPr>
        <w:t>nebo doložek.</w:t>
      </w:r>
    </w:p>
    <w:p w14:paraId="7AF5FAFF" w14:textId="77777777" w:rsidR="00656F66" w:rsidRPr="007E383D" w:rsidRDefault="00656F66" w:rsidP="008E0F92">
      <w:pPr>
        <w:widowControl w:val="0"/>
        <w:numPr>
          <w:ilvl w:val="0"/>
          <w:numId w:val="18"/>
        </w:numPr>
        <w:tabs>
          <w:tab w:val="clear" w:pos="502"/>
        </w:tabs>
        <w:spacing w:before="120"/>
        <w:ind w:left="357" w:hanging="357"/>
        <w:jc w:val="both"/>
        <w:rPr>
          <w:rFonts w:cs="Arial"/>
          <w:sz w:val="20"/>
          <w:szCs w:val="20"/>
        </w:rPr>
      </w:pPr>
      <w:r w:rsidRPr="007E383D">
        <w:rPr>
          <w:rFonts w:cs="Arial"/>
          <w:sz w:val="20"/>
          <w:szCs w:val="20"/>
        </w:rPr>
        <w:t>Ujednává se, že pojištění sjednané touto pojistnou smlouvou se vztahuje i na přechod práv, která by na pojišťovnu přešla ve smyslu ustanovení § 33 zákona č. 37/2004 Sb., o pojistné smlouvě a změně souvisejících zákonů, ve znění pozdějších předpisů proti spolupojištěnému, případně právnické osobě, se kterou je majetkově propojen.</w:t>
      </w:r>
    </w:p>
    <w:p w14:paraId="7D692A95" w14:textId="6140F0B3" w:rsidR="009D7C5B" w:rsidRPr="007E383D" w:rsidRDefault="009D7C5B" w:rsidP="008E0F92">
      <w:pPr>
        <w:keepNext/>
        <w:widowControl w:val="0"/>
        <w:numPr>
          <w:ilvl w:val="0"/>
          <w:numId w:val="18"/>
        </w:numPr>
        <w:spacing w:before="120"/>
        <w:ind w:left="357" w:hanging="357"/>
        <w:jc w:val="both"/>
        <w:rPr>
          <w:rFonts w:cs="Arial"/>
          <w:b/>
          <w:bCs/>
          <w:sz w:val="20"/>
          <w:szCs w:val="20"/>
        </w:rPr>
      </w:pPr>
      <w:r w:rsidRPr="007E383D">
        <w:rPr>
          <w:rFonts w:cs="Arial"/>
          <w:b/>
          <w:bCs/>
          <w:sz w:val="20"/>
          <w:szCs w:val="20"/>
        </w:rPr>
        <w:t>Akceptace pojistných částek</w:t>
      </w:r>
    </w:p>
    <w:p w14:paraId="35152CAF" w14:textId="77777777" w:rsidR="000472C7" w:rsidRPr="007E383D" w:rsidRDefault="000472C7" w:rsidP="00814A40">
      <w:pPr>
        <w:keepNext/>
        <w:widowControl w:val="0"/>
        <w:ind w:left="357"/>
        <w:jc w:val="both"/>
        <w:rPr>
          <w:rFonts w:cs="Arial"/>
          <w:sz w:val="20"/>
          <w:szCs w:val="20"/>
        </w:rPr>
      </w:pPr>
      <w:r w:rsidRPr="007E383D">
        <w:rPr>
          <w:rFonts w:cs="Arial"/>
          <w:sz w:val="20"/>
          <w:szCs w:val="20"/>
        </w:rPr>
        <w:t>Pokud je pojištění sjednáno na novou cenu, pak se pro účely této pojistné smlouvy ujednává, že ke dni sjednání pojištění odpovídají pojistné částky pojištěných věcí pojistné hodnotě a pojistitel akceptuje pojistné částky jako hodnotu nové věci ve smyslu pojistných podmínek, tj. pojistitel nebude namítat podpojištění.</w:t>
      </w:r>
    </w:p>
    <w:p w14:paraId="6B7DCE30" w14:textId="4D01F2B6" w:rsidR="005E2CAC" w:rsidRPr="007E383D" w:rsidRDefault="005E2CAC" w:rsidP="00282B75">
      <w:pPr>
        <w:widowControl w:val="0"/>
        <w:numPr>
          <w:ilvl w:val="0"/>
          <w:numId w:val="18"/>
        </w:numPr>
        <w:spacing w:before="120"/>
        <w:ind w:left="357"/>
        <w:jc w:val="both"/>
        <w:rPr>
          <w:rFonts w:cs="Arial"/>
          <w:b/>
          <w:bCs/>
          <w:sz w:val="20"/>
          <w:szCs w:val="20"/>
        </w:rPr>
      </w:pPr>
      <w:r w:rsidRPr="007E383D">
        <w:rPr>
          <w:rFonts w:cs="Arial"/>
          <w:b/>
          <w:bCs/>
          <w:sz w:val="20"/>
          <w:szCs w:val="20"/>
        </w:rPr>
        <w:t>Automatické pojištění nového majetku</w:t>
      </w:r>
    </w:p>
    <w:p w14:paraId="153356E9" w14:textId="77777777" w:rsidR="0050071C" w:rsidRPr="007E383D" w:rsidRDefault="0050071C" w:rsidP="0050071C">
      <w:pPr>
        <w:keepNext/>
        <w:widowControl w:val="0"/>
        <w:ind w:left="357"/>
        <w:jc w:val="both"/>
        <w:rPr>
          <w:rFonts w:cs="Arial"/>
          <w:sz w:val="20"/>
          <w:szCs w:val="20"/>
        </w:rPr>
      </w:pPr>
      <w:r w:rsidRPr="007E383D">
        <w:rPr>
          <w:rFonts w:cs="Arial"/>
          <w:sz w:val="20"/>
          <w:szCs w:val="20"/>
        </w:rPr>
        <w:t xml:space="preserve">Ujednává se, že veškerý nový majetek, který pojištěný nabude v průběhu pojistného období, je automaticky bezplatně zahrnut do pojištění. </w:t>
      </w:r>
    </w:p>
    <w:p w14:paraId="786C040D" w14:textId="02F6659E" w:rsidR="00093132" w:rsidRPr="007E383D" w:rsidRDefault="00093132" w:rsidP="00C22807">
      <w:pPr>
        <w:keepNext/>
        <w:widowControl w:val="0"/>
        <w:ind w:left="357"/>
        <w:jc w:val="both"/>
        <w:rPr>
          <w:rFonts w:cs="Arial"/>
          <w:sz w:val="20"/>
          <w:szCs w:val="20"/>
        </w:rPr>
      </w:pPr>
      <w:r w:rsidRPr="007E383D">
        <w:rPr>
          <w:rFonts w:cs="Arial"/>
          <w:sz w:val="20"/>
          <w:szCs w:val="20"/>
        </w:rPr>
        <w:t xml:space="preserve">Pojistitel akceptuje toto ujednání v upraveném znění uvedeném </w:t>
      </w:r>
      <w:r w:rsidR="00C22807" w:rsidRPr="007E383D">
        <w:rPr>
          <w:rFonts w:cs="Arial"/>
          <w:sz w:val="20"/>
          <w:szCs w:val="20"/>
        </w:rPr>
        <w:t>v „Doložce o přírůstku hodnoty“</w:t>
      </w:r>
    </w:p>
    <w:p w14:paraId="0FAC3EC1" w14:textId="7C0E9FF6" w:rsidR="0075111E" w:rsidRPr="007E383D" w:rsidRDefault="006610BA" w:rsidP="006610BA">
      <w:pPr>
        <w:widowControl w:val="0"/>
        <w:numPr>
          <w:ilvl w:val="0"/>
          <w:numId w:val="18"/>
        </w:numPr>
        <w:spacing w:before="120"/>
        <w:ind w:left="357"/>
        <w:jc w:val="both"/>
        <w:rPr>
          <w:rFonts w:cs="Arial"/>
          <w:b/>
          <w:bCs/>
          <w:sz w:val="20"/>
          <w:szCs w:val="20"/>
        </w:rPr>
      </w:pPr>
      <w:r w:rsidRPr="007E383D">
        <w:rPr>
          <w:rFonts w:cs="Arial"/>
          <w:b/>
          <w:bCs/>
          <w:sz w:val="20"/>
          <w:szCs w:val="20"/>
        </w:rPr>
        <w:t>Inflační doložka</w:t>
      </w:r>
    </w:p>
    <w:p w14:paraId="601B6C52" w14:textId="3C019DBB" w:rsidR="0075111E" w:rsidRPr="007E383D" w:rsidRDefault="004A4129" w:rsidP="00F36715">
      <w:pPr>
        <w:widowControl w:val="0"/>
        <w:ind w:left="357"/>
        <w:jc w:val="both"/>
        <w:rPr>
          <w:rFonts w:cs="Arial"/>
          <w:sz w:val="20"/>
          <w:szCs w:val="20"/>
        </w:rPr>
      </w:pPr>
      <w:r w:rsidRPr="007E383D">
        <w:rPr>
          <w:rFonts w:cs="Arial"/>
          <w:sz w:val="20"/>
          <w:szCs w:val="20"/>
        </w:rPr>
        <w:t>Pojišťovna nebude namítat podpojištění, dojde-li v průběhu pojistného období k navýšení pojistných hodnot v důsledku inflace</w:t>
      </w:r>
      <w:r w:rsidR="00F76475" w:rsidRPr="007E383D">
        <w:rPr>
          <w:rFonts w:cs="Arial"/>
          <w:sz w:val="20"/>
          <w:szCs w:val="20"/>
        </w:rPr>
        <w:t>.</w:t>
      </w:r>
    </w:p>
    <w:p w14:paraId="176D9D89" w14:textId="2577E580" w:rsidR="007346FF" w:rsidRPr="007E383D" w:rsidRDefault="007346FF" w:rsidP="007346FF">
      <w:pPr>
        <w:widowControl w:val="0"/>
        <w:numPr>
          <w:ilvl w:val="0"/>
          <w:numId w:val="18"/>
        </w:numPr>
        <w:spacing w:before="120"/>
        <w:ind w:left="357" w:hanging="357"/>
        <w:jc w:val="both"/>
        <w:rPr>
          <w:rFonts w:cs="Arial"/>
          <w:sz w:val="20"/>
          <w:szCs w:val="20"/>
        </w:rPr>
      </w:pPr>
      <w:r w:rsidRPr="007E383D">
        <w:rPr>
          <w:sz w:val="20"/>
          <w:szCs w:val="20"/>
        </w:rPr>
        <w:t>Pojistník pověřuje výhradně pojišťovací makléřskou společnost RE</w:t>
      </w:r>
      <w:r w:rsidR="001700E4" w:rsidRPr="007E383D">
        <w:rPr>
          <w:sz w:val="20"/>
          <w:szCs w:val="20"/>
        </w:rPr>
        <w:t>NOMIA</w:t>
      </w:r>
      <w:r w:rsidRPr="007E383D">
        <w:rPr>
          <w:sz w:val="20"/>
          <w:szCs w:val="20"/>
        </w:rPr>
        <w:t xml:space="preserve">, a.s., se sídlem </w:t>
      </w:r>
      <w:r w:rsidR="006D6B46" w:rsidRPr="007E383D">
        <w:rPr>
          <w:sz w:val="20"/>
          <w:szCs w:val="20"/>
        </w:rPr>
        <w:t>Brno-střed, Štýřice, Holandská 874/8, PSČ</w:t>
      </w:r>
      <w:r w:rsidR="00F05A6B" w:rsidRPr="007E383D">
        <w:rPr>
          <w:sz w:val="20"/>
          <w:szCs w:val="20"/>
        </w:rPr>
        <w:t xml:space="preserve"> 639 00</w:t>
      </w:r>
      <w:r w:rsidRPr="007E383D">
        <w:rPr>
          <w:sz w:val="20"/>
          <w:szCs w:val="20"/>
        </w:rPr>
        <w:t>, IČO: 251 46 351 (dále jen "makléř"), vedením (řízením) a zpracováním jeho pojistného zájmu. Veškerý styk, který se bude týkat této pojistné smlouvy, včetně hlášení pojistných událostí, bude prováděn výhradně prostřednictvím makléře. Prohlášení a jiné úkony pojištěného směřované pojistiteli jsou vůči pojistiteli účinné doručením makléři. Makléř je povinen o těchto úkonech pojistitele informovat bez zbytečného prodlení.</w:t>
      </w:r>
    </w:p>
    <w:p w14:paraId="6CBD8B61" w14:textId="397C37A6" w:rsidR="005E0659" w:rsidRPr="007E383D" w:rsidRDefault="007346FF" w:rsidP="00FB198A">
      <w:pPr>
        <w:pStyle w:val="Odstavecseseznamem"/>
        <w:widowControl w:val="0"/>
        <w:spacing w:after="0" w:line="240" w:lineRule="auto"/>
        <w:ind w:left="357"/>
        <w:contextualSpacing w:val="0"/>
        <w:jc w:val="both"/>
      </w:pPr>
      <w:r w:rsidRPr="007E383D">
        <w:rPr>
          <w:sz w:val="20"/>
          <w:szCs w:val="20"/>
        </w:rPr>
        <w:t xml:space="preserve">V </w:t>
      </w:r>
      <w:r w:rsidRPr="007E383D">
        <w:rPr>
          <w:rFonts w:ascii="Koop Office" w:hAnsi="Koop Office"/>
          <w:sz w:val="20"/>
          <w:szCs w:val="20"/>
        </w:rPr>
        <w:t xml:space="preserve">případě, že Pojistník v průběhu platnosti a účinnosti pojistné smlouvy ukončí pověření </w:t>
      </w:r>
      <w:r w:rsidR="008D341B" w:rsidRPr="007E383D">
        <w:rPr>
          <w:rFonts w:ascii="Koop Office" w:hAnsi="Koop Office"/>
          <w:sz w:val="20"/>
          <w:szCs w:val="20"/>
        </w:rPr>
        <w:t>RENOMIA, a.</w:t>
      </w:r>
      <w:r w:rsidR="007D6C25" w:rsidRPr="007E383D">
        <w:rPr>
          <w:rFonts w:ascii="Koop Office" w:hAnsi="Koop Office"/>
          <w:sz w:val="20"/>
          <w:szCs w:val="20"/>
        </w:rPr>
        <w:t xml:space="preserve"> </w:t>
      </w:r>
      <w:r w:rsidR="008D341B" w:rsidRPr="007E383D">
        <w:rPr>
          <w:rFonts w:ascii="Koop Office" w:hAnsi="Koop Office"/>
          <w:sz w:val="20"/>
          <w:szCs w:val="20"/>
        </w:rPr>
        <w:t xml:space="preserve">s., </w:t>
      </w:r>
      <w:r w:rsidRPr="007E383D">
        <w:rPr>
          <w:rFonts w:ascii="Koop Office" w:hAnsi="Koop Office"/>
          <w:sz w:val="20"/>
          <w:szCs w:val="20"/>
        </w:rPr>
        <w:t>a pověří jiného pojišťovacího makléře vedením a zpracováním jeho pojistného zájmu, zavazuje se pojistitel bezodkladně zohlednit tuto změnu v pojistné smlouvě dodatkem a spolupracovat s novým makléřem</w:t>
      </w:r>
      <w:r w:rsidRPr="007E383D">
        <w:rPr>
          <w:rFonts w:ascii="Koop Office" w:hAnsi="Koop Office"/>
        </w:rPr>
        <w:t>.</w:t>
      </w:r>
    </w:p>
    <w:p w14:paraId="5560C137" w14:textId="77777777" w:rsidR="00D369BF" w:rsidRPr="007E383D" w:rsidRDefault="00D369BF" w:rsidP="00F340B1">
      <w:pPr>
        <w:pStyle w:val="slovn-rove1-netunb"/>
        <w:numPr>
          <w:ilvl w:val="0"/>
          <w:numId w:val="18"/>
        </w:numPr>
        <w:tabs>
          <w:tab w:val="clear" w:pos="502"/>
        </w:tabs>
        <w:spacing w:after="0"/>
        <w:ind w:left="426" w:hanging="284"/>
      </w:pPr>
      <w:r w:rsidRPr="007E383D">
        <w:lastRenderedPageBreak/>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65026A0C" w14:textId="77777777" w:rsidR="00EE4EA0" w:rsidRPr="007E383D" w:rsidRDefault="00897461" w:rsidP="00EE4EA0">
      <w:pPr>
        <w:pStyle w:val="Nadpislnk"/>
      </w:pPr>
      <w:r w:rsidRPr="007E383D">
        <w:t>Článek VII.</w:t>
      </w:r>
      <w:r w:rsidRPr="007E383D">
        <w:br/>
      </w:r>
      <w:r w:rsidR="00EE4EA0" w:rsidRPr="007E383D">
        <w:t>Prohlášení pojistníka, registr smluv, zpracování osobních údajů</w:t>
      </w:r>
    </w:p>
    <w:p w14:paraId="28AB4007" w14:textId="77777777" w:rsidR="00EE4EA0" w:rsidRPr="007E383D" w:rsidRDefault="00EE4EA0" w:rsidP="00EE4EA0">
      <w:pPr>
        <w:pStyle w:val="slovn-rove1-netunb"/>
      </w:pPr>
      <w:r w:rsidRPr="007E383D">
        <w:rPr>
          <w:b/>
        </w:rPr>
        <w:t>Prohlášení pojistníka</w:t>
      </w:r>
    </w:p>
    <w:p w14:paraId="4CC41513" w14:textId="77777777" w:rsidR="00EE4EA0" w:rsidRPr="007E383D" w:rsidRDefault="00EE4EA0" w:rsidP="00DB55EE">
      <w:pPr>
        <w:pStyle w:val="slovn-rove1-netunb"/>
        <w:numPr>
          <w:ilvl w:val="1"/>
          <w:numId w:val="19"/>
        </w:numPr>
        <w:spacing w:before="60" w:after="60"/>
      </w:pPr>
      <w:r w:rsidRPr="007E383D">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19694D26" w14:textId="77777777" w:rsidR="00EE4EA0" w:rsidRPr="007E383D" w:rsidRDefault="00EE4EA0" w:rsidP="00DB55EE">
      <w:pPr>
        <w:pStyle w:val="slovn-rove1-netunb"/>
        <w:numPr>
          <w:ilvl w:val="1"/>
          <w:numId w:val="19"/>
        </w:numPr>
        <w:spacing w:before="60" w:after="60"/>
      </w:pPr>
      <w:r w:rsidRPr="007E383D">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77C17D13" w14:textId="77777777" w:rsidR="00EE4EA0" w:rsidRPr="007E383D" w:rsidRDefault="00EE4EA0" w:rsidP="00DB55EE">
      <w:pPr>
        <w:pStyle w:val="slovn-rove1-netunb"/>
        <w:numPr>
          <w:ilvl w:val="1"/>
          <w:numId w:val="19"/>
        </w:numPr>
        <w:spacing w:before="60" w:after="60"/>
      </w:pPr>
      <w:r w:rsidRPr="007E383D">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54E82CAD" w14:textId="77777777" w:rsidR="00EE4EA0" w:rsidRPr="007E383D" w:rsidRDefault="00EE4EA0" w:rsidP="00DB55EE">
      <w:pPr>
        <w:pStyle w:val="slovn-rove1-netunb"/>
        <w:numPr>
          <w:ilvl w:val="1"/>
          <w:numId w:val="19"/>
        </w:numPr>
        <w:spacing w:before="60" w:after="60"/>
      </w:pPr>
      <w:r w:rsidRPr="007E383D">
        <w:t>Pojistník prohlašuje, že má oprávněnou potřebu ochrany před následky pojistné události (pojistný zájem). Pojistník, je-li osobou odlišnou od pojištěného, dále prohlašuje, že mu pojištění dali souhlas k pojištění.</w:t>
      </w:r>
    </w:p>
    <w:p w14:paraId="6A06BC8A" w14:textId="77777777" w:rsidR="00EE4EA0" w:rsidRPr="007E383D" w:rsidRDefault="00EE4EA0" w:rsidP="00DB55EE">
      <w:pPr>
        <w:pStyle w:val="slovn-rove1-netunb"/>
        <w:numPr>
          <w:ilvl w:val="1"/>
          <w:numId w:val="19"/>
        </w:numPr>
        <w:spacing w:before="60" w:after="60"/>
      </w:pPr>
      <w:r w:rsidRPr="007E383D">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1F7BF637" w14:textId="77777777" w:rsidR="00EE4EA0" w:rsidRPr="007E383D" w:rsidRDefault="00EE4EA0" w:rsidP="00EE4EA0">
      <w:pPr>
        <w:pStyle w:val="slovn-rove1-netunb"/>
      </w:pPr>
      <w:r w:rsidRPr="007E383D">
        <w:rPr>
          <w:b/>
        </w:rPr>
        <w:t>Registr smluv</w:t>
      </w:r>
    </w:p>
    <w:p w14:paraId="71A16E06" w14:textId="77777777" w:rsidR="00EE4EA0" w:rsidRPr="007E383D" w:rsidRDefault="00EE4EA0" w:rsidP="00EE4EA0">
      <w:pPr>
        <w:pStyle w:val="slovn-rove1-netunb"/>
        <w:numPr>
          <w:ilvl w:val="1"/>
          <w:numId w:val="19"/>
        </w:numPr>
      </w:pPr>
      <w:r w:rsidRPr="007E383D">
        <w:t>Pokud výše uvedená pojistná smlouva, resp. dodatek k pojistné smlouvě (dále jen „</w:t>
      </w:r>
      <w:r w:rsidRPr="007E383D">
        <w:rPr>
          <w:b/>
        </w:rPr>
        <w:t>smlouva</w:t>
      </w:r>
      <w:r w:rsidRPr="007E383D">
        <w:t>“) podléhá povinnosti uveřejnění v registru smluv (dále jen „</w:t>
      </w:r>
      <w:r w:rsidRPr="007E383D">
        <w:rPr>
          <w:b/>
        </w:rPr>
        <w:t>registr</w:t>
      </w:r>
      <w:r w:rsidRPr="007E383D">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5906D869" w14:textId="77777777" w:rsidR="00EE4EA0" w:rsidRPr="007E383D" w:rsidRDefault="00EE4EA0" w:rsidP="00EE4EA0">
      <w:pPr>
        <w:pStyle w:val="slovn-rove1-netunb"/>
        <w:numPr>
          <w:ilvl w:val="0"/>
          <w:numId w:val="0"/>
        </w:numPr>
        <w:ind w:left="425"/>
      </w:pPr>
      <w:r w:rsidRPr="007E383D">
        <w:t>Při vyplnění formuláře pro uveřejnění smlouvy v registru je pojistník povinen vyplnit údaje o pojistiteli (jako smluvní straně), do pole „</w:t>
      </w:r>
      <w:r w:rsidRPr="007E383D">
        <w:rPr>
          <w:b/>
        </w:rPr>
        <w:t>Datová schránka</w:t>
      </w:r>
      <w:r w:rsidRPr="007E383D">
        <w:t xml:space="preserve">“ uvést: </w:t>
      </w:r>
      <w:r w:rsidRPr="007E383D">
        <w:rPr>
          <w:b/>
        </w:rPr>
        <w:t>n6tetn3</w:t>
      </w:r>
      <w:r w:rsidRPr="007E383D">
        <w:t xml:space="preserve"> a do pole „</w:t>
      </w:r>
      <w:r w:rsidRPr="007E383D">
        <w:rPr>
          <w:b/>
        </w:rPr>
        <w:t>Číslo smlouvy</w:t>
      </w:r>
      <w:r w:rsidRPr="007E383D">
        <w:t xml:space="preserve">“ </w:t>
      </w:r>
      <w:r w:rsidRPr="007E383D">
        <w:rPr>
          <w:color w:val="000000"/>
        </w:rPr>
        <w:t>uvést číslo této pojistné smlouvy.</w:t>
      </w:r>
    </w:p>
    <w:p w14:paraId="76A91446" w14:textId="77777777" w:rsidR="00EE4EA0" w:rsidRPr="007E383D" w:rsidRDefault="00EE4EA0" w:rsidP="00EE4EA0">
      <w:pPr>
        <w:pStyle w:val="slovn-rove1-netunb"/>
        <w:numPr>
          <w:ilvl w:val="0"/>
          <w:numId w:val="0"/>
        </w:numPr>
        <w:ind w:left="425"/>
      </w:pPr>
      <w:r w:rsidRPr="007E383D">
        <w:t>Pojistník se dále zavazuje, že před zasláním smlouvy k uveřejnění zajistí znečitelnění neuveřejnitelných informací (např. osobních údajů o fyzických osobách).</w:t>
      </w:r>
    </w:p>
    <w:p w14:paraId="3971BB49" w14:textId="67B32600" w:rsidR="003F3E57" w:rsidRPr="007E383D" w:rsidRDefault="00EE4EA0" w:rsidP="00EE4EA0">
      <w:pPr>
        <w:pStyle w:val="slovn-rove1-netunb"/>
        <w:numPr>
          <w:ilvl w:val="0"/>
          <w:numId w:val="0"/>
        </w:numPr>
        <w:ind w:left="425"/>
      </w:pPr>
      <w:r w:rsidRPr="007E383D">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5A0252B3" w14:textId="77777777" w:rsidR="00EE4EA0" w:rsidRPr="007E383D" w:rsidRDefault="00EE4EA0" w:rsidP="00DB55EE">
      <w:pPr>
        <w:pStyle w:val="slovn-rove1-netunb"/>
        <w:keepNext/>
        <w:spacing w:before="60" w:after="60"/>
        <w:rPr>
          <w:b/>
          <w:caps/>
        </w:rPr>
      </w:pPr>
      <w:r w:rsidRPr="007E383D">
        <w:rPr>
          <w:b/>
          <w:caps/>
        </w:rPr>
        <w:t xml:space="preserve">Zpracování </w:t>
      </w:r>
      <w:r w:rsidRPr="007E383D">
        <w:rPr>
          <w:b/>
          <w:caps/>
          <w:color w:val="000000"/>
        </w:rPr>
        <w:t>osobních</w:t>
      </w:r>
      <w:r w:rsidRPr="007E383D">
        <w:rPr>
          <w:b/>
          <w:caps/>
        </w:rPr>
        <w:t xml:space="preserve"> údajů</w:t>
      </w:r>
    </w:p>
    <w:p w14:paraId="262B724C" w14:textId="77777777" w:rsidR="00EE4EA0" w:rsidRPr="007E383D" w:rsidRDefault="00EE4EA0" w:rsidP="00DB55EE">
      <w:pPr>
        <w:pStyle w:val="slovn-rove1-netunb"/>
        <w:numPr>
          <w:ilvl w:val="0"/>
          <w:numId w:val="0"/>
        </w:numPr>
        <w:spacing w:before="60" w:after="60"/>
        <w:ind w:left="425"/>
        <w:rPr>
          <w:rFonts w:cs="Calibri"/>
        </w:rPr>
      </w:pPr>
      <w:r w:rsidRPr="007E383D">
        <w:rPr>
          <w:color w:val="000000"/>
        </w:rPr>
        <w:t>V následující části jsou uvedeny základní informace o zpracování Vašich osobních údajů. Tyto informace se na Vás uplatní, pokud jste fyzickou osobou</w:t>
      </w:r>
      <w:r w:rsidRPr="007E383D">
        <w:rPr>
          <w:rFonts w:cs="Calibri"/>
        </w:rPr>
        <w:t xml:space="preserve">, a </w:t>
      </w:r>
      <w:r w:rsidRPr="007E383D">
        <w:t>to s výjimkou bodu 3.2., který se na Vás uplatní i pokud jste právnickou osobou</w:t>
      </w:r>
      <w:r w:rsidRPr="007E383D">
        <w:rPr>
          <w:color w:val="00000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7E383D">
            <w:rPr>
              <w:rStyle w:val="Hypertextovodkaz"/>
              <w:rFonts w:cs="Calibri"/>
            </w:rPr>
            <w:t>www.koop.cz</w:t>
          </w:r>
        </w:hyperlink>
      </w:hyperlink>
      <w:r w:rsidRPr="007E383D">
        <w:rPr>
          <w:color w:val="000000"/>
        </w:rPr>
        <w:t xml:space="preserve"> v sekci „O pojišťovně Kooperativa“.</w:t>
      </w:r>
    </w:p>
    <w:p w14:paraId="6BCC9C35" w14:textId="77777777" w:rsidR="00EE4EA0" w:rsidRPr="007E383D" w:rsidRDefault="00EE4EA0" w:rsidP="00EE4EA0">
      <w:pPr>
        <w:pStyle w:val="slovn-rove1-netunb"/>
        <w:numPr>
          <w:ilvl w:val="1"/>
          <w:numId w:val="19"/>
        </w:numPr>
        <w:rPr>
          <w:b/>
        </w:rPr>
      </w:pPr>
      <w:r w:rsidRPr="007E383D">
        <w:rPr>
          <w:b/>
        </w:rPr>
        <w:lastRenderedPageBreak/>
        <w:t xml:space="preserve">INFORMACE O ZPRACOVÁNÍ OSOBNÍCH ÚDAJŮ </w:t>
      </w:r>
      <w:r w:rsidRPr="007E383D">
        <w:rPr>
          <w:b/>
          <w:u w:val="single"/>
        </w:rPr>
        <w:t>BEZ VAŠEHO SOUHLASU</w:t>
      </w:r>
    </w:p>
    <w:p w14:paraId="23918BDA" w14:textId="77777777" w:rsidR="00EE4EA0" w:rsidRPr="007E383D" w:rsidRDefault="00EE4EA0" w:rsidP="00EE4EA0">
      <w:pPr>
        <w:ind w:firstLine="425"/>
        <w:rPr>
          <w:szCs w:val="20"/>
        </w:rPr>
      </w:pPr>
      <w:r w:rsidRPr="007E383D">
        <w:rPr>
          <w:b/>
          <w:szCs w:val="20"/>
        </w:rPr>
        <w:t>Zpracování na základě plnění smlouvy a oprávněných zájmů pojistitele</w:t>
      </w:r>
    </w:p>
    <w:p w14:paraId="21AEE192" w14:textId="77777777" w:rsidR="00EE4EA0" w:rsidRPr="007E383D" w:rsidRDefault="00EE4EA0" w:rsidP="00EE4EA0">
      <w:pPr>
        <w:pStyle w:val="slovn"/>
        <w:numPr>
          <w:ilvl w:val="0"/>
          <w:numId w:val="0"/>
        </w:numPr>
        <w:ind w:left="425"/>
        <w:rPr>
          <w:rFonts w:ascii="Koop Office" w:hAnsi="Koop Office"/>
          <w:sz w:val="20"/>
        </w:rPr>
      </w:pPr>
      <w:r w:rsidRPr="007E383D">
        <w:rPr>
          <w:rFonts w:ascii="Koop Office" w:hAnsi="Koop Office"/>
          <w:sz w:val="20"/>
        </w:rPr>
        <w:t>Pojistník bere na vědomí, že jeho identifikační a kontaktní údaje, údaje pro ocenění rizika při vstupu do pojištění a údaje o využívání služeb</w:t>
      </w:r>
      <w:r w:rsidRPr="007E383D" w:rsidDel="00141904">
        <w:rPr>
          <w:rFonts w:ascii="Koop Office" w:hAnsi="Koop Office"/>
          <w:sz w:val="20"/>
        </w:rPr>
        <w:t xml:space="preserve"> </w:t>
      </w:r>
      <w:r w:rsidRPr="007E383D">
        <w:rPr>
          <w:rFonts w:ascii="Koop Office" w:hAnsi="Koop Office"/>
          <w:sz w:val="20"/>
        </w:rPr>
        <w:t>zpracovává pojistitel:</w:t>
      </w:r>
    </w:p>
    <w:p w14:paraId="4D105A6E" w14:textId="77777777" w:rsidR="00EE4EA0" w:rsidRPr="007E383D" w:rsidRDefault="00EE4EA0" w:rsidP="00EE4EA0">
      <w:pPr>
        <w:pStyle w:val="odrkadruh"/>
        <w:numPr>
          <w:ilvl w:val="0"/>
          <w:numId w:val="23"/>
        </w:numPr>
        <w:ind w:left="709" w:hanging="283"/>
        <w:rPr>
          <w:rFonts w:ascii="Koop Office" w:hAnsi="Koop Office"/>
          <w:sz w:val="20"/>
          <w:szCs w:val="20"/>
        </w:rPr>
      </w:pPr>
      <w:r w:rsidRPr="007E383D">
        <w:rPr>
          <w:rFonts w:ascii="Koop Office" w:hAnsi="Koop Office"/>
          <w:sz w:val="20"/>
          <w:szCs w:val="20"/>
        </w:rPr>
        <w:t xml:space="preserve">pro účely </w:t>
      </w:r>
      <w:r w:rsidRPr="007E383D">
        <w:rPr>
          <w:rFonts w:ascii="Koop Office" w:hAnsi="Koop Office"/>
          <w:i/>
          <w:sz w:val="20"/>
          <w:szCs w:val="20"/>
        </w:rPr>
        <w:t>kalkulace, návrhu a uzavření pojistné smlouvy, posouzení přijatelnosti do pojištění, správy a ukončení pojistné smlouvy a likvidace pojistných událostí</w:t>
      </w:r>
      <w:r w:rsidRPr="007E383D">
        <w:rPr>
          <w:rFonts w:ascii="Koop Office" w:hAnsi="Koop Office"/>
          <w:sz w:val="20"/>
          <w:szCs w:val="20"/>
        </w:rPr>
        <w:t xml:space="preserve">, když v těchto případech jde o zpracování nezbytné pro </w:t>
      </w:r>
      <w:r w:rsidRPr="007E383D">
        <w:rPr>
          <w:rFonts w:ascii="Koop Office" w:hAnsi="Koop Office"/>
          <w:b/>
          <w:sz w:val="20"/>
          <w:szCs w:val="20"/>
        </w:rPr>
        <w:t>plnění smlouvy</w:t>
      </w:r>
      <w:r w:rsidRPr="007E383D">
        <w:rPr>
          <w:rFonts w:ascii="Koop Office" w:hAnsi="Koop Office"/>
          <w:sz w:val="20"/>
          <w:szCs w:val="20"/>
        </w:rPr>
        <w:t>, a</w:t>
      </w:r>
    </w:p>
    <w:p w14:paraId="076A173D" w14:textId="77777777" w:rsidR="00EE4EA0" w:rsidRPr="007E383D" w:rsidRDefault="00EE4EA0" w:rsidP="00EE4EA0">
      <w:pPr>
        <w:pStyle w:val="odrkadruh"/>
        <w:numPr>
          <w:ilvl w:val="0"/>
          <w:numId w:val="23"/>
        </w:numPr>
        <w:ind w:left="709" w:hanging="283"/>
        <w:rPr>
          <w:rFonts w:ascii="Koop Office" w:hAnsi="Koop Office"/>
          <w:sz w:val="20"/>
          <w:szCs w:val="20"/>
        </w:rPr>
      </w:pPr>
      <w:r w:rsidRPr="007E383D">
        <w:rPr>
          <w:rFonts w:ascii="Koop Office" w:hAnsi="Koop Office"/>
          <w:sz w:val="20"/>
          <w:szCs w:val="20"/>
        </w:rPr>
        <w:t xml:space="preserve">pro účely </w:t>
      </w:r>
      <w:r w:rsidRPr="007E383D">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7E383D">
        <w:rPr>
          <w:rFonts w:ascii="Koop Office" w:hAnsi="Koop Office"/>
          <w:sz w:val="20"/>
          <w:szCs w:val="20"/>
        </w:rPr>
        <w:t xml:space="preserve">, když v těchto případech jde o zpracování založené na základě </w:t>
      </w:r>
      <w:r w:rsidRPr="007E383D">
        <w:rPr>
          <w:rFonts w:ascii="Koop Office" w:hAnsi="Koop Office"/>
          <w:b/>
          <w:sz w:val="20"/>
          <w:szCs w:val="20"/>
        </w:rPr>
        <w:t>oprávněných zájmů</w:t>
      </w:r>
      <w:r w:rsidRPr="007E383D">
        <w:rPr>
          <w:rFonts w:ascii="Koop Office" w:hAnsi="Koop Office"/>
          <w:sz w:val="20"/>
          <w:szCs w:val="20"/>
        </w:rPr>
        <w:t xml:space="preserve"> pojistitele. </w:t>
      </w:r>
      <w:r w:rsidRPr="007E383D">
        <w:rPr>
          <w:rFonts w:ascii="Koop Office" w:hAnsi="Koop Office" w:cs="Calibri"/>
          <w:sz w:val="20"/>
          <w:szCs w:val="20"/>
        </w:rPr>
        <w:t xml:space="preserve">Proti takovému zpracování máte právo kdykoli podat námitku, která může být uplatněna způsobem uvedeným v </w:t>
      </w:r>
      <w:r w:rsidRPr="007E383D">
        <w:rPr>
          <w:rFonts w:ascii="Koop Office" w:hAnsi="Koop Office"/>
          <w:sz w:val="20"/>
          <w:szCs w:val="20"/>
        </w:rPr>
        <w:t>Informacích o zpracování osobních údajů v neživotním pojištění</w:t>
      </w:r>
      <w:r w:rsidRPr="007E383D">
        <w:rPr>
          <w:rFonts w:ascii="Koop Office" w:hAnsi="Koop Office" w:cs="Calibri"/>
          <w:sz w:val="20"/>
          <w:szCs w:val="20"/>
        </w:rPr>
        <w:t>.</w:t>
      </w:r>
    </w:p>
    <w:p w14:paraId="0C0A3A82" w14:textId="77777777" w:rsidR="00EE4EA0" w:rsidRPr="007E383D" w:rsidRDefault="00EE4EA0" w:rsidP="00EE4EA0">
      <w:pPr>
        <w:pStyle w:val="odrka"/>
        <w:numPr>
          <w:ilvl w:val="0"/>
          <w:numId w:val="0"/>
        </w:numPr>
        <w:ind w:left="357"/>
        <w:rPr>
          <w:rFonts w:ascii="Koop Office" w:hAnsi="Koop Office"/>
          <w:b/>
          <w:sz w:val="20"/>
          <w:szCs w:val="20"/>
        </w:rPr>
      </w:pPr>
      <w:r w:rsidRPr="007E383D">
        <w:rPr>
          <w:rFonts w:ascii="Koop Office" w:hAnsi="Koop Office"/>
          <w:b/>
          <w:sz w:val="20"/>
          <w:szCs w:val="20"/>
        </w:rPr>
        <w:t>Zpracování pro účely plnění zákonné povinnosti</w:t>
      </w:r>
    </w:p>
    <w:p w14:paraId="7F733B4E" w14:textId="77777777" w:rsidR="00EE4EA0" w:rsidRPr="007E383D" w:rsidRDefault="00EE4EA0" w:rsidP="00EE4EA0">
      <w:pPr>
        <w:pStyle w:val="slovn"/>
        <w:numPr>
          <w:ilvl w:val="0"/>
          <w:numId w:val="0"/>
        </w:numPr>
        <w:ind w:left="357"/>
        <w:rPr>
          <w:rFonts w:ascii="Koop Office" w:hAnsi="Koop Office"/>
          <w:sz w:val="20"/>
        </w:rPr>
      </w:pPr>
      <w:r w:rsidRPr="007E383D">
        <w:rPr>
          <w:rFonts w:ascii="Koop Office" w:hAnsi="Koop Office"/>
          <w:sz w:val="20"/>
        </w:rPr>
        <w:t xml:space="preserve">Pojistník bere na vědomí, že jeho identifikační a kontaktní údaje a údaje pro ocenění rizika při vstupu do pojištění pojistitel dále zpracovává ke </w:t>
      </w:r>
      <w:r w:rsidRPr="007E383D">
        <w:rPr>
          <w:rFonts w:ascii="Koop Office" w:hAnsi="Koop Office"/>
          <w:b/>
          <w:sz w:val="20"/>
        </w:rPr>
        <w:t>splnění své zákonné povinnosti</w:t>
      </w:r>
      <w:r w:rsidRPr="007E383D">
        <w:rPr>
          <w:rFonts w:ascii="Koop Office" w:hAnsi="Koop Office"/>
          <w:sz w:val="20"/>
        </w:rPr>
        <w:t xml:space="preserve"> vyplývající zejména ze zákona upravujícího distribuci pojištění a zákona č. 69/2006 Sb., o provádění mezinárodních sankcí.</w:t>
      </w:r>
    </w:p>
    <w:p w14:paraId="02B71461" w14:textId="77777777" w:rsidR="00EE4EA0" w:rsidRPr="007E383D" w:rsidRDefault="00EE4EA0" w:rsidP="00EE4EA0">
      <w:pPr>
        <w:pStyle w:val="slovn-rove1-netunb"/>
        <w:numPr>
          <w:ilvl w:val="1"/>
          <w:numId w:val="19"/>
        </w:numPr>
        <w:rPr>
          <w:b/>
        </w:rPr>
      </w:pPr>
      <w:r w:rsidRPr="007E383D">
        <w:rPr>
          <w:b/>
        </w:rPr>
        <w:t>POVINNOST POJISTNÍKA INFORMOVAT TŘETÍ OSOBY</w:t>
      </w:r>
    </w:p>
    <w:p w14:paraId="44957639" w14:textId="77777777" w:rsidR="00EE4EA0" w:rsidRPr="007E383D" w:rsidRDefault="00EE4EA0" w:rsidP="00EE4EA0">
      <w:pPr>
        <w:pStyle w:val="slovn"/>
        <w:numPr>
          <w:ilvl w:val="0"/>
          <w:numId w:val="0"/>
        </w:numPr>
        <w:ind w:left="425"/>
        <w:rPr>
          <w:rFonts w:ascii="Koop Office" w:hAnsi="Koop Office"/>
          <w:sz w:val="20"/>
        </w:rPr>
      </w:pPr>
      <w:r w:rsidRPr="007E383D">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34E55043" w14:textId="77777777" w:rsidR="00EE4EA0" w:rsidRPr="007E383D" w:rsidRDefault="00EE4EA0" w:rsidP="00EE4EA0">
      <w:pPr>
        <w:pStyle w:val="slovn-rove1-netunb"/>
        <w:numPr>
          <w:ilvl w:val="1"/>
          <w:numId w:val="19"/>
        </w:numPr>
        <w:rPr>
          <w:b/>
        </w:rPr>
      </w:pPr>
      <w:r w:rsidRPr="007E383D">
        <w:rPr>
          <w:b/>
        </w:rPr>
        <w:t xml:space="preserve">INFORMACE O ZPRACOVÁNÍ OSOBNÍCH ÚDAJŮ ZÁSTUPCE POJISTNÍKA </w:t>
      </w:r>
    </w:p>
    <w:p w14:paraId="5C44E5DE" w14:textId="77777777" w:rsidR="00EE4EA0" w:rsidRPr="007E383D" w:rsidRDefault="00EE4EA0" w:rsidP="00EE4EA0">
      <w:pPr>
        <w:pStyle w:val="slovn"/>
        <w:numPr>
          <w:ilvl w:val="0"/>
          <w:numId w:val="0"/>
        </w:numPr>
        <w:ind w:left="425"/>
        <w:rPr>
          <w:rFonts w:ascii="Koop Office" w:hAnsi="Koop Office" w:cs="Calibri"/>
          <w:sz w:val="20"/>
        </w:rPr>
      </w:pPr>
      <w:r w:rsidRPr="007E383D">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7E383D">
        <w:rPr>
          <w:rFonts w:ascii="Koop Office" w:hAnsi="Koop Office"/>
          <w:b/>
          <w:bCs/>
          <w:sz w:val="20"/>
        </w:rPr>
        <w:t>oprávněného zájmu</w:t>
      </w:r>
      <w:r w:rsidRPr="007E383D">
        <w:rPr>
          <w:rFonts w:ascii="Koop Office" w:hAnsi="Koop Office"/>
          <w:sz w:val="20"/>
        </w:rPr>
        <w:t xml:space="preserve"> pro účely</w:t>
      </w:r>
      <w:r w:rsidRPr="007E383D">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7E383D">
        <w:rPr>
          <w:rFonts w:ascii="Koop Office" w:hAnsi="Koop Office"/>
          <w:sz w:val="20"/>
        </w:rPr>
        <w:t xml:space="preserve">. </w:t>
      </w:r>
      <w:r w:rsidRPr="007E383D">
        <w:rPr>
          <w:rFonts w:ascii="Koop Office" w:hAnsi="Koop Office" w:cs="Calibri"/>
          <w:sz w:val="20"/>
        </w:rPr>
        <w:t>Proti takovému zpracování má taková osoba právo kdykoli podat námitku, která může být uplatněna způsobem uvedeným v</w:t>
      </w:r>
      <w:r w:rsidRPr="007E383D">
        <w:rPr>
          <w:rFonts w:ascii="Koop Office" w:hAnsi="Koop Office"/>
          <w:sz w:val="20"/>
        </w:rPr>
        <w:t xml:space="preserve"> Informacích o zpracování osobních údajů v neživotním pojištění</w:t>
      </w:r>
      <w:r w:rsidRPr="007E383D">
        <w:rPr>
          <w:rFonts w:ascii="Koop Office" w:hAnsi="Koop Office" w:cs="Calibri"/>
          <w:sz w:val="20"/>
        </w:rPr>
        <w:t>.</w:t>
      </w:r>
    </w:p>
    <w:p w14:paraId="5A335315" w14:textId="77777777" w:rsidR="00EE4EA0" w:rsidRPr="007E383D" w:rsidRDefault="00EE4EA0" w:rsidP="00EE4EA0">
      <w:pPr>
        <w:pStyle w:val="slovn"/>
        <w:numPr>
          <w:ilvl w:val="0"/>
          <w:numId w:val="0"/>
        </w:numPr>
        <w:ind w:firstLine="425"/>
        <w:rPr>
          <w:rFonts w:ascii="Koop Office" w:hAnsi="Koop Office"/>
          <w:sz w:val="20"/>
        </w:rPr>
      </w:pPr>
      <w:r w:rsidRPr="007E383D">
        <w:rPr>
          <w:rFonts w:ascii="Koop Office" w:hAnsi="Koop Office"/>
          <w:b/>
          <w:sz w:val="20"/>
        </w:rPr>
        <w:t>Zpracování pro účely plnění zákonné povinnosti</w:t>
      </w:r>
    </w:p>
    <w:p w14:paraId="7E0739DF" w14:textId="77777777" w:rsidR="00EE4EA0" w:rsidRPr="007E383D" w:rsidRDefault="00EE4EA0" w:rsidP="00EE4EA0">
      <w:pPr>
        <w:pStyle w:val="slovn"/>
        <w:numPr>
          <w:ilvl w:val="0"/>
          <w:numId w:val="0"/>
        </w:numPr>
        <w:ind w:left="425"/>
        <w:rPr>
          <w:rFonts w:ascii="Koop Office" w:hAnsi="Koop Office"/>
          <w:sz w:val="20"/>
        </w:rPr>
      </w:pPr>
      <w:r w:rsidRPr="007E383D">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7E383D">
        <w:rPr>
          <w:rFonts w:ascii="Koop Office" w:hAnsi="Koop Office"/>
          <w:b/>
          <w:sz w:val="20"/>
        </w:rPr>
        <w:t>splnění své zákonné povinnosti</w:t>
      </w:r>
      <w:r w:rsidRPr="007E383D">
        <w:rPr>
          <w:rFonts w:ascii="Koop Office" w:hAnsi="Koop Office"/>
          <w:sz w:val="20"/>
        </w:rPr>
        <w:t xml:space="preserve"> vyplývající zejména ze zákona upravujícího distribuci pojištění a zákona č. 69/2006 Sb., o provádění mezinárodních sankcí.</w:t>
      </w:r>
    </w:p>
    <w:p w14:paraId="764419C4" w14:textId="77777777" w:rsidR="00EE4EA0" w:rsidRPr="007E383D" w:rsidRDefault="00EE4EA0" w:rsidP="000239FC">
      <w:pPr>
        <w:pStyle w:val="slovn-rove1-netunb"/>
        <w:numPr>
          <w:ilvl w:val="0"/>
          <w:numId w:val="0"/>
        </w:numPr>
        <w:ind w:left="425"/>
      </w:pPr>
      <w:r w:rsidRPr="007E383D">
        <w:rPr>
          <w:rFonts w:cs="Calibri"/>
          <w:b/>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7631991E" w14:textId="2D9D7ADA" w:rsidR="006368D9" w:rsidRPr="007E383D" w:rsidRDefault="00AE1F2B" w:rsidP="00EE4EA0">
      <w:pPr>
        <w:pStyle w:val="Nadpislnk"/>
        <w:rPr>
          <w:rFonts w:cs="Arial"/>
          <w:b w:val="0"/>
        </w:rPr>
      </w:pPr>
      <w:r w:rsidRPr="007E383D">
        <w:rPr>
          <w:rFonts w:cs="Arial"/>
        </w:rPr>
        <w:t xml:space="preserve">Článek </w:t>
      </w:r>
      <w:r w:rsidR="00A35B21" w:rsidRPr="007E383D">
        <w:rPr>
          <w:rFonts w:cs="Arial"/>
        </w:rPr>
        <w:t>VIII</w:t>
      </w:r>
      <w:r w:rsidR="00D7357B" w:rsidRPr="007E383D">
        <w:rPr>
          <w:rFonts w:cs="Arial"/>
        </w:rPr>
        <w:t>.</w:t>
      </w:r>
    </w:p>
    <w:p w14:paraId="67CC0F87" w14:textId="77777777" w:rsidR="006368D9" w:rsidRPr="007E383D" w:rsidRDefault="00D7357B" w:rsidP="00282B75">
      <w:pPr>
        <w:pStyle w:val="Zkladntext32"/>
        <w:widowControl w:val="0"/>
        <w:numPr>
          <w:ilvl w:val="12"/>
          <w:numId w:val="0"/>
        </w:numPr>
        <w:tabs>
          <w:tab w:val="clear" w:pos="-720"/>
          <w:tab w:val="left" w:pos="-1701"/>
        </w:tabs>
        <w:spacing w:line="240" w:lineRule="auto"/>
        <w:jc w:val="center"/>
        <w:rPr>
          <w:rFonts w:ascii="Koop Office" w:hAnsi="Koop Office" w:cs="Arial"/>
          <w:b/>
          <w:sz w:val="24"/>
          <w:szCs w:val="24"/>
        </w:rPr>
      </w:pPr>
      <w:r w:rsidRPr="007E383D">
        <w:rPr>
          <w:rFonts w:ascii="Koop Office" w:hAnsi="Koop Office" w:cs="Arial"/>
          <w:b/>
          <w:sz w:val="24"/>
          <w:szCs w:val="24"/>
        </w:rPr>
        <w:t>Závěrečná ustanovení</w:t>
      </w:r>
    </w:p>
    <w:p w14:paraId="4BBF6403" w14:textId="30461CFF" w:rsidR="00FE396E" w:rsidRPr="007E383D" w:rsidRDefault="00881744" w:rsidP="005F4D0C">
      <w:pPr>
        <w:pStyle w:val="slovn-rove1-netunb"/>
        <w:numPr>
          <w:ilvl w:val="0"/>
          <w:numId w:val="15"/>
        </w:numPr>
        <w:spacing w:after="0"/>
      </w:pPr>
      <w:r w:rsidRPr="007E383D">
        <w:rPr>
          <w:rFonts w:cs="Arial"/>
        </w:rPr>
        <w:t xml:space="preserve">Není-li ujednáno jinak, </w:t>
      </w:r>
      <w:r w:rsidR="00FE396E" w:rsidRPr="007E383D">
        <w:t xml:space="preserve">je počátek pojištění je stanoven na </w:t>
      </w:r>
      <w:r w:rsidR="002B2C04" w:rsidRPr="007E383D">
        <w:rPr>
          <w:b/>
          <w:bCs/>
        </w:rPr>
        <w:t>0</w:t>
      </w:r>
      <w:r w:rsidR="00FE396E" w:rsidRPr="007E383D">
        <w:rPr>
          <w:b/>
        </w:rPr>
        <w:t>1. </w:t>
      </w:r>
      <w:r w:rsidR="002B2C04" w:rsidRPr="007E383D">
        <w:rPr>
          <w:b/>
        </w:rPr>
        <w:t>01.</w:t>
      </w:r>
      <w:r w:rsidR="00FE396E" w:rsidRPr="007E383D">
        <w:rPr>
          <w:b/>
        </w:rPr>
        <w:t> 2023</w:t>
      </w:r>
      <w:r w:rsidR="00465EFD" w:rsidRPr="007E383D">
        <w:rPr>
          <w:b/>
        </w:rPr>
        <w:t xml:space="preserve"> </w:t>
      </w:r>
      <w:r w:rsidR="002B2C04" w:rsidRPr="007E383D">
        <w:rPr>
          <w:b/>
        </w:rPr>
        <w:t>00:00 hod.</w:t>
      </w:r>
      <w:r w:rsidR="00FE396E" w:rsidRPr="007E383D">
        <w:t xml:space="preserve"> a pojištění se sjednává na dobu neurčitou. Pojistným obdobím je jeden kalendářní rok. Výročním dnem v každém pojistném roce je </w:t>
      </w:r>
      <w:r w:rsidR="00AA38A1" w:rsidRPr="007E383D">
        <w:t>0</w:t>
      </w:r>
      <w:r w:rsidR="00FE396E" w:rsidRPr="007E383D">
        <w:t>1.</w:t>
      </w:r>
      <w:r w:rsidR="00AA38A1" w:rsidRPr="007E383D">
        <w:t>0</w:t>
      </w:r>
      <w:r w:rsidR="00FE396E" w:rsidRPr="007E383D">
        <w:t>1.</w:t>
      </w:r>
    </w:p>
    <w:p w14:paraId="1A7CAE8C" w14:textId="2469E6E4" w:rsidR="00881744" w:rsidRPr="007E383D" w:rsidRDefault="00590823" w:rsidP="005F4D0C">
      <w:pPr>
        <w:widowControl w:val="0"/>
        <w:tabs>
          <w:tab w:val="left" w:pos="-1418"/>
        </w:tabs>
        <w:spacing w:before="120"/>
        <w:ind w:left="425"/>
        <w:jc w:val="both"/>
        <w:rPr>
          <w:rFonts w:cs="Arial"/>
          <w:sz w:val="20"/>
        </w:rPr>
      </w:pPr>
      <w:r w:rsidRPr="007E383D">
        <w:rPr>
          <w:rFonts w:cs="Arial"/>
          <w:sz w:val="20"/>
        </w:rPr>
        <w:t>Čtvrté</w:t>
      </w:r>
      <w:r w:rsidR="000B4166" w:rsidRPr="007E383D">
        <w:rPr>
          <w:rFonts w:cs="Arial"/>
          <w:sz w:val="20"/>
        </w:rPr>
        <w:t xml:space="preserve"> </w:t>
      </w:r>
      <w:r w:rsidR="001A1B1C" w:rsidRPr="007E383D">
        <w:rPr>
          <w:rFonts w:cs="Arial"/>
          <w:sz w:val="20"/>
        </w:rPr>
        <w:t>pojistné období</w:t>
      </w:r>
      <w:r w:rsidR="00881744" w:rsidRPr="007E383D">
        <w:rPr>
          <w:rFonts w:cs="Arial"/>
          <w:sz w:val="20"/>
        </w:rPr>
        <w:t xml:space="preserve"> </w:t>
      </w:r>
      <w:r w:rsidR="00C26002" w:rsidRPr="007E383D">
        <w:rPr>
          <w:rFonts w:cs="Arial"/>
          <w:sz w:val="20"/>
        </w:rPr>
        <w:t xml:space="preserve">je </w:t>
      </w:r>
      <w:r w:rsidR="00881744" w:rsidRPr="007E383D">
        <w:rPr>
          <w:rFonts w:cs="Arial"/>
          <w:sz w:val="20"/>
        </w:rPr>
        <w:t xml:space="preserve">od </w:t>
      </w:r>
      <w:r w:rsidR="00881744" w:rsidRPr="007E383D">
        <w:rPr>
          <w:rFonts w:cs="Arial"/>
          <w:b/>
          <w:sz w:val="20"/>
        </w:rPr>
        <w:t>01. 01. 20</w:t>
      </w:r>
      <w:r w:rsidR="00A14BA9" w:rsidRPr="007E383D">
        <w:rPr>
          <w:rFonts w:cs="Arial"/>
          <w:b/>
          <w:sz w:val="20"/>
        </w:rPr>
        <w:t>2</w:t>
      </w:r>
      <w:r w:rsidRPr="007E383D">
        <w:rPr>
          <w:rFonts w:cs="Arial"/>
          <w:b/>
          <w:sz w:val="20"/>
        </w:rPr>
        <w:t>6</w:t>
      </w:r>
      <w:r w:rsidR="00881744" w:rsidRPr="007E383D">
        <w:rPr>
          <w:rFonts w:cs="Arial"/>
          <w:sz w:val="20"/>
        </w:rPr>
        <w:t xml:space="preserve"> do </w:t>
      </w:r>
      <w:r w:rsidR="00881744" w:rsidRPr="007E383D">
        <w:rPr>
          <w:rFonts w:cs="Arial"/>
          <w:b/>
          <w:sz w:val="20"/>
        </w:rPr>
        <w:t>31. 12. 20</w:t>
      </w:r>
      <w:r w:rsidR="00897461" w:rsidRPr="007E383D">
        <w:rPr>
          <w:rFonts w:cs="Arial"/>
          <w:b/>
          <w:sz w:val="20"/>
        </w:rPr>
        <w:t>2</w:t>
      </w:r>
      <w:r w:rsidR="00126A19" w:rsidRPr="007E383D">
        <w:rPr>
          <w:rFonts w:cs="Arial"/>
          <w:b/>
          <w:sz w:val="20"/>
        </w:rPr>
        <w:t>6</w:t>
      </w:r>
      <w:r w:rsidR="00816FE3" w:rsidRPr="007E383D">
        <w:rPr>
          <w:rFonts w:cs="Arial"/>
          <w:sz w:val="20"/>
        </w:rPr>
        <w:t>.</w:t>
      </w:r>
    </w:p>
    <w:p w14:paraId="649DA87E" w14:textId="62EFF26D" w:rsidR="00654C7C" w:rsidRPr="007E383D" w:rsidRDefault="00654C7C" w:rsidP="00654C7C">
      <w:pPr>
        <w:widowControl w:val="0"/>
        <w:tabs>
          <w:tab w:val="left" w:pos="-1418"/>
        </w:tabs>
        <w:spacing w:before="60"/>
        <w:ind w:left="425"/>
        <w:jc w:val="both"/>
        <w:rPr>
          <w:rFonts w:cs="Arial"/>
          <w:sz w:val="20"/>
        </w:rPr>
      </w:pPr>
      <w:r w:rsidRPr="007E383D">
        <w:rPr>
          <w:rFonts w:cs="Arial"/>
          <w:sz w:val="20"/>
        </w:rPr>
        <w:t xml:space="preserve">Počátek změn provedených tímto dodatkem je </w:t>
      </w:r>
      <w:r w:rsidRPr="007E383D">
        <w:rPr>
          <w:rFonts w:cs="Arial"/>
          <w:b/>
          <w:bCs/>
          <w:sz w:val="20"/>
        </w:rPr>
        <w:t>01. 01. 202</w:t>
      </w:r>
      <w:r w:rsidR="00126A19" w:rsidRPr="007E383D">
        <w:rPr>
          <w:rFonts w:cs="Arial"/>
          <w:b/>
          <w:bCs/>
          <w:sz w:val="20"/>
        </w:rPr>
        <w:t>6</w:t>
      </w:r>
      <w:r w:rsidRPr="007E383D">
        <w:rPr>
          <w:rFonts w:cs="Arial"/>
          <w:b/>
          <w:bCs/>
          <w:sz w:val="20"/>
        </w:rPr>
        <w:t>.</w:t>
      </w:r>
    </w:p>
    <w:p w14:paraId="21B55231" w14:textId="77777777" w:rsidR="00004DDB" w:rsidRPr="007E383D" w:rsidRDefault="00004DDB" w:rsidP="008E14BD">
      <w:pPr>
        <w:pStyle w:val="slovn-rove1-netunb"/>
        <w:numPr>
          <w:ilvl w:val="0"/>
          <w:numId w:val="0"/>
        </w:numPr>
        <w:spacing w:after="0"/>
        <w:ind w:left="425"/>
      </w:pPr>
      <w:r w:rsidRPr="007E383D">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p w14:paraId="05612A2D" w14:textId="4D41C5BD" w:rsidR="006D4CEB" w:rsidRPr="007E383D" w:rsidRDefault="00897878" w:rsidP="008E14BD">
      <w:pPr>
        <w:pStyle w:val="slovn-rove1-netunb"/>
        <w:numPr>
          <w:ilvl w:val="0"/>
          <w:numId w:val="0"/>
        </w:numPr>
        <w:spacing w:after="0"/>
        <w:ind w:left="425"/>
      </w:pPr>
      <w:r w:rsidRPr="007E383D">
        <w:lastRenderedPageBreak/>
        <w:t>Pojistitel může pojistnou smlouvu</w:t>
      </w:r>
      <w:r w:rsidR="00301304" w:rsidRPr="007E383D">
        <w:t>/</w:t>
      </w:r>
      <w:r w:rsidR="00F609BA" w:rsidRPr="007E383D">
        <w:t>dodatek k této pojistné smlouvě</w:t>
      </w:r>
      <w:r w:rsidRPr="007E383D">
        <w:t xml:space="preserve"> vypovědět k datu výročí každého pojistného období</w:t>
      </w:r>
      <w:r w:rsidR="00AA48D7" w:rsidRPr="007E383D">
        <w:t xml:space="preserve">, </w:t>
      </w:r>
      <w:r w:rsidR="00F132AE" w:rsidRPr="007E383D">
        <w:t>výpovědní lhůta ze strany pojistitele</w:t>
      </w:r>
      <w:r w:rsidR="00CF7661" w:rsidRPr="007E383D">
        <w:t xml:space="preserve"> bude v každém případě činit minimálně</w:t>
      </w:r>
      <w:r w:rsidR="00A459AC" w:rsidRPr="007E383D">
        <w:t xml:space="preserve"> 2</w:t>
      </w:r>
      <w:r w:rsidR="006D4CEB" w:rsidRPr="007E383D">
        <w:t xml:space="preserve"> měsíc</w:t>
      </w:r>
      <w:r w:rsidR="00A459AC" w:rsidRPr="007E383D">
        <w:t>e</w:t>
      </w:r>
      <w:r w:rsidR="00D3440A" w:rsidRPr="007E383D">
        <w:t>.</w:t>
      </w:r>
      <w:r w:rsidR="006D4CEB" w:rsidRPr="007E383D">
        <w:t xml:space="preserve"> Pojistník může </w:t>
      </w:r>
      <w:r w:rsidR="002B43ED" w:rsidRPr="007E383D">
        <w:t xml:space="preserve">pojistnou smlouvu/dodatek k této pojistné smlouvě </w:t>
      </w:r>
      <w:r w:rsidR="006D4CEB" w:rsidRPr="007E383D">
        <w:t>vypovědět k datu výročí každého pojistného období v souladu s §2807 a souvisejícími zákona č. 89/2012 Sb., občanský zákoník, v platném znění.</w:t>
      </w:r>
    </w:p>
    <w:p w14:paraId="66CA3424" w14:textId="77777777" w:rsidR="00F22133" w:rsidRPr="007E383D" w:rsidRDefault="00F22133" w:rsidP="00F22133">
      <w:pPr>
        <w:pStyle w:val="slovn-rove1-netunb"/>
        <w:numPr>
          <w:ilvl w:val="0"/>
          <w:numId w:val="15"/>
        </w:numPr>
        <w:spacing w:after="0"/>
      </w:pPr>
      <w:r w:rsidRPr="007E383D">
        <w:t>Odpověď pojistníka na návrh pojistitele na uzavření tohoto dodatku (dále jen „</w:t>
      </w:r>
      <w:r w:rsidRPr="007E383D">
        <w:rPr>
          <w:b/>
        </w:rPr>
        <w:t>nabídka</w:t>
      </w:r>
      <w:r w:rsidRPr="007E383D">
        <w:t>“) s dodatkem nebo odchylkou od nabídky se nepovažuje za její přijetí, a to ani v případě, že se takovou odchylkou podstatně nemění podmínky nabídky.</w:t>
      </w:r>
    </w:p>
    <w:p w14:paraId="633676D9" w14:textId="77777777" w:rsidR="00D6072B" w:rsidRPr="007E383D" w:rsidRDefault="00D6072B" w:rsidP="00D6072B">
      <w:pPr>
        <w:pStyle w:val="slovn-rove1-netunb"/>
        <w:numPr>
          <w:ilvl w:val="0"/>
          <w:numId w:val="15"/>
        </w:numPr>
        <w:spacing w:after="0"/>
      </w:pPr>
      <w:bookmarkStart w:id="20" w:name="_Hlk35256917"/>
      <w:r w:rsidRPr="007E383D">
        <w:t>Ujednává se, že tento dodatek musí být uzavřen pouze v písemné formě, a to i v případě, že je pojištění tímto dodatkem ujednáno na pojistnou dobu kratší než jeden rok. Tento dodatek může být měněn pouze písemnou formou.</w:t>
      </w:r>
    </w:p>
    <w:bookmarkEnd w:id="20"/>
    <w:p w14:paraId="4AA6B64C" w14:textId="7ABA63B9" w:rsidR="00631AA7" w:rsidRPr="007E383D" w:rsidRDefault="00631AA7" w:rsidP="00631AA7">
      <w:pPr>
        <w:pStyle w:val="slovn-rove1-netunb"/>
        <w:numPr>
          <w:ilvl w:val="0"/>
          <w:numId w:val="15"/>
        </w:numPr>
        <w:spacing w:after="0"/>
        <w:rPr>
          <w:b/>
          <w:bCs/>
        </w:rPr>
      </w:pPr>
      <w:r w:rsidRPr="007E383D">
        <w:rPr>
          <w:b/>
          <w:bCs/>
        </w:rPr>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7E383D">
        <w:t>ve smyslu zákona č. 297/2016 Sb., o službách vytvářejících důvěru pro elektronické transakce,</w:t>
      </w:r>
      <w:r w:rsidRPr="007E383D">
        <w:rPr>
          <w:b/>
          <w:bCs/>
        </w:rPr>
        <w:t xml:space="preserve"> a nezaplatí-li tímto dodatkem předepsané jednorázové pojistné nebo běžné pojistné za tímto dodatkem sjednané první pojistné období řádně a včas, tento dodatek se od počátku ruší.</w:t>
      </w:r>
    </w:p>
    <w:p w14:paraId="61DC1BA4" w14:textId="5EF7FD9F" w:rsidR="00881744" w:rsidRPr="007E383D" w:rsidRDefault="00D40A2C">
      <w:pPr>
        <w:pStyle w:val="slovn-rove1-netunb"/>
        <w:widowControl w:val="0"/>
        <w:numPr>
          <w:ilvl w:val="0"/>
          <w:numId w:val="15"/>
        </w:numPr>
        <w:tabs>
          <w:tab w:val="left" w:pos="-1418"/>
        </w:tabs>
        <w:rPr>
          <w:rFonts w:cs="Arial"/>
        </w:rPr>
      </w:pPr>
      <w:r w:rsidRPr="007E383D">
        <w:t xml:space="preserve">Subjektem věcně příslušným k mimosoudnímu řešení spotřebitelských sporů z tohoto pojištění je Česká obchodní inspekce, Štěpánská 567/15, 120 00 Praha 2, www.coi.cz, a Kancelář ombudsmana České asociace pojišťoven </w:t>
      </w:r>
      <w:proofErr w:type="spellStart"/>
      <w:r w:rsidRPr="007E383D">
        <w:t>z.ú</w:t>
      </w:r>
      <w:proofErr w:type="spellEnd"/>
      <w:r w:rsidRPr="007E383D">
        <w:t>., Elišky Krásnohorské 135/7, 110 00 Praha 1, www.ombudsmancap.cz.</w:t>
      </w:r>
    </w:p>
    <w:p w14:paraId="3BBB701E" w14:textId="77777777" w:rsidR="00B46646" w:rsidRPr="007E383D" w:rsidRDefault="00B46646" w:rsidP="00226E44">
      <w:pPr>
        <w:pStyle w:val="slovn-rove1-netunb"/>
        <w:numPr>
          <w:ilvl w:val="0"/>
          <w:numId w:val="15"/>
        </w:numPr>
        <w:spacing w:after="0"/>
      </w:pPr>
      <w:r w:rsidRPr="007E383D">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7E383D">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p>
    <w:p w14:paraId="1BA94562" w14:textId="3483B4CA" w:rsidR="00226E44" w:rsidRPr="007E383D" w:rsidRDefault="00226E44" w:rsidP="00226E44">
      <w:pPr>
        <w:pStyle w:val="slovn-rove1-netunb"/>
        <w:numPr>
          <w:ilvl w:val="0"/>
          <w:numId w:val="15"/>
        </w:numPr>
        <w:spacing w:after="0"/>
      </w:pPr>
      <w:r w:rsidRPr="007E383D">
        <w:t>Pojistník, pojistitel</w:t>
      </w:r>
      <w:r w:rsidR="00503446" w:rsidRPr="007E383D">
        <w:t xml:space="preserve"> </w:t>
      </w:r>
      <w:r w:rsidRPr="007E383D">
        <w:t>a samostatný zprostředkovatel v postavení pojišťovacího makléře</w:t>
      </w:r>
      <w:r w:rsidRPr="007E383D">
        <w:rPr>
          <w:b/>
          <w:color w:val="FF00FF"/>
        </w:rPr>
        <w:t xml:space="preserve"> </w:t>
      </w:r>
      <w:r w:rsidRPr="007E383D">
        <w:t>obdrží originál t</w:t>
      </w:r>
      <w:r w:rsidR="00D3783A" w:rsidRPr="007E383D">
        <w:t>ohoto dodatku</w:t>
      </w:r>
      <w:r w:rsidRPr="007E383D">
        <w:t>.</w:t>
      </w:r>
      <w:r w:rsidRPr="007E383D">
        <w:rPr>
          <w:bCs/>
          <w:color w:val="FF00FF"/>
        </w:rPr>
        <w:t xml:space="preserve"> </w:t>
      </w:r>
    </w:p>
    <w:p w14:paraId="66E1EEBD" w14:textId="665507F4" w:rsidR="00523DB1" w:rsidRPr="007E383D" w:rsidRDefault="00523DB1" w:rsidP="00523DB1">
      <w:pPr>
        <w:pStyle w:val="slovn-rove1-netunb"/>
        <w:numPr>
          <w:ilvl w:val="0"/>
          <w:numId w:val="15"/>
        </w:numPr>
        <w:spacing w:after="0"/>
        <w:rPr>
          <w:bCs/>
          <w:color w:val="FF00FF"/>
        </w:rPr>
      </w:pPr>
      <w:r w:rsidRPr="007E383D">
        <w:rPr>
          <w:rFonts w:cs="Arial"/>
        </w:rPr>
        <w:t xml:space="preserve">Tento dodatek obsahuje </w:t>
      </w:r>
      <w:r w:rsidR="0028115C" w:rsidRPr="007E383D">
        <w:rPr>
          <w:rFonts w:cs="Arial"/>
        </w:rPr>
        <w:t>1</w:t>
      </w:r>
      <w:r w:rsidR="00F629CC" w:rsidRPr="007E383D">
        <w:rPr>
          <w:rFonts w:cs="Arial"/>
        </w:rPr>
        <w:t>0</w:t>
      </w:r>
      <w:r w:rsidRPr="007E383D">
        <w:rPr>
          <w:rFonts w:cs="Arial"/>
        </w:rPr>
        <w:t xml:space="preserve"> stran, k pojistné smlouvě ve znění tohoto dodatku náleží jedna příloha, která není přiložena k tomuto dodatku, neboť byla již součástí původní pojistné smlouvy. Součástí pojistné smlouvy ve znění tohoto dodatku jsou pojistné podmínky pojistitele uvedené v čl. I. této pojistné smlouvy ve znění tohoto dodatku.</w:t>
      </w:r>
    </w:p>
    <w:p w14:paraId="4A122A0B" w14:textId="77777777" w:rsidR="00DB55EE" w:rsidRPr="007E383D" w:rsidRDefault="00DB55EE" w:rsidP="00DB55EE">
      <w:pPr>
        <w:pStyle w:val="slovn-rove1-netunb"/>
        <w:numPr>
          <w:ilvl w:val="0"/>
          <w:numId w:val="0"/>
        </w:numPr>
        <w:spacing w:after="0"/>
        <w:ind w:left="425"/>
        <w:rPr>
          <w:bCs/>
          <w:color w:val="FF00FF"/>
        </w:rPr>
      </w:pPr>
    </w:p>
    <w:p w14:paraId="1635CFF6" w14:textId="77777777" w:rsidR="00B27FC0" w:rsidRPr="007E383D" w:rsidRDefault="00B27FC0" w:rsidP="00B27FC0">
      <w:pPr>
        <w:keepNext/>
        <w:tabs>
          <w:tab w:val="left" w:pos="-720"/>
        </w:tabs>
        <w:ind w:left="1701" w:hanging="1701"/>
        <w:jc w:val="both"/>
        <w:rPr>
          <w:sz w:val="20"/>
          <w:szCs w:val="20"/>
        </w:rPr>
      </w:pPr>
      <w:r w:rsidRPr="007E383D">
        <w:rPr>
          <w:sz w:val="20"/>
          <w:szCs w:val="20"/>
        </w:rPr>
        <w:t xml:space="preserve">        </w:t>
      </w:r>
      <w:r w:rsidR="00587B7B" w:rsidRPr="007E383D">
        <w:rPr>
          <w:sz w:val="20"/>
          <w:szCs w:val="20"/>
        </w:rPr>
        <w:t>Výčet příloh:</w:t>
      </w:r>
      <w:r w:rsidR="00587B7B" w:rsidRPr="007E383D">
        <w:rPr>
          <w:sz w:val="20"/>
          <w:szCs w:val="20"/>
        </w:rPr>
        <w:tab/>
      </w:r>
    </w:p>
    <w:p w14:paraId="6CD2F022" w14:textId="54E7D9C9" w:rsidR="005D1089" w:rsidRPr="007E383D" w:rsidRDefault="00587B7B" w:rsidP="00B27FC0">
      <w:pPr>
        <w:keepNext/>
        <w:tabs>
          <w:tab w:val="left" w:pos="-720"/>
        </w:tabs>
        <w:ind w:left="1701" w:hanging="1275"/>
        <w:jc w:val="both"/>
        <w:rPr>
          <w:sz w:val="20"/>
          <w:szCs w:val="20"/>
        </w:rPr>
      </w:pPr>
      <w:r w:rsidRPr="007E383D">
        <w:rPr>
          <w:sz w:val="20"/>
          <w:szCs w:val="20"/>
        </w:rPr>
        <w:t>P</w:t>
      </w:r>
      <w:r w:rsidR="005D1089" w:rsidRPr="007E383D">
        <w:rPr>
          <w:sz w:val="20"/>
          <w:szCs w:val="20"/>
        </w:rPr>
        <w:t xml:space="preserve">říloha č. </w:t>
      </w:r>
      <w:r w:rsidR="007F1294" w:rsidRPr="007E383D">
        <w:rPr>
          <w:sz w:val="20"/>
          <w:szCs w:val="20"/>
        </w:rPr>
        <w:t>1</w:t>
      </w:r>
      <w:r w:rsidR="005D1089" w:rsidRPr="007E383D">
        <w:rPr>
          <w:sz w:val="20"/>
          <w:szCs w:val="20"/>
        </w:rPr>
        <w:t xml:space="preserve"> </w:t>
      </w:r>
      <w:r w:rsidR="001B0AF8" w:rsidRPr="007E383D">
        <w:rPr>
          <w:sz w:val="20"/>
          <w:szCs w:val="20"/>
        </w:rPr>
        <w:t>–</w:t>
      </w:r>
      <w:r w:rsidR="005D1089" w:rsidRPr="007E383D">
        <w:rPr>
          <w:sz w:val="20"/>
          <w:szCs w:val="20"/>
        </w:rPr>
        <w:t xml:space="preserve"> </w:t>
      </w:r>
      <w:r w:rsidR="00B27FC0" w:rsidRPr="007E383D">
        <w:rPr>
          <w:sz w:val="20"/>
          <w:szCs w:val="20"/>
        </w:rPr>
        <w:t>P</w:t>
      </w:r>
      <w:r w:rsidR="00205AF2" w:rsidRPr="007E383D">
        <w:rPr>
          <w:sz w:val="20"/>
          <w:szCs w:val="20"/>
        </w:rPr>
        <w:t>ojistné podmínky</w:t>
      </w:r>
      <w:r w:rsidR="00654960" w:rsidRPr="007E383D">
        <w:rPr>
          <w:sz w:val="20"/>
          <w:szCs w:val="20"/>
        </w:rPr>
        <w:t xml:space="preserve"> a smluvní ujednání pro pojištění terorismu</w:t>
      </w:r>
      <w:r w:rsidR="00205AF2" w:rsidRPr="007E383D">
        <w:rPr>
          <w:sz w:val="20"/>
          <w:szCs w:val="20"/>
        </w:rPr>
        <w:t xml:space="preserve"> uvedeny v čl</w:t>
      </w:r>
      <w:r w:rsidR="00F20D8E" w:rsidRPr="007E383D">
        <w:rPr>
          <w:sz w:val="20"/>
          <w:szCs w:val="20"/>
        </w:rPr>
        <w:t>ánku</w:t>
      </w:r>
      <w:r w:rsidR="00205AF2" w:rsidRPr="007E383D">
        <w:rPr>
          <w:sz w:val="20"/>
          <w:szCs w:val="20"/>
        </w:rPr>
        <w:t xml:space="preserve"> I. bodu 2. této pojistné smlouvy</w:t>
      </w:r>
    </w:p>
    <w:p w14:paraId="139D4D52" w14:textId="77777777" w:rsidR="00282B75" w:rsidRPr="007E383D" w:rsidRDefault="00282B75" w:rsidP="00282B75">
      <w:pPr>
        <w:widowControl w:val="0"/>
        <w:tabs>
          <w:tab w:val="center" w:pos="3969"/>
          <w:tab w:val="center" w:pos="7371"/>
        </w:tabs>
        <w:rPr>
          <w:rFonts w:cs="Arial"/>
          <w:sz w:val="20"/>
        </w:rPr>
      </w:pPr>
    </w:p>
    <w:p w14:paraId="26AB6281" w14:textId="77777777" w:rsidR="00282B75" w:rsidRPr="007E383D" w:rsidRDefault="00282B75" w:rsidP="00282B75">
      <w:pPr>
        <w:widowControl w:val="0"/>
        <w:tabs>
          <w:tab w:val="center" w:pos="3969"/>
          <w:tab w:val="center" w:pos="7371"/>
        </w:tabs>
        <w:rPr>
          <w:rFonts w:cs="Arial"/>
          <w:sz w:val="20"/>
        </w:rPr>
      </w:pPr>
    </w:p>
    <w:p w14:paraId="77CFC4B4" w14:textId="77777777" w:rsidR="003333CA" w:rsidRPr="007E383D" w:rsidRDefault="003333CA" w:rsidP="00282B75">
      <w:pPr>
        <w:widowControl w:val="0"/>
        <w:tabs>
          <w:tab w:val="center" w:pos="3969"/>
          <w:tab w:val="center" w:pos="7371"/>
        </w:tabs>
        <w:rPr>
          <w:rFonts w:cs="Arial"/>
          <w:sz w:val="20"/>
        </w:rPr>
      </w:pPr>
    </w:p>
    <w:p w14:paraId="19F82C05" w14:textId="77777777" w:rsidR="003333CA" w:rsidRPr="007E383D" w:rsidRDefault="003333CA" w:rsidP="00282B75">
      <w:pPr>
        <w:widowControl w:val="0"/>
        <w:tabs>
          <w:tab w:val="center" w:pos="3969"/>
          <w:tab w:val="center" w:pos="7371"/>
        </w:tabs>
        <w:rPr>
          <w:rFonts w:cs="Arial"/>
          <w:sz w:val="20"/>
        </w:rPr>
      </w:pPr>
    </w:p>
    <w:p w14:paraId="5FB692A8" w14:textId="77777777" w:rsidR="003333CA" w:rsidRPr="007E383D" w:rsidRDefault="003333CA" w:rsidP="00282B75">
      <w:pPr>
        <w:widowControl w:val="0"/>
        <w:tabs>
          <w:tab w:val="center" w:pos="3969"/>
          <w:tab w:val="center" w:pos="7371"/>
        </w:tabs>
        <w:rPr>
          <w:rFonts w:cs="Arial"/>
          <w:sz w:val="20"/>
        </w:rPr>
      </w:pPr>
    </w:p>
    <w:p w14:paraId="74ECAA87" w14:textId="77777777" w:rsidR="00A863C8" w:rsidRPr="007E383D" w:rsidRDefault="00A863C8" w:rsidP="00282B75">
      <w:pPr>
        <w:widowControl w:val="0"/>
        <w:tabs>
          <w:tab w:val="center" w:pos="3969"/>
          <w:tab w:val="center" w:pos="7371"/>
        </w:tabs>
        <w:rPr>
          <w:rFonts w:cs="Arial"/>
          <w:sz w:val="20"/>
        </w:rPr>
      </w:pPr>
    </w:p>
    <w:p w14:paraId="2075E803" w14:textId="1B4D7303" w:rsidR="006E61BD" w:rsidRPr="007E383D" w:rsidRDefault="00587B7B" w:rsidP="00282B75">
      <w:pPr>
        <w:widowControl w:val="0"/>
        <w:tabs>
          <w:tab w:val="center" w:pos="3969"/>
          <w:tab w:val="center" w:pos="7371"/>
        </w:tabs>
        <w:rPr>
          <w:rFonts w:cs="Arial"/>
        </w:rPr>
      </w:pPr>
      <w:r w:rsidRPr="007E383D">
        <w:rPr>
          <w:rFonts w:cs="Arial"/>
          <w:sz w:val="20"/>
        </w:rPr>
        <w:t>V Praze dne</w:t>
      </w:r>
      <w:r w:rsidR="003272DC" w:rsidRPr="007E383D">
        <w:rPr>
          <w:rFonts w:cs="Arial"/>
        </w:rPr>
        <w:tab/>
      </w:r>
    </w:p>
    <w:p w14:paraId="048DB529" w14:textId="77777777" w:rsidR="006E61BD" w:rsidRPr="007E383D" w:rsidRDefault="006E61BD" w:rsidP="00282B75">
      <w:pPr>
        <w:widowControl w:val="0"/>
        <w:tabs>
          <w:tab w:val="center" w:pos="3969"/>
          <w:tab w:val="center" w:pos="7371"/>
        </w:tabs>
        <w:rPr>
          <w:rFonts w:cs="Arial"/>
        </w:rPr>
      </w:pPr>
    </w:p>
    <w:p w14:paraId="7A15A11C" w14:textId="77777777" w:rsidR="006E61BD" w:rsidRPr="007E383D" w:rsidRDefault="006E61BD" w:rsidP="00282B75">
      <w:pPr>
        <w:widowControl w:val="0"/>
        <w:tabs>
          <w:tab w:val="center" w:pos="3969"/>
          <w:tab w:val="center" w:pos="7371"/>
        </w:tabs>
        <w:rPr>
          <w:rFonts w:cs="Arial"/>
        </w:rPr>
      </w:pPr>
    </w:p>
    <w:p w14:paraId="712B75C6" w14:textId="77777777" w:rsidR="006E61BD" w:rsidRPr="007E383D" w:rsidRDefault="006E61BD" w:rsidP="00282B75">
      <w:pPr>
        <w:widowControl w:val="0"/>
        <w:tabs>
          <w:tab w:val="center" w:pos="3969"/>
          <w:tab w:val="center" w:pos="7371"/>
        </w:tabs>
        <w:rPr>
          <w:rFonts w:cs="Arial"/>
        </w:rPr>
      </w:pPr>
    </w:p>
    <w:p w14:paraId="4264FF91" w14:textId="77777777" w:rsidR="00434FD8" w:rsidRPr="007E383D" w:rsidRDefault="00434FD8" w:rsidP="00434FD8">
      <w:pPr>
        <w:ind w:left="4247" w:hanging="4247"/>
        <w:jc w:val="both"/>
        <w:rPr>
          <w:rFonts w:cs="Calibri"/>
          <w:bCs/>
          <w:sz w:val="20"/>
        </w:rPr>
      </w:pPr>
      <w:r w:rsidRPr="007E383D">
        <w:rPr>
          <w:rFonts w:cs="Calibri"/>
          <w:bCs/>
          <w:sz w:val="20"/>
        </w:rPr>
        <w:t xml:space="preserve">                        …………………………………                                                 …………………………………</w:t>
      </w:r>
    </w:p>
    <w:p w14:paraId="41ABC566" w14:textId="77777777" w:rsidR="00E32F84" w:rsidRPr="007E383D" w:rsidRDefault="00E32F84" w:rsidP="00E32F84">
      <w:pPr>
        <w:ind w:left="4247" w:hanging="4247"/>
        <w:jc w:val="both"/>
        <w:rPr>
          <w:rFonts w:cs="Calibri"/>
          <w:bCs/>
          <w:sz w:val="20"/>
        </w:rPr>
      </w:pPr>
      <w:r w:rsidRPr="007E383D">
        <w:rPr>
          <w:rFonts w:cs="Calibri"/>
          <w:bCs/>
          <w:sz w:val="20"/>
        </w:rPr>
        <w:t xml:space="preserve">                     Kooperativa pojišťovna, a.s.,                                             Kooperativa pojišťovna, a.s.,</w:t>
      </w:r>
    </w:p>
    <w:p w14:paraId="75C0A31B" w14:textId="77777777" w:rsidR="00E32F84" w:rsidRPr="007E383D" w:rsidRDefault="00E32F84" w:rsidP="00E32F84">
      <w:pPr>
        <w:ind w:left="4247" w:hanging="4247"/>
        <w:jc w:val="both"/>
        <w:rPr>
          <w:rFonts w:cs="Calibri"/>
          <w:bCs/>
          <w:sz w:val="20"/>
        </w:rPr>
      </w:pPr>
      <w:r w:rsidRPr="007E383D">
        <w:rPr>
          <w:rFonts w:cs="Calibri"/>
          <w:bCs/>
          <w:sz w:val="20"/>
        </w:rPr>
        <w:t xml:space="preserve">                       </w:t>
      </w:r>
      <w:proofErr w:type="spellStart"/>
      <w:r w:rsidRPr="007E383D">
        <w:rPr>
          <w:rFonts w:cs="Calibri"/>
          <w:bCs/>
          <w:sz w:val="20"/>
        </w:rPr>
        <w:t>Vienna</w:t>
      </w:r>
      <w:proofErr w:type="spellEnd"/>
      <w:r w:rsidRPr="007E383D">
        <w:rPr>
          <w:rFonts w:cs="Calibri"/>
          <w:bCs/>
          <w:sz w:val="20"/>
        </w:rPr>
        <w:t xml:space="preserve"> </w:t>
      </w:r>
      <w:proofErr w:type="spellStart"/>
      <w:r w:rsidRPr="007E383D">
        <w:rPr>
          <w:rFonts w:cs="Calibri"/>
          <w:bCs/>
          <w:sz w:val="20"/>
        </w:rPr>
        <w:t>Insurance</w:t>
      </w:r>
      <w:proofErr w:type="spellEnd"/>
      <w:r w:rsidRPr="007E383D">
        <w:rPr>
          <w:rFonts w:cs="Calibri"/>
          <w:bCs/>
          <w:sz w:val="20"/>
        </w:rPr>
        <w:t xml:space="preserve"> Group                                                     </w:t>
      </w:r>
      <w:proofErr w:type="spellStart"/>
      <w:r w:rsidRPr="007E383D">
        <w:rPr>
          <w:rFonts w:cs="Calibri"/>
          <w:bCs/>
          <w:sz w:val="20"/>
        </w:rPr>
        <w:t>Vienna</w:t>
      </w:r>
      <w:proofErr w:type="spellEnd"/>
      <w:r w:rsidRPr="007E383D">
        <w:rPr>
          <w:rFonts w:cs="Calibri"/>
          <w:bCs/>
          <w:sz w:val="20"/>
        </w:rPr>
        <w:t xml:space="preserve"> </w:t>
      </w:r>
      <w:proofErr w:type="spellStart"/>
      <w:r w:rsidRPr="007E383D">
        <w:rPr>
          <w:rFonts w:cs="Calibri"/>
          <w:bCs/>
          <w:sz w:val="20"/>
        </w:rPr>
        <w:t>Insurance</w:t>
      </w:r>
      <w:proofErr w:type="spellEnd"/>
      <w:r w:rsidRPr="007E383D">
        <w:rPr>
          <w:rFonts w:cs="Calibri"/>
          <w:bCs/>
          <w:sz w:val="20"/>
        </w:rPr>
        <w:t xml:space="preserve"> Group</w:t>
      </w:r>
    </w:p>
    <w:p w14:paraId="7A3E46D4" w14:textId="274AD552" w:rsidR="00E32F84" w:rsidRPr="007E383D" w:rsidRDefault="006E5BDA" w:rsidP="006E5BDA">
      <w:pPr>
        <w:widowControl w:val="0"/>
        <w:rPr>
          <w:rFonts w:cs="Arial"/>
          <w:sz w:val="20"/>
        </w:rPr>
      </w:pPr>
      <w:r>
        <w:rPr>
          <w:rFonts w:cs="Arial"/>
          <w:sz w:val="20"/>
        </w:rPr>
        <w:t xml:space="preserve">                             XXXXXX</w:t>
      </w:r>
      <w:r w:rsidR="00E32F84" w:rsidRPr="007E383D">
        <w:rPr>
          <w:rFonts w:cs="Arial"/>
          <w:sz w:val="20"/>
        </w:rPr>
        <w:tab/>
        <w:t xml:space="preserve">                                                     </w:t>
      </w:r>
      <w:r>
        <w:rPr>
          <w:rFonts w:cs="Arial"/>
          <w:sz w:val="20"/>
        </w:rPr>
        <w:t xml:space="preserve">                   XXXXXX</w:t>
      </w:r>
    </w:p>
    <w:p w14:paraId="4E7A3978" w14:textId="1C77BB35" w:rsidR="00E32F84" w:rsidRPr="007E383D" w:rsidRDefault="006E5BDA" w:rsidP="006E5BDA">
      <w:pPr>
        <w:ind w:left="4247" w:hanging="4247"/>
        <w:jc w:val="center"/>
        <w:rPr>
          <w:rFonts w:cs="Calibri"/>
          <w:bCs/>
          <w:i/>
          <w:sz w:val="20"/>
        </w:rPr>
      </w:pPr>
      <w:r>
        <w:rPr>
          <w:rFonts w:cs="Arial"/>
          <w:sz w:val="20"/>
          <w:szCs w:val="20"/>
        </w:rPr>
        <w:t>XXXXXX</w:t>
      </w:r>
    </w:p>
    <w:p w14:paraId="7CE5A3FB" w14:textId="4F839314" w:rsidR="00D7357B" w:rsidRPr="007E383D" w:rsidRDefault="00D7357B" w:rsidP="00CC7173">
      <w:pPr>
        <w:widowControl w:val="0"/>
        <w:tabs>
          <w:tab w:val="center" w:pos="3969"/>
          <w:tab w:val="center" w:pos="7371"/>
        </w:tabs>
        <w:rPr>
          <w:rFonts w:cs="Arial"/>
          <w:sz w:val="20"/>
        </w:rPr>
      </w:pPr>
    </w:p>
    <w:p w14:paraId="74CCF896" w14:textId="77777777" w:rsidR="00275215" w:rsidRPr="007E383D" w:rsidRDefault="00275215" w:rsidP="006E61BD">
      <w:pPr>
        <w:widowControl w:val="0"/>
        <w:tabs>
          <w:tab w:val="center" w:pos="5670"/>
        </w:tabs>
        <w:rPr>
          <w:rFonts w:cs="Arial"/>
          <w:sz w:val="20"/>
        </w:rPr>
      </w:pPr>
    </w:p>
    <w:p w14:paraId="48678847" w14:textId="77777777" w:rsidR="00275215" w:rsidRPr="007E383D" w:rsidRDefault="00275215" w:rsidP="006E61BD">
      <w:pPr>
        <w:widowControl w:val="0"/>
        <w:tabs>
          <w:tab w:val="center" w:pos="5670"/>
        </w:tabs>
        <w:rPr>
          <w:rFonts w:cs="Arial"/>
          <w:sz w:val="20"/>
        </w:rPr>
      </w:pPr>
    </w:p>
    <w:p w14:paraId="78346A3A" w14:textId="77777777" w:rsidR="003272DC" w:rsidRPr="007E383D" w:rsidRDefault="003272DC" w:rsidP="00282B75">
      <w:pPr>
        <w:widowControl w:val="0"/>
        <w:tabs>
          <w:tab w:val="center" w:pos="3969"/>
          <w:tab w:val="center" w:pos="7513"/>
        </w:tabs>
        <w:rPr>
          <w:rFonts w:cs="Arial"/>
          <w:sz w:val="20"/>
        </w:rPr>
      </w:pPr>
    </w:p>
    <w:p w14:paraId="31DE9521" w14:textId="77777777" w:rsidR="00152E65" w:rsidRPr="007E383D" w:rsidRDefault="00152E65" w:rsidP="00282B75">
      <w:pPr>
        <w:widowControl w:val="0"/>
        <w:tabs>
          <w:tab w:val="center" w:pos="3969"/>
          <w:tab w:val="center" w:pos="7513"/>
        </w:tabs>
        <w:rPr>
          <w:rFonts w:cs="Arial"/>
          <w:sz w:val="20"/>
        </w:rPr>
      </w:pPr>
    </w:p>
    <w:p w14:paraId="39EE452F" w14:textId="77777777" w:rsidR="00152E65" w:rsidRPr="007E383D" w:rsidRDefault="00152E65" w:rsidP="00282B75">
      <w:pPr>
        <w:widowControl w:val="0"/>
        <w:tabs>
          <w:tab w:val="center" w:pos="3969"/>
          <w:tab w:val="center" w:pos="7513"/>
        </w:tabs>
        <w:rPr>
          <w:rFonts w:cs="Arial"/>
          <w:sz w:val="20"/>
        </w:rPr>
      </w:pPr>
    </w:p>
    <w:p w14:paraId="4189AEBF" w14:textId="77777777" w:rsidR="00152E65" w:rsidRPr="007E383D" w:rsidRDefault="00152E65" w:rsidP="00282B75">
      <w:pPr>
        <w:widowControl w:val="0"/>
        <w:tabs>
          <w:tab w:val="center" w:pos="3969"/>
          <w:tab w:val="center" w:pos="7513"/>
        </w:tabs>
        <w:rPr>
          <w:rFonts w:cs="Arial"/>
          <w:sz w:val="20"/>
        </w:rPr>
      </w:pPr>
    </w:p>
    <w:p w14:paraId="0C4A85A7" w14:textId="77777777" w:rsidR="00152E65" w:rsidRPr="007E383D" w:rsidRDefault="00152E65" w:rsidP="00282B75">
      <w:pPr>
        <w:widowControl w:val="0"/>
        <w:tabs>
          <w:tab w:val="center" w:pos="3969"/>
          <w:tab w:val="center" w:pos="7513"/>
        </w:tabs>
        <w:rPr>
          <w:rFonts w:cs="Arial"/>
          <w:sz w:val="20"/>
        </w:rPr>
      </w:pPr>
    </w:p>
    <w:p w14:paraId="783E6ECA" w14:textId="77777777" w:rsidR="00152E65" w:rsidRPr="007E383D" w:rsidRDefault="00152E65" w:rsidP="00282B75">
      <w:pPr>
        <w:widowControl w:val="0"/>
        <w:tabs>
          <w:tab w:val="center" w:pos="3969"/>
          <w:tab w:val="center" w:pos="7513"/>
        </w:tabs>
        <w:rPr>
          <w:rFonts w:cs="Arial"/>
          <w:sz w:val="20"/>
        </w:rPr>
      </w:pPr>
    </w:p>
    <w:p w14:paraId="77E3A034" w14:textId="77777777" w:rsidR="00152E65" w:rsidRPr="007E383D" w:rsidRDefault="00152E65" w:rsidP="00282B75">
      <w:pPr>
        <w:widowControl w:val="0"/>
        <w:tabs>
          <w:tab w:val="center" w:pos="3969"/>
          <w:tab w:val="center" w:pos="7513"/>
        </w:tabs>
        <w:rPr>
          <w:rFonts w:cs="Arial"/>
          <w:sz w:val="20"/>
        </w:rPr>
      </w:pPr>
    </w:p>
    <w:p w14:paraId="179E5DC6" w14:textId="77777777" w:rsidR="00152E65" w:rsidRPr="007E383D" w:rsidRDefault="00152E65" w:rsidP="00282B75">
      <w:pPr>
        <w:widowControl w:val="0"/>
        <w:tabs>
          <w:tab w:val="center" w:pos="3969"/>
          <w:tab w:val="center" w:pos="7513"/>
        </w:tabs>
        <w:rPr>
          <w:rFonts w:cs="Arial"/>
          <w:sz w:val="20"/>
        </w:rPr>
      </w:pPr>
    </w:p>
    <w:p w14:paraId="1FEDC92D" w14:textId="77777777" w:rsidR="00152E65" w:rsidRPr="007E383D" w:rsidRDefault="00152E65" w:rsidP="00282B75">
      <w:pPr>
        <w:widowControl w:val="0"/>
        <w:tabs>
          <w:tab w:val="center" w:pos="3969"/>
          <w:tab w:val="center" w:pos="7513"/>
        </w:tabs>
        <w:rPr>
          <w:rFonts w:cs="Arial"/>
          <w:sz w:val="20"/>
        </w:rPr>
      </w:pPr>
    </w:p>
    <w:p w14:paraId="6B3401A6" w14:textId="77777777" w:rsidR="00152E65" w:rsidRPr="007E383D" w:rsidRDefault="00152E65" w:rsidP="00282B75">
      <w:pPr>
        <w:widowControl w:val="0"/>
        <w:tabs>
          <w:tab w:val="center" w:pos="3969"/>
          <w:tab w:val="center" w:pos="7513"/>
        </w:tabs>
        <w:rPr>
          <w:rFonts w:cs="Arial"/>
          <w:sz w:val="20"/>
        </w:rPr>
      </w:pPr>
    </w:p>
    <w:p w14:paraId="639B280D" w14:textId="77777777" w:rsidR="00152E65" w:rsidRPr="007E383D" w:rsidRDefault="00152E65" w:rsidP="00282B75">
      <w:pPr>
        <w:widowControl w:val="0"/>
        <w:tabs>
          <w:tab w:val="center" w:pos="3969"/>
          <w:tab w:val="center" w:pos="7513"/>
        </w:tabs>
        <w:rPr>
          <w:rFonts w:cs="Arial"/>
          <w:sz w:val="20"/>
        </w:rPr>
      </w:pPr>
    </w:p>
    <w:p w14:paraId="3F215C13" w14:textId="77777777" w:rsidR="00152E65" w:rsidRPr="007E383D" w:rsidRDefault="00152E65" w:rsidP="00282B75">
      <w:pPr>
        <w:widowControl w:val="0"/>
        <w:tabs>
          <w:tab w:val="center" w:pos="3969"/>
          <w:tab w:val="center" w:pos="7513"/>
        </w:tabs>
        <w:rPr>
          <w:rFonts w:cs="Arial"/>
          <w:sz w:val="20"/>
        </w:rPr>
      </w:pPr>
    </w:p>
    <w:p w14:paraId="7FF68B28" w14:textId="77777777" w:rsidR="00275215" w:rsidRPr="007E383D" w:rsidRDefault="00275215" w:rsidP="00275215">
      <w:pPr>
        <w:widowControl w:val="0"/>
        <w:tabs>
          <w:tab w:val="center" w:pos="3969"/>
          <w:tab w:val="center" w:pos="7371"/>
        </w:tabs>
        <w:rPr>
          <w:rFonts w:cs="Arial"/>
          <w:sz w:val="20"/>
        </w:rPr>
      </w:pPr>
      <w:r w:rsidRPr="007E383D">
        <w:rPr>
          <w:rFonts w:cs="Arial"/>
          <w:sz w:val="20"/>
        </w:rPr>
        <w:t>Praze dne</w:t>
      </w:r>
    </w:p>
    <w:p w14:paraId="30456AB4" w14:textId="77777777" w:rsidR="00275215" w:rsidRPr="007E383D" w:rsidRDefault="00275215" w:rsidP="00275215">
      <w:pPr>
        <w:widowControl w:val="0"/>
        <w:tabs>
          <w:tab w:val="center" w:pos="3969"/>
          <w:tab w:val="center" w:pos="7371"/>
        </w:tabs>
        <w:rPr>
          <w:rFonts w:cs="Arial"/>
          <w:sz w:val="20"/>
        </w:rPr>
      </w:pPr>
      <w:r w:rsidRPr="007E383D">
        <w:rPr>
          <w:rFonts w:cs="Arial"/>
        </w:rPr>
        <w:t xml:space="preserve">  </w:t>
      </w:r>
      <w:r w:rsidRPr="007E383D">
        <w:rPr>
          <w:rFonts w:cs="Arial"/>
        </w:rPr>
        <w:tab/>
      </w:r>
      <w:r w:rsidRPr="007E383D">
        <w:rPr>
          <w:rFonts w:cs="Arial"/>
          <w:sz w:val="20"/>
        </w:rPr>
        <w:t>…………………………………….</w:t>
      </w:r>
      <w:r w:rsidRPr="007E383D">
        <w:rPr>
          <w:rFonts w:cs="Arial"/>
          <w:sz w:val="20"/>
        </w:rPr>
        <w:tab/>
        <w:t>……………………….…………….</w:t>
      </w:r>
    </w:p>
    <w:p w14:paraId="721B47E4" w14:textId="149EEFD2" w:rsidR="00275215" w:rsidRPr="007E383D" w:rsidRDefault="00275215" w:rsidP="00275215">
      <w:pPr>
        <w:widowControl w:val="0"/>
        <w:tabs>
          <w:tab w:val="center" w:pos="3969"/>
          <w:tab w:val="center" w:pos="7371"/>
        </w:tabs>
        <w:rPr>
          <w:rFonts w:cs="Arial"/>
          <w:sz w:val="20"/>
        </w:rPr>
      </w:pPr>
      <w:r w:rsidRPr="007E383D">
        <w:rPr>
          <w:rFonts w:cs="Arial"/>
        </w:rPr>
        <w:tab/>
      </w:r>
      <w:r w:rsidR="006E5BDA">
        <w:rPr>
          <w:rFonts w:cs="Arial"/>
          <w:sz w:val="20"/>
        </w:rPr>
        <w:t>XXXXXX</w:t>
      </w:r>
      <w:r w:rsidRPr="007E383D">
        <w:rPr>
          <w:rFonts w:cs="Arial"/>
          <w:sz w:val="20"/>
        </w:rPr>
        <w:tab/>
      </w:r>
      <w:proofErr w:type="spellStart"/>
      <w:r w:rsidR="006E5BDA">
        <w:rPr>
          <w:rFonts w:cs="Arial"/>
          <w:sz w:val="20"/>
        </w:rPr>
        <w:t>XXXXXX</w:t>
      </w:r>
      <w:proofErr w:type="spellEnd"/>
    </w:p>
    <w:p w14:paraId="1BA1E121" w14:textId="7EA8E8BF" w:rsidR="00275215" w:rsidRPr="007E383D" w:rsidRDefault="00275215" w:rsidP="00275215">
      <w:pPr>
        <w:widowControl w:val="0"/>
        <w:tabs>
          <w:tab w:val="center" w:pos="3969"/>
          <w:tab w:val="center" w:pos="7371"/>
        </w:tabs>
        <w:rPr>
          <w:rFonts w:cs="Arial"/>
          <w:sz w:val="20"/>
        </w:rPr>
      </w:pPr>
      <w:r w:rsidRPr="007E383D">
        <w:rPr>
          <w:rFonts w:cs="Arial"/>
          <w:sz w:val="20"/>
        </w:rPr>
        <w:tab/>
      </w:r>
      <w:r w:rsidR="006E5BDA">
        <w:rPr>
          <w:rFonts w:cs="Arial"/>
          <w:sz w:val="20"/>
        </w:rPr>
        <w:t>XXXXXX</w:t>
      </w:r>
      <w:r w:rsidRPr="007E383D">
        <w:rPr>
          <w:rFonts w:cs="Arial"/>
          <w:sz w:val="20"/>
        </w:rPr>
        <w:tab/>
      </w:r>
      <w:proofErr w:type="spellStart"/>
      <w:r w:rsidR="006E5BDA">
        <w:rPr>
          <w:rFonts w:cs="Arial"/>
          <w:sz w:val="20"/>
        </w:rPr>
        <w:t>XXXXXX</w:t>
      </w:r>
      <w:proofErr w:type="spellEnd"/>
    </w:p>
    <w:p w14:paraId="2C4666A9" w14:textId="54B7E8A5" w:rsidR="00275215" w:rsidRPr="007E383D" w:rsidRDefault="00275215" w:rsidP="00275215">
      <w:pPr>
        <w:widowControl w:val="0"/>
        <w:tabs>
          <w:tab w:val="center" w:pos="3969"/>
          <w:tab w:val="center" w:pos="7371"/>
        </w:tabs>
        <w:rPr>
          <w:rFonts w:cs="Arial"/>
          <w:sz w:val="20"/>
        </w:rPr>
      </w:pPr>
      <w:r w:rsidRPr="007E383D">
        <w:rPr>
          <w:rFonts w:cs="Arial"/>
          <w:sz w:val="20"/>
        </w:rPr>
        <w:tab/>
      </w:r>
      <w:r w:rsidR="006E5BDA">
        <w:rPr>
          <w:rFonts w:cs="Arial"/>
          <w:sz w:val="20"/>
        </w:rPr>
        <w:t>XXXXXX</w:t>
      </w:r>
      <w:r w:rsidRPr="007E383D">
        <w:rPr>
          <w:rFonts w:cs="Arial"/>
          <w:sz w:val="20"/>
        </w:rPr>
        <w:tab/>
      </w:r>
      <w:proofErr w:type="spellStart"/>
      <w:r w:rsidR="006E5BDA">
        <w:rPr>
          <w:rFonts w:cs="Arial"/>
          <w:sz w:val="20"/>
        </w:rPr>
        <w:t>XXXXXX</w:t>
      </w:r>
      <w:proofErr w:type="spellEnd"/>
    </w:p>
    <w:p w14:paraId="16B1E35F" w14:textId="117014FF" w:rsidR="00A863C8" w:rsidRPr="006E5BDA" w:rsidRDefault="006E5BDA" w:rsidP="006E5BDA">
      <w:pPr>
        <w:widowControl w:val="0"/>
        <w:tabs>
          <w:tab w:val="center" w:pos="5670"/>
        </w:tabs>
        <w:jc w:val="center"/>
        <w:rPr>
          <w:iCs/>
          <w:sz w:val="16"/>
        </w:rPr>
      </w:pPr>
      <w:r w:rsidRPr="006E5BDA">
        <w:rPr>
          <w:rFonts w:cs="Arial"/>
          <w:iCs/>
          <w:sz w:val="20"/>
        </w:rPr>
        <w:t>XXXXXX</w:t>
      </w:r>
    </w:p>
    <w:p w14:paraId="4A2E96D7" w14:textId="77777777" w:rsidR="0035715D" w:rsidRPr="007E383D" w:rsidRDefault="0035715D" w:rsidP="0035715D">
      <w:pPr>
        <w:widowControl w:val="0"/>
        <w:tabs>
          <w:tab w:val="center" w:pos="1843"/>
          <w:tab w:val="center" w:pos="7655"/>
        </w:tabs>
        <w:rPr>
          <w:rFonts w:cs="Arial"/>
          <w:i/>
        </w:rPr>
      </w:pPr>
      <w:r w:rsidRPr="007E383D">
        <w:rPr>
          <w:rFonts w:cs="Arial"/>
        </w:rPr>
        <w:tab/>
      </w:r>
    </w:p>
    <w:p w14:paraId="4D328098" w14:textId="77777777" w:rsidR="00F629CC" w:rsidRPr="007E383D" w:rsidRDefault="00F629CC" w:rsidP="0035715D">
      <w:pPr>
        <w:pStyle w:val="Zkladntext33"/>
        <w:widowControl w:val="0"/>
        <w:tabs>
          <w:tab w:val="left" w:pos="708"/>
        </w:tabs>
        <w:spacing w:line="240" w:lineRule="auto"/>
        <w:rPr>
          <w:rFonts w:ascii="Koop Office" w:hAnsi="Koop Office"/>
        </w:rPr>
      </w:pPr>
    </w:p>
    <w:p w14:paraId="34D7B87E" w14:textId="77777777" w:rsidR="00152E65" w:rsidRPr="007E383D" w:rsidRDefault="00152E65" w:rsidP="0035715D">
      <w:pPr>
        <w:pStyle w:val="Zkladntext33"/>
        <w:widowControl w:val="0"/>
        <w:tabs>
          <w:tab w:val="left" w:pos="708"/>
        </w:tabs>
        <w:spacing w:line="240" w:lineRule="auto"/>
        <w:rPr>
          <w:rFonts w:ascii="Koop Office" w:hAnsi="Koop Office"/>
        </w:rPr>
      </w:pPr>
    </w:p>
    <w:p w14:paraId="0B54CC01" w14:textId="77777777" w:rsidR="004942FC" w:rsidRPr="007E383D" w:rsidRDefault="004942FC" w:rsidP="004942FC">
      <w:pPr>
        <w:rPr>
          <w:sz w:val="16"/>
          <w:szCs w:val="16"/>
        </w:rPr>
      </w:pPr>
      <w:bookmarkStart w:id="21" w:name="_Hlk25570604"/>
      <w:r w:rsidRPr="007E383D">
        <w:rPr>
          <w:sz w:val="16"/>
          <w:szCs w:val="16"/>
          <w:vertAlign w:val="superscript"/>
        </w:rPr>
        <w:t xml:space="preserve">+ </w:t>
      </w:r>
      <w:r w:rsidRPr="007E383D">
        <w:rPr>
          <w:sz w:val="16"/>
          <w:szCs w:val="16"/>
        </w:rPr>
        <w:t>Je-li tento dodatek podepsán uznávaným elektronickým podpisem, je okamžik podpisu vždy obsažen v tomto podpisu.</w:t>
      </w:r>
    </w:p>
    <w:p w14:paraId="4F22E893" w14:textId="77777777" w:rsidR="004942FC" w:rsidRPr="007E383D" w:rsidRDefault="004942FC" w:rsidP="004942FC">
      <w:pPr>
        <w:tabs>
          <w:tab w:val="left" w:pos="142"/>
          <w:tab w:val="left" w:pos="426"/>
        </w:tabs>
        <w:ind w:left="426" w:hanging="426"/>
        <w:rPr>
          <w:sz w:val="16"/>
          <w:szCs w:val="16"/>
        </w:rPr>
      </w:pPr>
      <w:r w:rsidRPr="007E383D">
        <w:rPr>
          <w:sz w:val="16"/>
          <w:szCs w:val="16"/>
          <w:vertAlign w:val="superscript"/>
        </w:rPr>
        <w:t>++</w:t>
      </w:r>
      <w:r w:rsidRPr="007E383D">
        <w:rPr>
          <w:sz w:val="16"/>
          <w:szCs w:val="16"/>
        </w:rPr>
        <w:tab/>
        <w:t xml:space="preserve">a) </w:t>
      </w:r>
      <w:r w:rsidRPr="007E383D">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094141AC" w14:textId="77777777" w:rsidR="004942FC" w:rsidRPr="007E383D" w:rsidRDefault="004942FC" w:rsidP="004942FC">
      <w:pPr>
        <w:tabs>
          <w:tab w:val="left" w:pos="142"/>
          <w:tab w:val="left" w:pos="426"/>
        </w:tabs>
        <w:ind w:left="426" w:hanging="426"/>
        <w:rPr>
          <w:sz w:val="16"/>
          <w:szCs w:val="16"/>
        </w:rPr>
      </w:pPr>
      <w:r w:rsidRPr="007E383D">
        <w:rPr>
          <w:sz w:val="16"/>
          <w:szCs w:val="16"/>
        </w:rPr>
        <w:tab/>
        <w:t xml:space="preserve">b) </w:t>
      </w:r>
      <w:r w:rsidRPr="007E383D">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7E383D">
        <w:rPr>
          <w:sz w:val="16"/>
          <w:szCs w:val="16"/>
        </w:rPr>
        <w:t>jiného</w:t>
      </w:r>
      <w:proofErr w:type="gramEnd"/>
      <w:r w:rsidRPr="007E383D">
        <w:rPr>
          <w:sz w:val="16"/>
          <w:szCs w:val="16"/>
        </w:rPr>
        <w:t xml:space="preserve">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bookmarkEnd w:id="21"/>
    <w:p w14:paraId="5B579651" w14:textId="77777777" w:rsidR="0035715D" w:rsidRPr="007E383D" w:rsidRDefault="0035715D" w:rsidP="00282B75">
      <w:pPr>
        <w:pStyle w:val="Zkladntext33"/>
        <w:widowControl w:val="0"/>
        <w:tabs>
          <w:tab w:val="left" w:pos="708"/>
        </w:tabs>
        <w:spacing w:line="240" w:lineRule="auto"/>
        <w:rPr>
          <w:rFonts w:ascii="Koop Office" w:hAnsi="Koop Office"/>
          <w:sz w:val="16"/>
        </w:rPr>
      </w:pPr>
    </w:p>
    <w:p w14:paraId="1896DDF7"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6B25716D"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61AED687"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524BF8CB"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2543CDB9"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3DBDCD60"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0A3A7757"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40AA2A42"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0DF1C1C9"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402DC392"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47B1FD65"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1005F20C"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2004215C"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33F61A04"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50F505DE"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02FEFBBF"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77AE462D"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385871BD"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6119C23A"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272E0B13"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3519968C"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76238540"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034196EC"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033C7190"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042754CE"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68305BBC"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789E9361"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5E4BFDE6" w14:textId="77777777" w:rsidR="00152E65" w:rsidRPr="007E383D" w:rsidRDefault="00152E65" w:rsidP="00282B75">
      <w:pPr>
        <w:pStyle w:val="Zkladntext33"/>
        <w:widowControl w:val="0"/>
        <w:tabs>
          <w:tab w:val="left" w:pos="708"/>
        </w:tabs>
        <w:spacing w:line="240" w:lineRule="auto"/>
        <w:rPr>
          <w:rFonts w:ascii="Koop Office" w:hAnsi="Koop Office"/>
          <w:sz w:val="16"/>
        </w:rPr>
      </w:pPr>
    </w:p>
    <w:p w14:paraId="2FC070D8" w14:textId="0FB1689C" w:rsidR="00843EF8" w:rsidRPr="00A3296C" w:rsidRDefault="004942FC" w:rsidP="00282B75">
      <w:pPr>
        <w:pStyle w:val="Zkladntext33"/>
        <w:widowControl w:val="0"/>
        <w:tabs>
          <w:tab w:val="left" w:pos="708"/>
        </w:tabs>
        <w:spacing w:line="240" w:lineRule="auto"/>
        <w:rPr>
          <w:rFonts w:ascii="Koop Office" w:hAnsi="Koop Office"/>
          <w:sz w:val="16"/>
        </w:rPr>
      </w:pPr>
      <w:r w:rsidRPr="007E383D">
        <w:rPr>
          <w:rFonts w:ascii="Koop Office" w:hAnsi="Koop Office"/>
          <w:sz w:val="16"/>
        </w:rPr>
        <w:t>Dodatek vypracoval</w:t>
      </w:r>
      <w:r w:rsidR="00843EF8" w:rsidRPr="007E383D">
        <w:rPr>
          <w:rFonts w:ascii="Koop Office" w:hAnsi="Koop Office"/>
          <w:sz w:val="16"/>
        </w:rPr>
        <w:t xml:space="preserve">: </w:t>
      </w:r>
      <w:r w:rsidR="006E5BDA">
        <w:rPr>
          <w:rFonts w:ascii="Koop Office" w:hAnsi="Koop Office"/>
          <w:sz w:val="16"/>
        </w:rPr>
        <w:t>XXXXXX</w:t>
      </w:r>
    </w:p>
    <w:sectPr w:rsidR="00843EF8" w:rsidRPr="00A3296C" w:rsidSect="00F05A6B">
      <w:headerReference w:type="default" r:id="rId14"/>
      <w:footerReference w:type="even" r:id="rId15"/>
      <w:footerReference w:type="default" r:id="rId16"/>
      <w:headerReference w:type="first" r:id="rId17"/>
      <w:footerReference w:type="first" r:id="rId18"/>
      <w:pgSz w:w="11906" w:h="16838" w:code="9"/>
      <w:pgMar w:top="993" w:right="707" w:bottom="56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1394" w14:textId="77777777" w:rsidR="001054B8" w:rsidRDefault="001054B8">
      <w:r>
        <w:separator/>
      </w:r>
    </w:p>
  </w:endnote>
  <w:endnote w:type="continuationSeparator" w:id="0">
    <w:p w14:paraId="750AD91C" w14:textId="77777777" w:rsidR="001054B8" w:rsidRDefault="001054B8">
      <w:r>
        <w:continuationSeparator/>
      </w:r>
    </w:p>
  </w:endnote>
  <w:endnote w:type="continuationNotice" w:id="1">
    <w:p w14:paraId="4CC4BC84" w14:textId="77777777" w:rsidR="001054B8" w:rsidRDefault="00105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panose1 w:val="02000503000000020003"/>
    <w:charset w:val="EE"/>
    <w:family w:val="auto"/>
    <w:pitch w:val="variable"/>
    <w:sig w:usb0="8000002F" w:usb1="1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KoopCondPro">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98F3" w14:textId="503C3191" w:rsidR="0028477A" w:rsidRDefault="0028477A">
    <w:pPr>
      <w:pStyle w:val="Zpat"/>
    </w:pPr>
    <w:r>
      <w:rPr>
        <w:noProof/>
      </w:rPr>
      <mc:AlternateContent>
        <mc:Choice Requires="wps">
          <w:drawing>
            <wp:anchor distT="0" distB="0" distL="0" distR="0" simplePos="0" relativeHeight="251659264" behindDoc="0" locked="0" layoutInCell="1" allowOverlap="1" wp14:anchorId="30466C3B" wp14:editId="20204DDC">
              <wp:simplePos x="635" y="635"/>
              <wp:positionH relativeFrom="page">
                <wp:align>left</wp:align>
              </wp:positionH>
              <wp:positionV relativeFrom="page">
                <wp:align>bottom</wp:align>
              </wp:positionV>
              <wp:extent cx="1626870" cy="330200"/>
              <wp:effectExtent l="0" t="0" r="11430" b="0"/>
              <wp:wrapNone/>
              <wp:docPr id="444214052" name="Textové pole 2" descr="VIG_CZ:Důvěrné/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6870" cy="330200"/>
                      </a:xfrm>
                      <a:prstGeom prst="rect">
                        <a:avLst/>
                      </a:prstGeom>
                      <a:noFill/>
                      <a:ln>
                        <a:noFill/>
                      </a:ln>
                    </wps:spPr>
                    <wps:txbx>
                      <w:txbxContent>
                        <w:p w14:paraId="2B29102D" w14:textId="615E553A" w:rsidR="0028477A" w:rsidRPr="0028477A" w:rsidRDefault="0028477A" w:rsidP="0028477A">
                          <w:pPr>
                            <w:rPr>
                              <w:rFonts w:ascii="Calibri" w:eastAsia="Calibri" w:hAnsi="Calibri" w:cs="Calibri"/>
                              <w:noProof/>
                              <w:color w:val="000000"/>
                              <w:sz w:val="18"/>
                              <w:szCs w:val="18"/>
                            </w:rPr>
                          </w:pPr>
                          <w:r w:rsidRPr="0028477A">
                            <w:rPr>
                              <w:rFonts w:ascii="Calibri" w:eastAsia="Calibri" w:hAnsi="Calibri" w:cs="Calibri"/>
                              <w:noProof/>
                              <w:color w:val="000000"/>
                              <w:sz w:val="18"/>
                              <w:szCs w:val="18"/>
                            </w:rPr>
                            <w:t>VIG_CZ:Důvěrné/Confidential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466C3B" id="_x0000_t202" coordsize="21600,21600" o:spt="202" path="m,l,21600r21600,l21600,xe">
              <v:stroke joinstyle="miter"/>
              <v:path gradientshapeok="t" o:connecttype="rect"/>
            </v:shapetype>
            <v:shape id="Textové pole 2" o:spid="_x0000_s1026" type="#_x0000_t202" alt="VIG_CZ:Důvěrné/Confidential" style="position:absolute;margin-left:0;margin-top:0;width:128.1pt;height:2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" filled="f" stroked="f">
              <v:textbox style="mso-fit-shape-to-text:t" inset="20pt,0,0,15pt">
                <w:txbxContent>
                  <w:p w14:paraId="2B29102D" w14:textId="615E553A" w:rsidR="0028477A" w:rsidRPr="0028477A" w:rsidRDefault="0028477A" w:rsidP="0028477A">
                    <w:pPr>
                      <w:rPr>
                        <w:rFonts w:ascii="Calibri" w:eastAsia="Calibri" w:hAnsi="Calibri" w:cs="Calibri"/>
                        <w:noProof/>
                        <w:color w:val="000000"/>
                        <w:sz w:val="18"/>
                        <w:szCs w:val="18"/>
                      </w:rPr>
                    </w:pPr>
                    <w:r w:rsidRPr="0028477A">
                      <w:rPr>
                        <w:rFonts w:ascii="Calibri" w:eastAsia="Calibri" w:hAnsi="Calibri" w:cs="Calibri"/>
                        <w:noProof/>
                        <w:color w:val="000000"/>
                        <w:sz w:val="18"/>
                        <w:szCs w:val="18"/>
                      </w:rPr>
                      <w:t>VIG_CZ:Důvěrné/Confidential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60B5" w14:textId="4733AFC3" w:rsidR="0028477A" w:rsidRDefault="0028477A">
    <w:pPr>
      <w:pStyle w:val="Zpat"/>
    </w:pPr>
    <w:r>
      <w:rPr>
        <w:noProof/>
      </w:rPr>
      <mc:AlternateContent>
        <mc:Choice Requires="wps">
          <w:drawing>
            <wp:anchor distT="0" distB="0" distL="0" distR="0" simplePos="0" relativeHeight="251660288" behindDoc="0" locked="0" layoutInCell="1" allowOverlap="1" wp14:anchorId="24EA9FD6" wp14:editId="01F9CB30">
              <wp:simplePos x="723900" y="10077450"/>
              <wp:positionH relativeFrom="page">
                <wp:align>left</wp:align>
              </wp:positionH>
              <wp:positionV relativeFrom="page">
                <wp:align>bottom</wp:align>
              </wp:positionV>
              <wp:extent cx="1626870" cy="330200"/>
              <wp:effectExtent l="0" t="0" r="11430" b="0"/>
              <wp:wrapNone/>
              <wp:docPr id="1224921911" name="Textové pole 3" descr="VIG_CZ:Důvěrné/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6870" cy="330200"/>
                      </a:xfrm>
                      <a:prstGeom prst="rect">
                        <a:avLst/>
                      </a:prstGeom>
                      <a:noFill/>
                      <a:ln>
                        <a:noFill/>
                      </a:ln>
                    </wps:spPr>
                    <wps:txbx>
                      <w:txbxContent>
                        <w:p w14:paraId="155BF830" w14:textId="044CF520" w:rsidR="0028477A" w:rsidRPr="0028477A" w:rsidRDefault="0028477A" w:rsidP="0028477A">
                          <w:pPr>
                            <w:rPr>
                              <w:rFonts w:ascii="Calibri" w:eastAsia="Calibri" w:hAnsi="Calibri" w:cs="Calibri"/>
                              <w:noProof/>
                              <w:color w:val="000000"/>
                              <w:sz w:val="18"/>
                              <w:szCs w:val="18"/>
                            </w:rPr>
                          </w:pPr>
                          <w:r w:rsidRPr="0028477A">
                            <w:rPr>
                              <w:rFonts w:ascii="Calibri" w:eastAsia="Calibri" w:hAnsi="Calibri" w:cs="Calibri"/>
                              <w:noProof/>
                              <w:color w:val="000000"/>
                              <w:sz w:val="18"/>
                              <w:szCs w:val="18"/>
                            </w:rPr>
                            <w:t>VIG_CZ:Důvěrné/Confidential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EA9FD6" id="_x0000_t202" coordsize="21600,21600" o:spt="202" path="m,l,21600r21600,l21600,xe">
              <v:stroke joinstyle="miter"/>
              <v:path gradientshapeok="t" o:connecttype="rect"/>
            </v:shapetype>
            <v:shape id="Textové pole 3" o:spid="_x0000_s1027" type="#_x0000_t202" alt="VIG_CZ:Důvěrné/Confidential" style="position:absolute;margin-left:0;margin-top:0;width:128.1pt;height:2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" filled="f" stroked="f">
              <v:textbox style="mso-fit-shape-to-text:t" inset="20pt,0,0,15pt">
                <w:txbxContent>
                  <w:p w14:paraId="155BF830" w14:textId="044CF520" w:rsidR="0028477A" w:rsidRPr="0028477A" w:rsidRDefault="0028477A" w:rsidP="0028477A">
                    <w:pPr>
                      <w:rPr>
                        <w:rFonts w:ascii="Calibri" w:eastAsia="Calibri" w:hAnsi="Calibri" w:cs="Calibri"/>
                        <w:noProof/>
                        <w:color w:val="000000"/>
                        <w:sz w:val="18"/>
                        <w:szCs w:val="18"/>
                      </w:rPr>
                    </w:pPr>
                    <w:r w:rsidRPr="0028477A">
                      <w:rPr>
                        <w:rFonts w:ascii="Calibri" w:eastAsia="Calibri" w:hAnsi="Calibri" w:cs="Calibri"/>
                        <w:noProof/>
                        <w:color w:val="000000"/>
                        <w:sz w:val="18"/>
                        <w:szCs w:val="18"/>
                      </w:rPr>
                      <w:t>VIG_CZ:Důvěrné/Confidential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30CA" w14:textId="76ACA940" w:rsidR="0028477A" w:rsidRDefault="0028477A">
    <w:pPr>
      <w:pStyle w:val="Zpat"/>
    </w:pPr>
    <w:r>
      <w:rPr>
        <w:noProof/>
      </w:rPr>
      <mc:AlternateContent>
        <mc:Choice Requires="wps">
          <w:drawing>
            <wp:anchor distT="0" distB="0" distL="0" distR="0" simplePos="0" relativeHeight="251658240" behindDoc="0" locked="0" layoutInCell="1" allowOverlap="1" wp14:anchorId="58E5F1AA" wp14:editId="1BACAF4C">
              <wp:simplePos x="723900" y="10077450"/>
              <wp:positionH relativeFrom="page">
                <wp:align>left</wp:align>
              </wp:positionH>
              <wp:positionV relativeFrom="page">
                <wp:align>bottom</wp:align>
              </wp:positionV>
              <wp:extent cx="1626870" cy="330200"/>
              <wp:effectExtent l="0" t="0" r="11430" b="0"/>
              <wp:wrapNone/>
              <wp:docPr id="317516828" name="Textové pole 1" descr="VIG_CZ:Důvěrné/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6870" cy="330200"/>
                      </a:xfrm>
                      <a:prstGeom prst="rect">
                        <a:avLst/>
                      </a:prstGeom>
                      <a:noFill/>
                      <a:ln>
                        <a:noFill/>
                      </a:ln>
                    </wps:spPr>
                    <wps:txbx>
                      <w:txbxContent>
                        <w:p w14:paraId="2D36C9B9" w14:textId="29E57FB2" w:rsidR="0028477A" w:rsidRPr="0028477A" w:rsidRDefault="0028477A" w:rsidP="0028477A">
                          <w:pPr>
                            <w:rPr>
                              <w:rFonts w:ascii="Calibri" w:eastAsia="Calibri" w:hAnsi="Calibri" w:cs="Calibri"/>
                              <w:noProof/>
                              <w:color w:val="000000"/>
                              <w:sz w:val="18"/>
                              <w:szCs w:val="18"/>
                            </w:rPr>
                          </w:pPr>
                          <w:r w:rsidRPr="0028477A">
                            <w:rPr>
                              <w:rFonts w:ascii="Calibri" w:eastAsia="Calibri" w:hAnsi="Calibri" w:cs="Calibri"/>
                              <w:noProof/>
                              <w:color w:val="000000"/>
                              <w:sz w:val="18"/>
                              <w:szCs w:val="18"/>
                            </w:rPr>
                            <w:t>VIG_CZ:Důvěrné/Confidential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5F1AA" id="_x0000_t202" coordsize="21600,21600" o:spt="202" path="m,l,21600r21600,l21600,xe">
              <v:stroke joinstyle="miter"/>
              <v:path gradientshapeok="t" o:connecttype="rect"/>
            </v:shapetype>
            <v:shape id="Textové pole 1" o:spid="_x0000_s1028" type="#_x0000_t202" alt="VIG_CZ:Důvěrné/Confidential" style="position:absolute;margin-left:0;margin-top:0;width:128.1pt;height:2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" filled="f" stroked="f">
              <v:textbox style="mso-fit-shape-to-text:t" inset="20pt,0,0,15pt">
                <w:txbxContent>
                  <w:p w14:paraId="2D36C9B9" w14:textId="29E57FB2" w:rsidR="0028477A" w:rsidRPr="0028477A" w:rsidRDefault="0028477A" w:rsidP="0028477A">
                    <w:pPr>
                      <w:rPr>
                        <w:rFonts w:ascii="Calibri" w:eastAsia="Calibri" w:hAnsi="Calibri" w:cs="Calibri"/>
                        <w:noProof/>
                        <w:color w:val="000000"/>
                        <w:sz w:val="18"/>
                        <w:szCs w:val="18"/>
                      </w:rPr>
                    </w:pPr>
                    <w:r w:rsidRPr="0028477A">
                      <w:rPr>
                        <w:rFonts w:ascii="Calibri" w:eastAsia="Calibri" w:hAnsi="Calibri" w:cs="Calibri"/>
                        <w:noProof/>
                        <w:color w:val="000000"/>
                        <w:sz w:val="18"/>
                        <w:szCs w:val="18"/>
                      </w:rPr>
                      <w:t>VIG_CZ:Důvěrné/Confidential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49C4" w14:textId="77777777" w:rsidR="001054B8" w:rsidRDefault="001054B8">
      <w:r>
        <w:separator/>
      </w:r>
    </w:p>
  </w:footnote>
  <w:footnote w:type="continuationSeparator" w:id="0">
    <w:p w14:paraId="332D80C6" w14:textId="77777777" w:rsidR="001054B8" w:rsidRDefault="001054B8">
      <w:r>
        <w:continuationSeparator/>
      </w:r>
    </w:p>
  </w:footnote>
  <w:footnote w:type="continuationNotice" w:id="1">
    <w:p w14:paraId="0D1BC4B2" w14:textId="77777777" w:rsidR="001054B8" w:rsidRDefault="001054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C1F8" w14:textId="77777777" w:rsidR="003272DC" w:rsidRPr="00652055" w:rsidRDefault="003272DC" w:rsidP="00652055">
    <w:pPr>
      <w:pStyle w:val="Zhlav"/>
    </w:pPr>
    <w:r>
      <w:rPr>
        <w:sz w:val="23"/>
        <w:szCs w:val="23"/>
      </w:rPr>
      <w:tab/>
    </w:r>
    <w:r>
      <w:rPr>
        <w:sz w:val="23"/>
        <w:szCs w:val="23"/>
      </w:rPr>
      <w:tab/>
    </w:r>
    <w:r w:rsidRPr="00E647D9">
      <w:rPr>
        <w:sz w:val="23"/>
        <w:szCs w:val="23"/>
      </w:rPr>
      <w:t xml:space="preserve">Stránka </w:t>
    </w:r>
    <w:r w:rsidRPr="00E647D9">
      <w:rPr>
        <w:b/>
        <w:sz w:val="23"/>
        <w:szCs w:val="23"/>
      </w:rPr>
      <w:fldChar w:fldCharType="begin"/>
    </w:r>
    <w:r w:rsidRPr="00E647D9">
      <w:rPr>
        <w:b/>
        <w:sz w:val="23"/>
        <w:szCs w:val="23"/>
      </w:rPr>
      <w:instrText>PAGE  \* Arabic  \* MERGEFORMAT</w:instrText>
    </w:r>
    <w:r w:rsidRPr="00E647D9">
      <w:rPr>
        <w:b/>
        <w:sz w:val="23"/>
        <w:szCs w:val="23"/>
      </w:rPr>
      <w:fldChar w:fldCharType="separate"/>
    </w:r>
    <w:r w:rsidR="009023B6">
      <w:rPr>
        <w:b/>
        <w:noProof/>
        <w:sz w:val="23"/>
        <w:szCs w:val="23"/>
      </w:rPr>
      <w:t>5</w:t>
    </w:r>
    <w:r w:rsidRPr="00E647D9">
      <w:rPr>
        <w:b/>
        <w:sz w:val="23"/>
        <w:szCs w:val="23"/>
      </w:rPr>
      <w:fldChar w:fldCharType="end"/>
    </w:r>
    <w:r w:rsidRPr="00E647D9">
      <w:rPr>
        <w:sz w:val="23"/>
        <w:szCs w:val="23"/>
      </w:rPr>
      <w:t xml:space="preserve"> z </w:t>
    </w:r>
    <w:r w:rsidRPr="00E647D9">
      <w:rPr>
        <w:b/>
        <w:sz w:val="23"/>
        <w:szCs w:val="23"/>
      </w:rPr>
      <w:fldChar w:fldCharType="begin"/>
    </w:r>
    <w:r w:rsidRPr="00E647D9">
      <w:rPr>
        <w:b/>
        <w:sz w:val="23"/>
        <w:szCs w:val="23"/>
      </w:rPr>
      <w:instrText>NUMPAGES  \* Arabic  \* MERGEFORMAT</w:instrText>
    </w:r>
    <w:r w:rsidRPr="00E647D9">
      <w:rPr>
        <w:b/>
        <w:sz w:val="23"/>
        <w:szCs w:val="23"/>
      </w:rPr>
      <w:fldChar w:fldCharType="separate"/>
    </w:r>
    <w:r w:rsidR="009023B6">
      <w:rPr>
        <w:b/>
        <w:noProof/>
        <w:sz w:val="23"/>
        <w:szCs w:val="23"/>
      </w:rPr>
      <w:t>9</w:t>
    </w:r>
    <w:r w:rsidRPr="00E647D9">
      <w:rPr>
        <w:b/>
        <w:sz w:val="23"/>
        <w:szCs w:val="2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EC83" w14:textId="77777777" w:rsidR="003272DC" w:rsidRPr="00A61619" w:rsidRDefault="003272DC" w:rsidP="00652055">
    <w:pPr>
      <w:pStyle w:val="Zhlav"/>
    </w:pPr>
    <w:r>
      <w:rPr>
        <w:sz w:val="23"/>
        <w:szCs w:val="23"/>
      </w:rPr>
      <w:tab/>
    </w:r>
    <w:r>
      <w:rPr>
        <w:sz w:val="23"/>
        <w:szCs w:val="23"/>
      </w:rPr>
      <w:tab/>
    </w:r>
  </w:p>
  <w:p w14:paraId="7BDA2CF0" w14:textId="77777777" w:rsidR="003272DC" w:rsidRDefault="003272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b/>
        <w:bCs w:val="0"/>
        <w:i w:val="0"/>
        <w:iCs w:val="0"/>
        <w: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webHidden w:val="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webHidden w:val="0"/>
        <w:sz w:val="20"/>
        <w:u w:val="none"/>
        <w:effect w:val="none"/>
        <w:vertAlign w:val="baseline"/>
        <w:specVanish w:val="0"/>
      </w:rPr>
    </w:lvl>
    <w:lvl w:ilvl="3">
      <w:start w:val="1"/>
      <w:numFmt w:val="decimal"/>
      <w:lvlText w:val="%1.%2.%3.%4."/>
      <w:lvlJc w:val="left"/>
      <w:pPr>
        <w:ind w:left="425" w:hanging="425"/>
      </w:pPr>
    </w:lvl>
    <w:lvl w:ilvl="4">
      <w:start w:val="1"/>
      <w:numFmt w:val="decimal"/>
      <w:lvlText w:val="%1.%2.%3.%4.%5."/>
      <w:lvlJc w:val="left"/>
      <w:pPr>
        <w:ind w:left="425" w:hanging="425"/>
      </w:pPr>
    </w:lvl>
    <w:lvl w:ilvl="5">
      <w:start w:val="1"/>
      <w:numFmt w:val="decimal"/>
      <w:lvlText w:val="%1.%2.%3.%4.%5.%6."/>
      <w:lvlJc w:val="left"/>
      <w:pPr>
        <w:ind w:left="425" w:hanging="425"/>
      </w:pPr>
    </w:lvl>
    <w:lvl w:ilvl="6">
      <w:start w:val="1"/>
      <w:numFmt w:val="decimal"/>
      <w:lvlText w:val="%1.%2.%3.%4.%5.%6.%7."/>
      <w:lvlJc w:val="left"/>
      <w:pPr>
        <w:ind w:left="425" w:hanging="425"/>
      </w:pPr>
    </w:lvl>
    <w:lvl w:ilvl="7">
      <w:start w:val="1"/>
      <w:numFmt w:val="decimal"/>
      <w:lvlText w:val="%1.%2.%3.%4.%5.%6.%7.%8."/>
      <w:lvlJc w:val="left"/>
      <w:pPr>
        <w:ind w:left="425" w:hanging="425"/>
      </w:pPr>
    </w:lvl>
    <w:lvl w:ilvl="8">
      <w:start w:val="1"/>
      <w:numFmt w:val="decimal"/>
      <w:lvlText w:val="%1.%2.%3.%4.%5.%6.%7.%8.%9."/>
      <w:lvlJc w:val="left"/>
      <w:pPr>
        <w:ind w:left="425" w:hanging="425"/>
      </w:p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1F271C"/>
    <w:multiLevelType w:val="multilevel"/>
    <w:tmpl w:val="68C83CF8"/>
    <w:lvl w:ilvl="0">
      <w:start w:val="2"/>
      <w:numFmt w:val="decimal"/>
      <w:lvlText w:val="%1."/>
      <w:lvlJc w:val="left"/>
      <w:pPr>
        <w:ind w:left="360" w:hanging="360"/>
      </w:pPr>
      <w:rPr>
        <w:rFonts w:cs="Arial" w:hint="default"/>
        <w:b/>
        <w:color w:val="auto"/>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7" w15:restartNumberingAfterBreak="0">
    <w:nsid w:val="20F058CE"/>
    <w:multiLevelType w:val="hybridMultilevel"/>
    <w:tmpl w:val="96B65D90"/>
    <w:lvl w:ilvl="0" w:tplc="D4AEA4A0">
      <w:start w:val="1"/>
      <w:numFmt w:val="decimal"/>
      <w:lvlText w:val="%1."/>
      <w:lvlJc w:val="left"/>
      <w:pPr>
        <w:tabs>
          <w:tab w:val="num" w:pos="502"/>
        </w:tabs>
        <w:ind w:left="502" w:hanging="360"/>
      </w:pPr>
      <w:rPr>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BD4952"/>
    <w:multiLevelType w:val="hybridMultilevel"/>
    <w:tmpl w:val="7D689516"/>
    <w:lvl w:ilvl="0" w:tplc="0405000F">
      <w:start w:val="1"/>
      <w:numFmt w:val="decimal"/>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4"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5"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5FC77D1"/>
    <w:multiLevelType w:val="multilevel"/>
    <w:tmpl w:val="B51C7B5A"/>
    <w:lvl w:ilvl="0">
      <w:start w:val="1"/>
      <w:numFmt w:val="decimal"/>
      <w:lvlText w:val="%1."/>
      <w:lvlJc w:val="left"/>
      <w:pPr>
        <w:tabs>
          <w:tab w:val="num" w:pos="425"/>
        </w:tabs>
        <w:ind w:left="425" w:hanging="425"/>
      </w:pPr>
      <w:rPr>
        <w:rFonts w:hint="default"/>
        <w:b/>
        <w:bCs/>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3"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4"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60080587">
    <w:abstractNumId w:val="8"/>
  </w:num>
  <w:num w:numId="2" w16cid:durableId="45955638">
    <w:abstractNumId w:val="24"/>
  </w:num>
  <w:num w:numId="3" w16cid:durableId="560362403">
    <w:abstractNumId w:val="10"/>
  </w:num>
  <w:num w:numId="4" w16cid:durableId="1568415288">
    <w:abstractNumId w:val="22"/>
  </w:num>
  <w:num w:numId="5" w16cid:durableId="37823762">
    <w:abstractNumId w:val="14"/>
  </w:num>
  <w:num w:numId="6" w16cid:durableId="1701469737">
    <w:abstractNumId w:val="15"/>
  </w:num>
  <w:num w:numId="7" w16cid:durableId="27880101">
    <w:abstractNumId w:val="12"/>
  </w:num>
  <w:num w:numId="8" w16cid:durableId="282880367">
    <w:abstractNumId w:val="11"/>
  </w:num>
  <w:num w:numId="9" w16cid:durableId="574049005">
    <w:abstractNumId w:val="25"/>
  </w:num>
  <w:num w:numId="10" w16cid:durableId="1590965312">
    <w:abstractNumId w:val="2"/>
  </w:num>
  <w:num w:numId="11" w16cid:durableId="1658414047">
    <w:abstractNumId w:val="19"/>
  </w:num>
  <w:num w:numId="12" w16cid:durableId="465466943">
    <w:abstractNumId w:val="16"/>
  </w:num>
  <w:num w:numId="13" w16cid:durableId="1191525526">
    <w:abstractNumId w:val="13"/>
  </w:num>
  <w:num w:numId="14" w16cid:durableId="684138200">
    <w:abstractNumId w:val="27"/>
  </w:num>
  <w:num w:numId="15" w16cid:durableId="328407358">
    <w:abstractNumId w:val="20"/>
  </w:num>
  <w:num w:numId="16" w16cid:durableId="1823160729">
    <w:abstractNumId w:val="18"/>
  </w:num>
  <w:num w:numId="17" w16cid:durableId="1940871034">
    <w:abstractNumId w:val="26"/>
  </w:num>
  <w:num w:numId="18" w16cid:durableId="1619070575">
    <w:abstractNumId w:val="7"/>
  </w:num>
  <w:num w:numId="19" w16cid:durableId="2072264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7040166">
    <w:abstractNumId w:val="23"/>
  </w:num>
  <w:num w:numId="21" w16cid:durableId="302856034">
    <w:abstractNumId w:val="4"/>
  </w:num>
  <w:num w:numId="22" w16cid:durableId="1451195804">
    <w:abstractNumId w:val="21"/>
  </w:num>
  <w:num w:numId="23" w16cid:durableId="265970167">
    <w:abstractNumId w:val="3"/>
  </w:num>
  <w:num w:numId="24" w16cid:durableId="1903905541">
    <w:abstractNumId w:val="17"/>
  </w:num>
  <w:num w:numId="25" w16cid:durableId="1828550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365388">
    <w:abstractNumId w:val="9"/>
  </w:num>
  <w:num w:numId="27" w16cid:durableId="1939169105">
    <w:abstractNumId w:val="6"/>
  </w:num>
  <w:num w:numId="28" w16cid:durableId="1498812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17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6546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9632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3E10"/>
    <w:rsid w:val="00004162"/>
    <w:rsid w:val="00004DDB"/>
    <w:rsid w:val="00005295"/>
    <w:rsid w:val="000056C9"/>
    <w:rsid w:val="000056CE"/>
    <w:rsid w:val="00005E41"/>
    <w:rsid w:val="000067B5"/>
    <w:rsid w:val="0001024B"/>
    <w:rsid w:val="0001084B"/>
    <w:rsid w:val="00012595"/>
    <w:rsid w:val="000140B5"/>
    <w:rsid w:val="00014FBC"/>
    <w:rsid w:val="00016200"/>
    <w:rsid w:val="00016882"/>
    <w:rsid w:val="00020761"/>
    <w:rsid w:val="00020DF0"/>
    <w:rsid w:val="0002306A"/>
    <w:rsid w:val="000239FC"/>
    <w:rsid w:val="00023E0F"/>
    <w:rsid w:val="000269DE"/>
    <w:rsid w:val="00027092"/>
    <w:rsid w:val="000277E9"/>
    <w:rsid w:val="00030387"/>
    <w:rsid w:val="00032351"/>
    <w:rsid w:val="000333B4"/>
    <w:rsid w:val="00033F43"/>
    <w:rsid w:val="0003415C"/>
    <w:rsid w:val="000341AF"/>
    <w:rsid w:val="000343B2"/>
    <w:rsid w:val="00034C66"/>
    <w:rsid w:val="000351E8"/>
    <w:rsid w:val="000359D6"/>
    <w:rsid w:val="0004115E"/>
    <w:rsid w:val="00041436"/>
    <w:rsid w:val="0004260F"/>
    <w:rsid w:val="000449B9"/>
    <w:rsid w:val="000457A9"/>
    <w:rsid w:val="000459CA"/>
    <w:rsid w:val="00045DC6"/>
    <w:rsid w:val="000468DB"/>
    <w:rsid w:val="000472C7"/>
    <w:rsid w:val="000540F2"/>
    <w:rsid w:val="00055603"/>
    <w:rsid w:val="00055DDC"/>
    <w:rsid w:val="000601C7"/>
    <w:rsid w:val="000607E3"/>
    <w:rsid w:val="00060851"/>
    <w:rsid w:val="00063BD3"/>
    <w:rsid w:val="000664A2"/>
    <w:rsid w:val="0006707A"/>
    <w:rsid w:val="00073728"/>
    <w:rsid w:val="00076706"/>
    <w:rsid w:val="00077008"/>
    <w:rsid w:val="00077079"/>
    <w:rsid w:val="00077718"/>
    <w:rsid w:val="00077F31"/>
    <w:rsid w:val="000802BE"/>
    <w:rsid w:val="00080B9C"/>
    <w:rsid w:val="00081E97"/>
    <w:rsid w:val="00082056"/>
    <w:rsid w:val="00082DE6"/>
    <w:rsid w:val="000836F1"/>
    <w:rsid w:val="000838D3"/>
    <w:rsid w:val="00084B53"/>
    <w:rsid w:val="00084DA2"/>
    <w:rsid w:val="00084F31"/>
    <w:rsid w:val="00085618"/>
    <w:rsid w:val="00087D15"/>
    <w:rsid w:val="00090ECC"/>
    <w:rsid w:val="00091481"/>
    <w:rsid w:val="00091FE9"/>
    <w:rsid w:val="00093132"/>
    <w:rsid w:val="000942AE"/>
    <w:rsid w:val="00097110"/>
    <w:rsid w:val="0009786D"/>
    <w:rsid w:val="00097CD0"/>
    <w:rsid w:val="000A025A"/>
    <w:rsid w:val="000A0F71"/>
    <w:rsid w:val="000A10CA"/>
    <w:rsid w:val="000A12C3"/>
    <w:rsid w:val="000A1713"/>
    <w:rsid w:val="000A2D57"/>
    <w:rsid w:val="000A35C7"/>
    <w:rsid w:val="000A3B0B"/>
    <w:rsid w:val="000A5909"/>
    <w:rsid w:val="000A6CC5"/>
    <w:rsid w:val="000B0C00"/>
    <w:rsid w:val="000B0F48"/>
    <w:rsid w:val="000B1956"/>
    <w:rsid w:val="000B1F01"/>
    <w:rsid w:val="000B3E68"/>
    <w:rsid w:val="000B3E8B"/>
    <w:rsid w:val="000B4166"/>
    <w:rsid w:val="000C117C"/>
    <w:rsid w:val="000C19A5"/>
    <w:rsid w:val="000C6477"/>
    <w:rsid w:val="000C676E"/>
    <w:rsid w:val="000D0067"/>
    <w:rsid w:val="000D04DB"/>
    <w:rsid w:val="000D0FEA"/>
    <w:rsid w:val="000D4069"/>
    <w:rsid w:val="000E0C9E"/>
    <w:rsid w:val="000E1327"/>
    <w:rsid w:val="000E1C86"/>
    <w:rsid w:val="000E3E9F"/>
    <w:rsid w:val="000E51F6"/>
    <w:rsid w:val="000E529B"/>
    <w:rsid w:val="000E562C"/>
    <w:rsid w:val="000E61CC"/>
    <w:rsid w:val="000E6472"/>
    <w:rsid w:val="000E6751"/>
    <w:rsid w:val="000E7A1F"/>
    <w:rsid w:val="000F00E6"/>
    <w:rsid w:val="000F0AAC"/>
    <w:rsid w:val="000F0B7B"/>
    <w:rsid w:val="000F15BE"/>
    <w:rsid w:val="000F2EBD"/>
    <w:rsid w:val="000F414C"/>
    <w:rsid w:val="000F4D58"/>
    <w:rsid w:val="000F4DC1"/>
    <w:rsid w:val="000F5B35"/>
    <w:rsid w:val="000F79D8"/>
    <w:rsid w:val="00100183"/>
    <w:rsid w:val="001031FB"/>
    <w:rsid w:val="0010468E"/>
    <w:rsid w:val="00104FFD"/>
    <w:rsid w:val="001050E9"/>
    <w:rsid w:val="001054B8"/>
    <w:rsid w:val="00107F95"/>
    <w:rsid w:val="001109FB"/>
    <w:rsid w:val="00110EE9"/>
    <w:rsid w:val="00113820"/>
    <w:rsid w:val="00113DF5"/>
    <w:rsid w:val="00115036"/>
    <w:rsid w:val="00117904"/>
    <w:rsid w:val="00117FC6"/>
    <w:rsid w:val="00120CF7"/>
    <w:rsid w:val="00121F8B"/>
    <w:rsid w:val="00124639"/>
    <w:rsid w:val="00126A19"/>
    <w:rsid w:val="001300CE"/>
    <w:rsid w:val="00130530"/>
    <w:rsid w:val="00130538"/>
    <w:rsid w:val="001309B0"/>
    <w:rsid w:val="00132DFA"/>
    <w:rsid w:val="001330AA"/>
    <w:rsid w:val="00133185"/>
    <w:rsid w:val="00134D8E"/>
    <w:rsid w:val="00135937"/>
    <w:rsid w:val="0013749C"/>
    <w:rsid w:val="0014043E"/>
    <w:rsid w:val="00142256"/>
    <w:rsid w:val="00142655"/>
    <w:rsid w:val="00143601"/>
    <w:rsid w:val="00143FF3"/>
    <w:rsid w:val="001442F1"/>
    <w:rsid w:val="0014506A"/>
    <w:rsid w:val="001463E7"/>
    <w:rsid w:val="00152E65"/>
    <w:rsid w:val="001532C9"/>
    <w:rsid w:val="001537F4"/>
    <w:rsid w:val="00154E1F"/>
    <w:rsid w:val="00154F5A"/>
    <w:rsid w:val="00155459"/>
    <w:rsid w:val="001569DC"/>
    <w:rsid w:val="001607F9"/>
    <w:rsid w:val="00162D2D"/>
    <w:rsid w:val="001637A1"/>
    <w:rsid w:val="001700E4"/>
    <w:rsid w:val="001715DD"/>
    <w:rsid w:val="00171721"/>
    <w:rsid w:val="00172697"/>
    <w:rsid w:val="00174270"/>
    <w:rsid w:val="00175BEA"/>
    <w:rsid w:val="00175D09"/>
    <w:rsid w:val="00175F45"/>
    <w:rsid w:val="00176006"/>
    <w:rsid w:val="00176707"/>
    <w:rsid w:val="001768B3"/>
    <w:rsid w:val="00176FAD"/>
    <w:rsid w:val="001773E3"/>
    <w:rsid w:val="00177869"/>
    <w:rsid w:val="00181409"/>
    <w:rsid w:val="001814E1"/>
    <w:rsid w:val="001823D9"/>
    <w:rsid w:val="00182F57"/>
    <w:rsid w:val="00185130"/>
    <w:rsid w:val="00186D56"/>
    <w:rsid w:val="00186F70"/>
    <w:rsid w:val="00187CA7"/>
    <w:rsid w:val="00191D43"/>
    <w:rsid w:val="00192160"/>
    <w:rsid w:val="00192ACC"/>
    <w:rsid w:val="00192D1A"/>
    <w:rsid w:val="00195791"/>
    <w:rsid w:val="00195CF1"/>
    <w:rsid w:val="001A01D6"/>
    <w:rsid w:val="001A0313"/>
    <w:rsid w:val="001A1129"/>
    <w:rsid w:val="001A1B1C"/>
    <w:rsid w:val="001A22F7"/>
    <w:rsid w:val="001A2CD7"/>
    <w:rsid w:val="001A3F5A"/>
    <w:rsid w:val="001A50C9"/>
    <w:rsid w:val="001A523E"/>
    <w:rsid w:val="001A683B"/>
    <w:rsid w:val="001A71C6"/>
    <w:rsid w:val="001A7313"/>
    <w:rsid w:val="001A738F"/>
    <w:rsid w:val="001B0AF8"/>
    <w:rsid w:val="001B10AD"/>
    <w:rsid w:val="001B129A"/>
    <w:rsid w:val="001B1A57"/>
    <w:rsid w:val="001B1FBE"/>
    <w:rsid w:val="001B3EA8"/>
    <w:rsid w:val="001B75B2"/>
    <w:rsid w:val="001C11D7"/>
    <w:rsid w:val="001C25B7"/>
    <w:rsid w:val="001C2A7F"/>
    <w:rsid w:val="001C3896"/>
    <w:rsid w:val="001C3BC4"/>
    <w:rsid w:val="001C46FA"/>
    <w:rsid w:val="001C493A"/>
    <w:rsid w:val="001C4B48"/>
    <w:rsid w:val="001C4C5E"/>
    <w:rsid w:val="001C7BF8"/>
    <w:rsid w:val="001D0842"/>
    <w:rsid w:val="001D37E9"/>
    <w:rsid w:val="001D3D4C"/>
    <w:rsid w:val="001D53C1"/>
    <w:rsid w:val="001D573C"/>
    <w:rsid w:val="001D5B36"/>
    <w:rsid w:val="001D7F15"/>
    <w:rsid w:val="001E311D"/>
    <w:rsid w:val="001E49F2"/>
    <w:rsid w:val="001E552A"/>
    <w:rsid w:val="001F1C6E"/>
    <w:rsid w:val="001F77D4"/>
    <w:rsid w:val="00200A87"/>
    <w:rsid w:val="00200FF3"/>
    <w:rsid w:val="00201F84"/>
    <w:rsid w:val="002021DB"/>
    <w:rsid w:val="00202AF3"/>
    <w:rsid w:val="00204BD1"/>
    <w:rsid w:val="00205AF2"/>
    <w:rsid w:val="00206023"/>
    <w:rsid w:val="00206A38"/>
    <w:rsid w:val="00206D6D"/>
    <w:rsid w:val="00207BD3"/>
    <w:rsid w:val="00211E44"/>
    <w:rsid w:val="0021227B"/>
    <w:rsid w:val="00213AAC"/>
    <w:rsid w:val="002153D3"/>
    <w:rsid w:val="00215B4F"/>
    <w:rsid w:val="00215E8B"/>
    <w:rsid w:val="00216A5D"/>
    <w:rsid w:val="00216C2E"/>
    <w:rsid w:val="00221407"/>
    <w:rsid w:val="00222748"/>
    <w:rsid w:val="002228DC"/>
    <w:rsid w:val="002233B9"/>
    <w:rsid w:val="00224037"/>
    <w:rsid w:val="00224653"/>
    <w:rsid w:val="00224672"/>
    <w:rsid w:val="002250DE"/>
    <w:rsid w:val="002251FB"/>
    <w:rsid w:val="00225464"/>
    <w:rsid w:val="002256B0"/>
    <w:rsid w:val="00225A76"/>
    <w:rsid w:val="0022613A"/>
    <w:rsid w:val="002267B4"/>
    <w:rsid w:val="00226E44"/>
    <w:rsid w:val="002271D4"/>
    <w:rsid w:val="00230100"/>
    <w:rsid w:val="002316B5"/>
    <w:rsid w:val="00231969"/>
    <w:rsid w:val="0023273B"/>
    <w:rsid w:val="002327ED"/>
    <w:rsid w:val="00232A2E"/>
    <w:rsid w:val="00232B65"/>
    <w:rsid w:val="00232BA8"/>
    <w:rsid w:val="002341AD"/>
    <w:rsid w:val="00234231"/>
    <w:rsid w:val="00235C0B"/>
    <w:rsid w:val="00235F27"/>
    <w:rsid w:val="002378A0"/>
    <w:rsid w:val="00244DC2"/>
    <w:rsid w:val="002459D2"/>
    <w:rsid w:val="0024728D"/>
    <w:rsid w:val="00247BFA"/>
    <w:rsid w:val="002504F1"/>
    <w:rsid w:val="0025068D"/>
    <w:rsid w:val="00250903"/>
    <w:rsid w:val="00250D67"/>
    <w:rsid w:val="002518B3"/>
    <w:rsid w:val="00251F9C"/>
    <w:rsid w:val="00252372"/>
    <w:rsid w:val="00253D52"/>
    <w:rsid w:val="00254D75"/>
    <w:rsid w:val="00257C49"/>
    <w:rsid w:val="00262FC8"/>
    <w:rsid w:val="00263019"/>
    <w:rsid w:val="002634CC"/>
    <w:rsid w:val="00263CDF"/>
    <w:rsid w:val="00264FB0"/>
    <w:rsid w:val="0027116E"/>
    <w:rsid w:val="00272535"/>
    <w:rsid w:val="002738BA"/>
    <w:rsid w:val="00273FFA"/>
    <w:rsid w:val="002748CA"/>
    <w:rsid w:val="00275215"/>
    <w:rsid w:val="002761F5"/>
    <w:rsid w:val="002764DC"/>
    <w:rsid w:val="002764E4"/>
    <w:rsid w:val="002766F6"/>
    <w:rsid w:val="002767DD"/>
    <w:rsid w:val="00277257"/>
    <w:rsid w:val="002778BC"/>
    <w:rsid w:val="00280893"/>
    <w:rsid w:val="00280B20"/>
    <w:rsid w:val="0028115C"/>
    <w:rsid w:val="00282AF9"/>
    <w:rsid w:val="00282B75"/>
    <w:rsid w:val="00282C24"/>
    <w:rsid w:val="0028468F"/>
    <w:rsid w:val="0028477A"/>
    <w:rsid w:val="00284D53"/>
    <w:rsid w:val="00286872"/>
    <w:rsid w:val="002904DC"/>
    <w:rsid w:val="00291075"/>
    <w:rsid w:val="002910B4"/>
    <w:rsid w:val="0029187F"/>
    <w:rsid w:val="00292160"/>
    <w:rsid w:val="00294D72"/>
    <w:rsid w:val="00296295"/>
    <w:rsid w:val="00296CAE"/>
    <w:rsid w:val="00297FA7"/>
    <w:rsid w:val="00297FCC"/>
    <w:rsid w:val="002A1588"/>
    <w:rsid w:val="002A1AA1"/>
    <w:rsid w:val="002A23E6"/>
    <w:rsid w:val="002A2FC0"/>
    <w:rsid w:val="002A341D"/>
    <w:rsid w:val="002A58DB"/>
    <w:rsid w:val="002A5CE1"/>
    <w:rsid w:val="002B08EB"/>
    <w:rsid w:val="002B091F"/>
    <w:rsid w:val="002B2133"/>
    <w:rsid w:val="002B2C04"/>
    <w:rsid w:val="002B3C14"/>
    <w:rsid w:val="002B43ED"/>
    <w:rsid w:val="002B4B57"/>
    <w:rsid w:val="002B57A6"/>
    <w:rsid w:val="002B6EAE"/>
    <w:rsid w:val="002B73F5"/>
    <w:rsid w:val="002C0C13"/>
    <w:rsid w:val="002C18E9"/>
    <w:rsid w:val="002C2B1D"/>
    <w:rsid w:val="002C4130"/>
    <w:rsid w:val="002C6A91"/>
    <w:rsid w:val="002C7189"/>
    <w:rsid w:val="002D15A4"/>
    <w:rsid w:val="002D22B3"/>
    <w:rsid w:val="002D3244"/>
    <w:rsid w:val="002D4836"/>
    <w:rsid w:val="002D5FBE"/>
    <w:rsid w:val="002E101D"/>
    <w:rsid w:val="002E1AE3"/>
    <w:rsid w:val="002E282B"/>
    <w:rsid w:val="002E4977"/>
    <w:rsid w:val="002E55E5"/>
    <w:rsid w:val="002E5F76"/>
    <w:rsid w:val="002E6FFB"/>
    <w:rsid w:val="002F05B2"/>
    <w:rsid w:val="002F0718"/>
    <w:rsid w:val="002F0AC6"/>
    <w:rsid w:val="002F0CD4"/>
    <w:rsid w:val="002F40D2"/>
    <w:rsid w:val="002F40FB"/>
    <w:rsid w:val="002F78E9"/>
    <w:rsid w:val="00301304"/>
    <w:rsid w:val="003016B8"/>
    <w:rsid w:val="003017CE"/>
    <w:rsid w:val="00305725"/>
    <w:rsid w:val="00305842"/>
    <w:rsid w:val="00306065"/>
    <w:rsid w:val="003068FE"/>
    <w:rsid w:val="00311B0D"/>
    <w:rsid w:val="00311C67"/>
    <w:rsid w:val="00312551"/>
    <w:rsid w:val="00313157"/>
    <w:rsid w:val="0031549B"/>
    <w:rsid w:val="003154F3"/>
    <w:rsid w:val="00317AD3"/>
    <w:rsid w:val="00320BB3"/>
    <w:rsid w:val="0032209A"/>
    <w:rsid w:val="003221D6"/>
    <w:rsid w:val="00323EA7"/>
    <w:rsid w:val="00326087"/>
    <w:rsid w:val="003264A1"/>
    <w:rsid w:val="00326953"/>
    <w:rsid w:val="00327162"/>
    <w:rsid w:val="003272DC"/>
    <w:rsid w:val="003277BC"/>
    <w:rsid w:val="00330496"/>
    <w:rsid w:val="00330D4D"/>
    <w:rsid w:val="00330DA4"/>
    <w:rsid w:val="00331D89"/>
    <w:rsid w:val="00332B78"/>
    <w:rsid w:val="003333CA"/>
    <w:rsid w:val="00335684"/>
    <w:rsid w:val="00335E55"/>
    <w:rsid w:val="00341B9F"/>
    <w:rsid w:val="003425D8"/>
    <w:rsid w:val="00342919"/>
    <w:rsid w:val="00342FF4"/>
    <w:rsid w:val="0034317C"/>
    <w:rsid w:val="00344367"/>
    <w:rsid w:val="003450CC"/>
    <w:rsid w:val="0034551F"/>
    <w:rsid w:val="00345539"/>
    <w:rsid w:val="003464F6"/>
    <w:rsid w:val="003465BD"/>
    <w:rsid w:val="00346B4E"/>
    <w:rsid w:val="00350DB1"/>
    <w:rsid w:val="0035101F"/>
    <w:rsid w:val="00356A38"/>
    <w:rsid w:val="00356A54"/>
    <w:rsid w:val="0035715D"/>
    <w:rsid w:val="003572A6"/>
    <w:rsid w:val="00360BB0"/>
    <w:rsid w:val="00360E3C"/>
    <w:rsid w:val="00361F0A"/>
    <w:rsid w:val="003642DB"/>
    <w:rsid w:val="00365F74"/>
    <w:rsid w:val="003679A4"/>
    <w:rsid w:val="00370387"/>
    <w:rsid w:val="003705FD"/>
    <w:rsid w:val="00371098"/>
    <w:rsid w:val="00371E80"/>
    <w:rsid w:val="00372283"/>
    <w:rsid w:val="00374B0A"/>
    <w:rsid w:val="00374B37"/>
    <w:rsid w:val="00375083"/>
    <w:rsid w:val="003766AA"/>
    <w:rsid w:val="00380524"/>
    <w:rsid w:val="00380BB3"/>
    <w:rsid w:val="00381E13"/>
    <w:rsid w:val="0038256E"/>
    <w:rsid w:val="00382AF2"/>
    <w:rsid w:val="0038407C"/>
    <w:rsid w:val="00384906"/>
    <w:rsid w:val="003865AB"/>
    <w:rsid w:val="003878E4"/>
    <w:rsid w:val="00391366"/>
    <w:rsid w:val="0039186C"/>
    <w:rsid w:val="00392C58"/>
    <w:rsid w:val="0039427E"/>
    <w:rsid w:val="003971E3"/>
    <w:rsid w:val="0039741A"/>
    <w:rsid w:val="00397CE7"/>
    <w:rsid w:val="003A118E"/>
    <w:rsid w:val="003A155F"/>
    <w:rsid w:val="003A2506"/>
    <w:rsid w:val="003A279D"/>
    <w:rsid w:val="003A371C"/>
    <w:rsid w:val="003A413E"/>
    <w:rsid w:val="003A4222"/>
    <w:rsid w:val="003A500B"/>
    <w:rsid w:val="003B17A6"/>
    <w:rsid w:val="003B1811"/>
    <w:rsid w:val="003B2BA7"/>
    <w:rsid w:val="003B3C93"/>
    <w:rsid w:val="003B73D9"/>
    <w:rsid w:val="003B79BF"/>
    <w:rsid w:val="003C0223"/>
    <w:rsid w:val="003C09BD"/>
    <w:rsid w:val="003C0DEB"/>
    <w:rsid w:val="003C191B"/>
    <w:rsid w:val="003C2CE5"/>
    <w:rsid w:val="003C2DB7"/>
    <w:rsid w:val="003C3394"/>
    <w:rsid w:val="003C39FD"/>
    <w:rsid w:val="003C4CCB"/>
    <w:rsid w:val="003C4D8D"/>
    <w:rsid w:val="003C7019"/>
    <w:rsid w:val="003C78F9"/>
    <w:rsid w:val="003C7D48"/>
    <w:rsid w:val="003D0868"/>
    <w:rsid w:val="003D0ADC"/>
    <w:rsid w:val="003D1F93"/>
    <w:rsid w:val="003D204B"/>
    <w:rsid w:val="003D3637"/>
    <w:rsid w:val="003D65DC"/>
    <w:rsid w:val="003E0867"/>
    <w:rsid w:val="003E0C16"/>
    <w:rsid w:val="003E3750"/>
    <w:rsid w:val="003E3841"/>
    <w:rsid w:val="003E6167"/>
    <w:rsid w:val="003F03F5"/>
    <w:rsid w:val="003F1C32"/>
    <w:rsid w:val="003F252F"/>
    <w:rsid w:val="003F2644"/>
    <w:rsid w:val="003F3707"/>
    <w:rsid w:val="003F3E57"/>
    <w:rsid w:val="003F4800"/>
    <w:rsid w:val="003F7218"/>
    <w:rsid w:val="004007E6"/>
    <w:rsid w:val="004036F1"/>
    <w:rsid w:val="00404905"/>
    <w:rsid w:val="00406A5F"/>
    <w:rsid w:val="004079E0"/>
    <w:rsid w:val="0041124A"/>
    <w:rsid w:val="004124A0"/>
    <w:rsid w:val="004149EA"/>
    <w:rsid w:val="0042166D"/>
    <w:rsid w:val="0042176E"/>
    <w:rsid w:val="004239DC"/>
    <w:rsid w:val="00425023"/>
    <w:rsid w:val="00426552"/>
    <w:rsid w:val="004337FE"/>
    <w:rsid w:val="00433D9F"/>
    <w:rsid w:val="00434CCC"/>
    <w:rsid w:val="00434FAF"/>
    <w:rsid w:val="00434FD8"/>
    <w:rsid w:val="0044055C"/>
    <w:rsid w:val="00441A9F"/>
    <w:rsid w:val="004421A3"/>
    <w:rsid w:val="004425A2"/>
    <w:rsid w:val="004450CE"/>
    <w:rsid w:val="004458BA"/>
    <w:rsid w:val="00445E75"/>
    <w:rsid w:val="0044603E"/>
    <w:rsid w:val="0044712E"/>
    <w:rsid w:val="00447CEE"/>
    <w:rsid w:val="00452183"/>
    <w:rsid w:val="0045242F"/>
    <w:rsid w:val="00453225"/>
    <w:rsid w:val="00453F72"/>
    <w:rsid w:val="00454150"/>
    <w:rsid w:val="00456426"/>
    <w:rsid w:val="0046150E"/>
    <w:rsid w:val="00464C42"/>
    <w:rsid w:val="00465726"/>
    <w:rsid w:val="004658EB"/>
    <w:rsid w:val="00465EFD"/>
    <w:rsid w:val="0046667D"/>
    <w:rsid w:val="004718BE"/>
    <w:rsid w:val="00473800"/>
    <w:rsid w:val="00474ACA"/>
    <w:rsid w:val="00476004"/>
    <w:rsid w:val="00476049"/>
    <w:rsid w:val="004764A9"/>
    <w:rsid w:val="00476D9C"/>
    <w:rsid w:val="00477CF1"/>
    <w:rsid w:val="00481386"/>
    <w:rsid w:val="00481705"/>
    <w:rsid w:val="00481756"/>
    <w:rsid w:val="004827DC"/>
    <w:rsid w:val="00482978"/>
    <w:rsid w:val="00483E40"/>
    <w:rsid w:val="00484BB4"/>
    <w:rsid w:val="00484CE2"/>
    <w:rsid w:val="004909E0"/>
    <w:rsid w:val="00491468"/>
    <w:rsid w:val="0049169D"/>
    <w:rsid w:val="004942FC"/>
    <w:rsid w:val="00494E63"/>
    <w:rsid w:val="00496683"/>
    <w:rsid w:val="00496C23"/>
    <w:rsid w:val="00497423"/>
    <w:rsid w:val="004977B4"/>
    <w:rsid w:val="004A0221"/>
    <w:rsid w:val="004A0C8E"/>
    <w:rsid w:val="004A2A87"/>
    <w:rsid w:val="004A2AB9"/>
    <w:rsid w:val="004A345D"/>
    <w:rsid w:val="004A367D"/>
    <w:rsid w:val="004A4129"/>
    <w:rsid w:val="004A42FD"/>
    <w:rsid w:val="004A614C"/>
    <w:rsid w:val="004A73A8"/>
    <w:rsid w:val="004A7B67"/>
    <w:rsid w:val="004B02DB"/>
    <w:rsid w:val="004B0E83"/>
    <w:rsid w:val="004B2A94"/>
    <w:rsid w:val="004B2B44"/>
    <w:rsid w:val="004B3177"/>
    <w:rsid w:val="004B4E8F"/>
    <w:rsid w:val="004B52B8"/>
    <w:rsid w:val="004B5C30"/>
    <w:rsid w:val="004C169B"/>
    <w:rsid w:val="004C1C38"/>
    <w:rsid w:val="004C3298"/>
    <w:rsid w:val="004D25AB"/>
    <w:rsid w:val="004D2B00"/>
    <w:rsid w:val="004D3225"/>
    <w:rsid w:val="004D4F69"/>
    <w:rsid w:val="004E0180"/>
    <w:rsid w:val="004E0C7F"/>
    <w:rsid w:val="004E11DA"/>
    <w:rsid w:val="004E1794"/>
    <w:rsid w:val="004E3092"/>
    <w:rsid w:val="004E3128"/>
    <w:rsid w:val="004E374F"/>
    <w:rsid w:val="004E4907"/>
    <w:rsid w:val="004E5E19"/>
    <w:rsid w:val="004E63A5"/>
    <w:rsid w:val="004E63B1"/>
    <w:rsid w:val="004E7D98"/>
    <w:rsid w:val="004F681F"/>
    <w:rsid w:val="004F714D"/>
    <w:rsid w:val="005003F9"/>
    <w:rsid w:val="0050071C"/>
    <w:rsid w:val="00500F6C"/>
    <w:rsid w:val="00501006"/>
    <w:rsid w:val="0050101E"/>
    <w:rsid w:val="005015FA"/>
    <w:rsid w:val="005029A5"/>
    <w:rsid w:val="00502A56"/>
    <w:rsid w:val="00502BF0"/>
    <w:rsid w:val="00503446"/>
    <w:rsid w:val="00506C8E"/>
    <w:rsid w:val="00511206"/>
    <w:rsid w:val="005128B6"/>
    <w:rsid w:val="00512999"/>
    <w:rsid w:val="00513C02"/>
    <w:rsid w:val="00516021"/>
    <w:rsid w:val="0051698A"/>
    <w:rsid w:val="00517364"/>
    <w:rsid w:val="00521A2D"/>
    <w:rsid w:val="00522735"/>
    <w:rsid w:val="0052287A"/>
    <w:rsid w:val="00523DB1"/>
    <w:rsid w:val="00524197"/>
    <w:rsid w:val="005249F1"/>
    <w:rsid w:val="00527B81"/>
    <w:rsid w:val="0053028B"/>
    <w:rsid w:val="005302DA"/>
    <w:rsid w:val="00530654"/>
    <w:rsid w:val="00530706"/>
    <w:rsid w:val="00531A4B"/>
    <w:rsid w:val="00532F0A"/>
    <w:rsid w:val="00533066"/>
    <w:rsid w:val="0053344E"/>
    <w:rsid w:val="00535590"/>
    <w:rsid w:val="00536D86"/>
    <w:rsid w:val="005375AD"/>
    <w:rsid w:val="00537CD4"/>
    <w:rsid w:val="0054211A"/>
    <w:rsid w:val="00542C10"/>
    <w:rsid w:val="00543CEF"/>
    <w:rsid w:val="0054493C"/>
    <w:rsid w:val="005452A8"/>
    <w:rsid w:val="0054567D"/>
    <w:rsid w:val="00546A22"/>
    <w:rsid w:val="005471ED"/>
    <w:rsid w:val="00547E3D"/>
    <w:rsid w:val="005532F0"/>
    <w:rsid w:val="00556CF6"/>
    <w:rsid w:val="00556F6C"/>
    <w:rsid w:val="0055739D"/>
    <w:rsid w:val="00557681"/>
    <w:rsid w:val="00561901"/>
    <w:rsid w:val="00561DCF"/>
    <w:rsid w:val="0056288F"/>
    <w:rsid w:val="00563C77"/>
    <w:rsid w:val="00565F90"/>
    <w:rsid w:val="0056660E"/>
    <w:rsid w:val="005679B6"/>
    <w:rsid w:val="0057025F"/>
    <w:rsid w:val="0057079C"/>
    <w:rsid w:val="005715B2"/>
    <w:rsid w:val="00573113"/>
    <w:rsid w:val="005753B3"/>
    <w:rsid w:val="00575F21"/>
    <w:rsid w:val="00576522"/>
    <w:rsid w:val="0057676F"/>
    <w:rsid w:val="0058382A"/>
    <w:rsid w:val="00586D62"/>
    <w:rsid w:val="00587741"/>
    <w:rsid w:val="0058782B"/>
    <w:rsid w:val="00587B7B"/>
    <w:rsid w:val="0059062D"/>
    <w:rsid w:val="00590823"/>
    <w:rsid w:val="0059227B"/>
    <w:rsid w:val="00593137"/>
    <w:rsid w:val="00593FB6"/>
    <w:rsid w:val="00595B6B"/>
    <w:rsid w:val="00596C14"/>
    <w:rsid w:val="00597601"/>
    <w:rsid w:val="00597805"/>
    <w:rsid w:val="005A175D"/>
    <w:rsid w:val="005A24AA"/>
    <w:rsid w:val="005A375C"/>
    <w:rsid w:val="005A6E12"/>
    <w:rsid w:val="005A79D1"/>
    <w:rsid w:val="005B0879"/>
    <w:rsid w:val="005B238E"/>
    <w:rsid w:val="005B2961"/>
    <w:rsid w:val="005B32BA"/>
    <w:rsid w:val="005B3C95"/>
    <w:rsid w:val="005B6176"/>
    <w:rsid w:val="005B6A5A"/>
    <w:rsid w:val="005C0A16"/>
    <w:rsid w:val="005C0B08"/>
    <w:rsid w:val="005C1B8E"/>
    <w:rsid w:val="005C305B"/>
    <w:rsid w:val="005C42F8"/>
    <w:rsid w:val="005C52A0"/>
    <w:rsid w:val="005C652E"/>
    <w:rsid w:val="005C66A6"/>
    <w:rsid w:val="005D1089"/>
    <w:rsid w:val="005D29DE"/>
    <w:rsid w:val="005D2D15"/>
    <w:rsid w:val="005D336F"/>
    <w:rsid w:val="005D342B"/>
    <w:rsid w:val="005D3DF0"/>
    <w:rsid w:val="005D4456"/>
    <w:rsid w:val="005D4674"/>
    <w:rsid w:val="005D4A0F"/>
    <w:rsid w:val="005D4E95"/>
    <w:rsid w:val="005D5494"/>
    <w:rsid w:val="005D5E86"/>
    <w:rsid w:val="005D6BBE"/>
    <w:rsid w:val="005E0659"/>
    <w:rsid w:val="005E1981"/>
    <w:rsid w:val="005E246A"/>
    <w:rsid w:val="005E2CAC"/>
    <w:rsid w:val="005E7641"/>
    <w:rsid w:val="005E786C"/>
    <w:rsid w:val="005F060A"/>
    <w:rsid w:val="005F11F1"/>
    <w:rsid w:val="005F183C"/>
    <w:rsid w:val="005F3E59"/>
    <w:rsid w:val="005F4D0C"/>
    <w:rsid w:val="005F5592"/>
    <w:rsid w:val="005F5DA0"/>
    <w:rsid w:val="005F6306"/>
    <w:rsid w:val="005F6477"/>
    <w:rsid w:val="005F6FFB"/>
    <w:rsid w:val="005F7341"/>
    <w:rsid w:val="005F77BE"/>
    <w:rsid w:val="00602127"/>
    <w:rsid w:val="00602B1C"/>
    <w:rsid w:val="00604352"/>
    <w:rsid w:val="00605B6D"/>
    <w:rsid w:val="006060A5"/>
    <w:rsid w:val="006063FD"/>
    <w:rsid w:val="00606CE3"/>
    <w:rsid w:val="006070E6"/>
    <w:rsid w:val="006072E0"/>
    <w:rsid w:val="00610A4C"/>
    <w:rsid w:val="006110C1"/>
    <w:rsid w:val="00611BCF"/>
    <w:rsid w:val="0061304A"/>
    <w:rsid w:val="006135C1"/>
    <w:rsid w:val="00616D1F"/>
    <w:rsid w:val="00617735"/>
    <w:rsid w:val="006178F5"/>
    <w:rsid w:val="006216DC"/>
    <w:rsid w:val="00621D8C"/>
    <w:rsid w:val="00622147"/>
    <w:rsid w:val="00623CB3"/>
    <w:rsid w:val="00625497"/>
    <w:rsid w:val="00626018"/>
    <w:rsid w:val="00626C01"/>
    <w:rsid w:val="0062728A"/>
    <w:rsid w:val="00627496"/>
    <w:rsid w:val="00627B14"/>
    <w:rsid w:val="00630913"/>
    <w:rsid w:val="00630B53"/>
    <w:rsid w:val="00631AA7"/>
    <w:rsid w:val="00631EC4"/>
    <w:rsid w:val="00632296"/>
    <w:rsid w:val="0063279B"/>
    <w:rsid w:val="006342C6"/>
    <w:rsid w:val="00634335"/>
    <w:rsid w:val="006368D9"/>
    <w:rsid w:val="00636E04"/>
    <w:rsid w:val="00637581"/>
    <w:rsid w:val="00637B0D"/>
    <w:rsid w:val="006404B6"/>
    <w:rsid w:val="006415B0"/>
    <w:rsid w:val="00641C49"/>
    <w:rsid w:val="00643DF6"/>
    <w:rsid w:val="0064460A"/>
    <w:rsid w:val="0064470C"/>
    <w:rsid w:val="00645880"/>
    <w:rsid w:val="00645997"/>
    <w:rsid w:val="00647023"/>
    <w:rsid w:val="00651A18"/>
    <w:rsid w:val="00652055"/>
    <w:rsid w:val="00653F9E"/>
    <w:rsid w:val="006546FA"/>
    <w:rsid w:val="00654960"/>
    <w:rsid w:val="00654A8D"/>
    <w:rsid w:val="00654C7C"/>
    <w:rsid w:val="0065614B"/>
    <w:rsid w:val="00656F66"/>
    <w:rsid w:val="00657E3B"/>
    <w:rsid w:val="006600BB"/>
    <w:rsid w:val="006606A0"/>
    <w:rsid w:val="006610BA"/>
    <w:rsid w:val="00661340"/>
    <w:rsid w:val="00661B98"/>
    <w:rsid w:val="00661D7E"/>
    <w:rsid w:val="00664661"/>
    <w:rsid w:val="00665130"/>
    <w:rsid w:val="006661C1"/>
    <w:rsid w:val="0066668E"/>
    <w:rsid w:val="00666A40"/>
    <w:rsid w:val="00666BCE"/>
    <w:rsid w:val="006670E0"/>
    <w:rsid w:val="006674C2"/>
    <w:rsid w:val="0067014F"/>
    <w:rsid w:val="00670416"/>
    <w:rsid w:val="006719C8"/>
    <w:rsid w:val="00671CAA"/>
    <w:rsid w:val="00671F52"/>
    <w:rsid w:val="0067242E"/>
    <w:rsid w:val="00672FAB"/>
    <w:rsid w:val="006755D9"/>
    <w:rsid w:val="00676DAE"/>
    <w:rsid w:val="006772F3"/>
    <w:rsid w:val="006778D5"/>
    <w:rsid w:val="006821A1"/>
    <w:rsid w:val="006826D7"/>
    <w:rsid w:val="00682D19"/>
    <w:rsid w:val="00683C30"/>
    <w:rsid w:val="006843F5"/>
    <w:rsid w:val="00685928"/>
    <w:rsid w:val="00686F62"/>
    <w:rsid w:val="006876F3"/>
    <w:rsid w:val="0068794D"/>
    <w:rsid w:val="006879E1"/>
    <w:rsid w:val="00690862"/>
    <w:rsid w:val="00690A7B"/>
    <w:rsid w:val="006917B9"/>
    <w:rsid w:val="0069250C"/>
    <w:rsid w:val="00695652"/>
    <w:rsid w:val="00695C56"/>
    <w:rsid w:val="00696725"/>
    <w:rsid w:val="00696F9E"/>
    <w:rsid w:val="006A0B1A"/>
    <w:rsid w:val="006A3365"/>
    <w:rsid w:val="006A5330"/>
    <w:rsid w:val="006A622C"/>
    <w:rsid w:val="006A6442"/>
    <w:rsid w:val="006B2F0D"/>
    <w:rsid w:val="006B412F"/>
    <w:rsid w:val="006B6671"/>
    <w:rsid w:val="006B6F68"/>
    <w:rsid w:val="006C2792"/>
    <w:rsid w:val="006C349E"/>
    <w:rsid w:val="006C3690"/>
    <w:rsid w:val="006C4857"/>
    <w:rsid w:val="006C7AF6"/>
    <w:rsid w:val="006D0421"/>
    <w:rsid w:val="006D0686"/>
    <w:rsid w:val="006D3277"/>
    <w:rsid w:val="006D3B94"/>
    <w:rsid w:val="006D4CEB"/>
    <w:rsid w:val="006D52CD"/>
    <w:rsid w:val="006D5327"/>
    <w:rsid w:val="006D6B46"/>
    <w:rsid w:val="006D7684"/>
    <w:rsid w:val="006E12A7"/>
    <w:rsid w:val="006E17F2"/>
    <w:rsid w:val="006E2B90"/>
    <w:rsid w:val="006E2DC0"/>
    <w:rsid w:val="006E30A7"/>
    <w:rsid w:val="006E3282"/>
    <w:rsid w:val="006E40B4"/>
    <w:rsid w:val="006E4294"/>
    <w:rsid w:val="006E4990"/>
    <w:rsid w:val="006E5BDA"/>
    <w:rsid w:val="006E61BD"/>
    <w:rsid w:val="006F00C2"/>
    <w:rsid w:val="006F0FB3"/>
    <w:rsid w:val="006F1AC2"/>
    <w:rsid w:val="006F3F23"/>
    <w:rsid w:val="006F4090"/>
    <w:rsid w:val="006F457A"/>
    <w:rsid w:val="006F7BA4"/>
    <w:rsid w:val="007002C0"/>
    <w:rsid w:val="0070147E"/>
    <w:rsid w:val="007024F2"/>
    <w:rsid w:val="007037B8"/>
    <w:rsid w:val="00704445"/>
    <w:rsid w:val="00704FA8"/>
    <w:rsid w:val="007073A4"/>
    <w:rsid w:val="00707684"/>
    <w:rsid w:val="00707D1B"/>
    <w:rsid w:val="00710E6A"/>
    <w:rsid w:val="00711353"/>
    <w:rsid w:val="00711382"/>
    <w:rsid w:val="0071310E"/>
    <w:rsid w:val="00713175"/>
    <w:rsid w:val="00713653"/>
    <w:rsid w:val="00716405"/>
    <w:rsid w:val="00716E15"/>
    <w:rsid w:val="00720230"/>
    <w:rsid w:val="00721D33"/>
    <w:rsid w:val="0072339C"/>
    <w:rsid w:val="007238E8"/>
    <w:rsid w:val="007244EC"/>
    <w:rsid w:val="00724C83"/>
    <w:rsid w:val="00725F46"/>
    <w:rsid w:val="007268E3"/>
    <w:rsid w:val="007271CC"/>
    <w:rsid w:val="007274EE"/>
    <w:rsid w:val="007309D4"/>
    <w:rsid w:val="00733F8E"/>
    <w:rsid w:val="00734423"/>
    <w:rsid w:val="007346FF"/>
    <w:rsid w:val="00735797"/>
    <w:rsid w:val="00735BFB"/>
    <w:rsid w:val="00736CF3"/>
    <w:rsid w:val="00737245"/>
    <w:rsid w:val="007378A8"/>
    <w:rsid w:val="00737B01"/>
    <w:rsid w:val="007401ED"/>
    <w:rsid w:val="007440FF"/>
    <w:rsid w:val="00744339"/>
    <w:rsid w:val="007451FC"/>
    <w:rsid w:val="007459FA"/>
    <w:rsid w:val="00745B01"/>
    <w:rsid w:val="00747005"/>
    <w:rsid w:val="00747EE5"/>
    <w:rsid w:val="00750B34"/>
    <w:rsid w:val="0075111E"/>
    <w:rsid w:val="00752B1B"/>
    <w:rsid w:val="007539E8"/>
    <w:rsid w:val="00755DA6"/>
    <w:rsid w:val="00762AB3"/>
    <w:rsid w:val="00762F7E"/>
    <w:rsid w:val="00763E54"/>
    <w:rsid w:val="00766466"/>
    <w:rsid w:val="007671EB"/>
    <w:rsid w:val="0076734A"/>
    <w:rsid w:val="00771D37"/>
    <w:rsid w:val="007722D0"/>
    <w:rsid w:val="00773C32"/>
    <w:rsid w:val="00774034"/>
    <w:rsid w:val="00774353"/>
    <w:rsid w:val="00774CB1"/>
    <w:rsid w:val="0077605F"/>
    <w:rsid w:val="007765C2"/>
    <w:rsid w:val="00776BDB"/>
    <w:rsid w:val="007805AB"/>
    <w:rsid w:val="00784D5D"/>
    <w:rsid w:val="007852FE"/>
    <w:rsid w:val="00785EE2"/>
    <w:rsid w:val="00786B9D"/>
    <w:rsid w:val="00790CF7"/>
    <w:rsid w:val="00791CBA"/>
    <w:rsid w:val="00794CA8"/>
    <w:rsid w:val="0079560F"/>
    <w:rsid w:val="007976E0"/>
    <w:rsid w:val="007A0D3C"/>
    <w:rsid w:val="007A1C11"/>
    <w:rsid w:val="007A2187"/>
    <w:rsid w:val="007A24DE"/>
    <w:rsid w:val="007A3504"/>
    <w:rsid w:val="007A4D41"/>
    <w:rsid w:val="007A4E91"/>
    <w:rsid w:val="007A7820"/>
    <w:rsid w:val="007B0283"/>
    <w:rsid w:val="007B07B3"/>
    <w:rsid w:val="007B0D43"/>
    <w:rsid w:val="007B36A9"/>
    <w:rsid w:val="007B5A3D"/>
    <w:rsid w:val="007B5FD4"/>
    <w:rsid w:val="007C27B6"/>
    <w:rsid w:val="007C3392"/>
    <w:rsid w:val="007C3B6B"/>
    <w:rsid w:val="007C41F7"/>
    <w:rsid w:val="007C5C59"/>
    <w:rsid w:val="007C6242"/>
    <w:rsid w:val="007C6440"/>
    <w:rsid w:val="007C69C0"/>
    <w:rsid w:val="007D03A0"/>
    <w:rsid w:val="007D0812"/>
    <w:rsid w:val="007D1F7E"/>
    <w:rsid w:val="007D6C25"/>
    <w:rsid w:val="007D6E4C"/>
    <w:rsid w:val="007D7C4F"/>
    <w:rsid w:val="007E0425"/>
    <w:rsid w:val="007E383D"/>
    <w:rsid w:val="007E3844"/>
    <w:rsid w:val="007E5D56"/>
    <w:rsid w:val="007E61D2"/>
    <w:rsid w:val="007E6B2D"/>
    <w:rsid w:val="007E77EC"/>
    <w:rsid w:val="007F03FE"/>
    <w:rsid w:val="007F082F"/>
    <w:rsid w:val="007F1294"/>
    <w:rsid w:val="007F4091"/>
    <w:rsid w:val="007F5278"/>
    <w:rsid w:val="007F610A"/>
    <w:rsid w:val="007F6B3A"/>
    <w:rsid w:val="00802B85"/>
    <w:rsid w:val="008032D1"/>
    <w:rsid w:val="0080456B"/>
    <w:rsid w:val="008049DE"/>
    <w:rsid w:val="008105FB"/>
    <w:rsid w:val="00811766"/>
    <w:rsid w:val="00812AED"/>
    <w:rsid w:val="00813396"/>
    <w:rsid w:val="0081369C"/>
    <w:rsid w:val="00814614"/>
    <w:rsid w:val="00814A40"/>
    <w:rsid w:val="00816FE3"/>
    <w:rsid w:val="008176B6"/>
    <w:rsid w:val="008178AC"/>
    <w:rsid w:val="008214CD"/>
    <w:rsid w:val="00821DA0"/>
    <w:rsid w:val="00821F09"/>
    <w:rsid w:val="00822C3A"/>
    <w:rsid w:val="00824E11"/>
    <w:rsid w:val="0082527D"/>
    <w:rsid w:val="008258B3"/>
    <w:rsid w:val="00826757"/>
    <w:rsid w:val="00831A91"/>
    <w:rsid w:val="00831C4A"/>
    <w:rsid w:val="00831D86"/>
    <w:rsid w:val="00831E36"/>
    <w:rsid w:val="00832B9A"/>
    <w:rsid w:val="00833E26"/>
    <w:rsid w:val="0083493A"/>
    <w:rsid w:val="00835A78"/>
    <w:rsid w:val="00835F0C"/>
    <w:rsid w:val="0083612B"/>
    <w:rsid w:val="008364C1"/>
    <w:rsid w:val="00836742"/>
    <w:rsid w:val="0083727A"/>
    <w:rsid w:val="008376D8"/>
    <w:rsid w:val="00840826"/>
    <w:rsid w:val="00841E18"/>
    <w:rsid w:val="00843283"/>
    <w:rsid w:val="00843EF8"/>
    <w:rsid w:val="00845654"/>
    <w:rsid w:val="008464DE"/>
    <w:rsid w:val="00846CE7"/>
    <w:rsid w:val="00847210"/>
    <w:rsid w:val="00851BEB"/>
    <w:rsid w:val="0085333E"/>
    <w:rsid w:val="00854389"/>
    <w:rsid w:val="00856950"/>
    <w:rsid w:val="00856FE8"/>
    <w:rsid w:val="008573BE"/>
    <w:rsid w:val="00861185"/>
    <w:rsid w:val="00861C3C"/>
    <w:rsid w:val="00861E32"/>
    <w:rsid w:val="0086321A"/>
    <w:rsid w:val="00863E22"/>
    <w:rsid w:val="008647A6"/>
    <w:rsid w:val="00866A06"/>
    <w:rsid w:val="00866A97"/>
    <w:rsid w:val="00870157"/>
    <w:rsid w:val="00870CDC"/>
    <w:rsid w:val="008729EC"/>
    <w:rsid w:val="00872A34"/>
    <w:rsid w:val="00873AA8"/>
    <w:rsid w:val="00874316"/>
    <w:rsid w:val="008744D7"/>
    <w:rsid w:val="00874536"/>
    <w:rsid w:val="00874D83"/>
    <w:rsid w:val="00874EF3"/>
    <w:rsid w:val="00876AB9"/>
    <w:rsid w:val="00877895"/>
    <w:rsid w:val="00880173"/>
    <w:rsid w:val="008810DC"/>
    <w:rsid w:val="00881744"/>
    <w:rsid w:val="00884211"/>
    <w:rsid w:val="0088560D"/>
    <w:rsid w:val="0088698F"/>
    <w:rsid w:val="00887F62"/>
    <w:rsid w:val="008901D3"/>
    <w:rsid w:val="0089031E"/>
    <w:rsid w:val="00890759"/>
    <w:rsid w:val="00891130"/>
    <w:rsid w:val="00891343"/>
    <w:rsid w:val="008938E7"/>
    <w:rsid w:val="008940F8"/>
    <w:rsid w:val="00894AFF"/>
    <w:rsid w:val="0089501A"/>
    <w:rsid w:val="00895113"/>
    <w:rsid w:val="00895948"/>
    <w:rsid w:val="00897058"/>
    <w:rsid w:val="0089714D"/>
    <w:rsid w:val="00897461"/>
    <w:rsid w:val="00897878"/>
    <w:rsid w:val="008A014C"/>
    <w:rsid w:val="008A03D8"/>
    <w:rsid w:val="008A0DA4"/>
    <w:rsid w:val="008A3751"/>
    <w:rsid w:val="008A4344"/>
    <w:rsid w:val="008B0709"/>
    <w:rsid w:val="008B0801"/>
    <w:rsid w:val="008B0D12"/>
    <w:rsid w:val="008B15A9"/>
    <w:rsid w:val="008B1731"/>
    <w:rsid w:val="008B2228"/>
    <w:rsid w:val="008B3686"/>
    <w:rsid w:val="008B3B19"/>
    <w:rsid w:val="008B3DF9"/>
    <w:rsid w:val="008B5368"/>
    <w:rsid w:val="008B593C"/>
    <w:rsid w:val="008B60DF"/>
    <w:rsid w:val="008B71A1"/>
    <w:rsid w:val="008C0B86"/>
    <w:rsid w:val="008C1B8D"/>
    <w:rsid w:val="008C2446"/>
    <w:rsid w:val="008C245C"/>
    <w:rsid w:val="008C28C7"/>
    <w:rsid w:val="008C3B7F"/>
    <w:rsid w:val="008C3BA4"/>
    <w:rsid w:val="008C41AF"/>
    <w:rsid w:val="008C4977"/>
    <w:rsid w:val="008C4C1A"/>
    <w:rsid w:val="008C6488"/>
    <w:rsid w:val="008D11A9"/>
    <w:rsid w:val="008D341B"/>
    <w:rsid w:val="008D36D2"/>
    <w:rsid w:val="008D4CE6"/>
    <w:rsid w:val="008D4E3B"/>
    <w:rsid w:val="008D5BB6"/>
    <w:rsid w:val="008D79F6"/>
    <w:rsid w:val="008D7E60"/>
    <w:rsid w:val="008E046C"/>
    <w:rsid w:val="008E0A0B"/>
    <w:rsid w:val="008E0F92"/>
    <w:rsid w:val="008E14BD"/>
    <w:rsid w:val="008E2AA8"/>
    <w:rsid w:val="008E7B66"/>
    <w:rsid w:val="008F1C82"/>
    <w:rsid w:val="008F213B"/>
    <w:rsid w:val="008F2986"/>
    <w:rsid w:val="008F3E07"/>
    <w:rsid w:val="008F50D8"/>
    <w:rsid w:val="008F5671"/>
    <w:rsid w:val="008F5954"/>
    <w:rsid w:val="008F65DF"/>
    <w:rsid w:val="008F66F1"/>
    <w:rsid w:val="008F7D95"/>
    <w:rsid w:val="009006E2"/>
    <w:rsid w:val="00900B3F"/>
    <w:rsid w:val="009018A2"/>
    <w:rsid w:val="009023B6"/>
    <w:rsid w:val="00907146"/>
    <w:rsid w:val="00911BB0"/>
    <w:rsid w:val="0091214A"/>
    <w:rsid w:val="00914AFA"/>
    <w:rsid w:val="00915200"/>
    <w:rsid w:val="00915A77"/>
    <w:rsid w:val="00915C35"/>
    <w:rsid w:val="00916B8D"/>
    <w:rsid w:val="00923432"/>
    <w:rsid w:val="0092495E"/>
    <w:rsid w:val="009259B5"/>
    <w:rsid w:val="0092682D"/>
    <w:rsid w:val="00930D4A"/>
    <w:rsid w:val="00930F4A"/>
    <w:rsid w:val="00933755"/>
    <w:rsid w:val="00934C3A"/>
    <w:rsid w:val="009402AC"/>
    <w:rsid w:val="00941328"/>
    <w:rsid w:val="00942D80"/>
    <w:rsid w:val="0094327D"/>
    <w:rsid w:val="00943E2A"/>
    <w:rsid w:val="00944FFB"/>
    <w:rsid w:val="009504F0"/>
    <w:rsid w:val="00950BBB"/>
    <w:rsid w:val="0095153A"/>
    <w:rsid w:val="00952262"/>
    <w:rsid w:val="009533D1"/>
    <w:rsid w:val="009538BC"/>
    <w:rsid w:val="0095493D"/>
    <w:rsid w:val="009568D0"/>
    <w:rsid w:val="009573FD"/>
    <w:rsid w:val="0096035D"/>
    <w:rsid w:val="009607A9"/>
    <w:rsid w:val="00961638"/>
    <w:rsid w:val="00963215"/>
    <w:rsid w:val="00964DA9"/>
    <w:rsid w:val="00965349"/>
    <w:rsid w:val="00966A12"/>
    <w:rsid w:val="009672FC"/>
    <w:rsid w:val="00967528"/>
    <w:rsid w:val="00967B89"/>
    <w:rsid w:val="0097013A"/>
    <w:rsid w:val="00970949"/>
    <w:rsid w:val="009740F5"/>
    <w:rsid w:val="00974B31"/>
    <w:rsid w:val="009756C1"/>
    <w:rsid w:val="00975C84"/>
    <w:rsid w:val="00976360"/>
    <w:rsid w:val="00977D0F"/>
    <w:rsid w:val="00980514"/>
    <w:rsid w:val="00980562"/>
    <w:rsid w:val="009805D8"/>
    <w:rsid w:val="0098078A"/>
    <w:rsid w:val="00982360"/>
    <w:rsid w:val="00983369"/>
    <w:rsid w:val="00983472"/>
    <w:rsid w:val="00983DD5"/>
    <w:rsid w:val="00987C51"/>
    <w:rsid w:val="00987DBC"/>
    <w:rsid w:val="0099088F"/>
    <w:rsid w:val="00991A45"/>
    <w:rsid w:val="00992296"/>
    <w:rsid w:val="00992426"/>
    <w:rsid w:val="009928BB"/>
    <w:rsid w:val="00993C25"/>
    <w:rsid w:val="00997131"/>
    <w:rsid w:val="009A0E3C"/>
    <w:rsid w:val="009A14EC"/>
    <w:rsid w:val="009A2F62"/>
    <w:rsid w:val="009A340F"/>
    <w:rsid w:val="009A3C2C"/>
    <w:rsid w:val="009A478E"/>
    <w:rsid w:val="009A7026"/>
    <w:rsid w:val="009A7349"/>
    <w:rsid w:val="009B0A62"/>
    <w:rsid w:val="009B14DA"/>
    <w:rsid w:val="009B1A8D"/>
    <w:rsid w:val="009B1C0B"/>
    <w:rsid w:val="009B2AEF"/>
    <w:rsid w:val="009B2E61"/>
    <w:rsid w:val="009B491A"/>
    <w:rsid w:val="009B59B9"/>
    <w:rsid w:val="009B6503"/>
    <w:rsid w:val="009B78E7"/>
    <w:rsid w:val="009C1FF3"/>
    <w:rsid w:val="009C25E9"/>
    <w:rsid w:val="009C3500"/>
    <w:rsid w:val="009C4729"/>
    <w:rsid w:val="009C48C2"/>
    <w:rsid w:val="009C4A41"/>
    <w:rsid w:val="009C50E2"/>
    <w:rsid w:val="009C5A85"/>
    <w:rsid w:val="009C5E51"/>
    <w:rsid w:val="009C6728"/>
    <w:rsid w:val="009C6A9B"/>
    <w:rsid w:val="009C6AEE"/>
    <w:rsid w:val="009C777A"/>
    <w:rsid w:val="009C7C63"/>
    <w:rsid w:val="009C7F78"/>
    <w:rsid w:val="009D1795"/>
    <w:rsid w:val="009D2085"/>
    <w:rsid w:val="009D26B7"/>
    <w:rsid w:val="009D3607"/>
    <w:rsid w:val="009D65D8"/>
    <w:rsid w:val="009D6C2D"/>
    <w:rsid w:val="009D7C5B"/>
    <w:rsid w:val="009E187D"/>
    <w:rsid w:val="009E5872"/>
    <w:rsid w:val="009E5C33"/>
    <w:rsid w:val="009E660C"/>
    <w:rsid w:val="009E73BC"/>
    <w:rsid w:val="009F08A1"/>
    <w:rsid w:val="009F212D"/>
    <w:rsid w:val="009F24DE"/>
    <w:rsid w:val="009F541E"/>
    <w:rsid w:val="009F6117"/>
    <w:rsid w:val="009F6C54"/>
    <w:rsid w:val="00A001B7"/>
    <w:rsid w:val="00A0201A"/>
    <w:rsid w:val="00A021ED"/>
    <w:rsid w:val="00A02DFB"/>
    <w:rsid w:val="00A04B41"/>
    <w:rsid w:val="00A0627B"/>
    <w:rsid w:val="00A068D2"/>
    <w:rsid w:val="00A07013"/>
    <w:rsid w:val="00A07780"/>
    <w:rsid w:val="00A108CF"/>
    <w:rsid w:val="00A118F8"/>
    <w:rsid w:val="00A1206D"/>
    <w:rsid w:val="00A12237"/>
    <w:rsid w:val="00A12FE2"/>
    <w:rsid w:val="00A13F76"/>
    <w:rsid w:val="00A14719"/>
    <w:rsid w:val="00A14BA9"/>
    <w:rsid w:val="00A14C7C"/>
    <w:rsid w:val="00A173EE"/>
    <w:rsid w:val="00A17AE6"/>
    <w:rsid w:val="00A20068"/>
    <w:rsid w:val="00A20917"/>
    <w:rsid w:val="00A248C2"/>
    <w:rsid w:val="00A252A7"/>
    <w:rsid w:val="00A2769F"/>
    <w:rsid w:val="00A310BA"/>
    <w:rsid w:val="00A311DA"/>
    <w:rsid w:val="00A3164E"/>
    <w:rsid w:val="00A3296C"/>
    <w:rsid w:val="00A329C9"/>
    <w:rsid w:val="00A330FB"/>
    <w:rsid w:val="00A34A9E"/>
    <w:rsid w:val="00A34B30"/>
    <w:rsid w:val="00A34D34"/>
    <w:rsid w:val="00A35B21"/>
    <w:rsid w:val="00A36B0D"/>
    <w:rsid w:val="00A40B91"/>
    <w:rsid w:val="00A41696"/>
    <w:rsid w:val="00A4248A"/>
    <w:rsid w:val="00A449EF"/>
    <w:rsid w:val="00A459AC"/>
    <w:rsid w:val="00A46BF6"/>
    <w:rsid w:val="00A47634"/>
    <w:rsid w:val="00A47E9D"/>
    <w:rsid w:val="00A501BF"/>
    <w:rsid w:val="00A50917"/>
    <w:rsid w:val="00A51644"/>
    <w:rsid w:val="00A54AB5"/>
    <w:rsid w:val="00A55671"/>
    <w:rsid w:val="00A563AE"/>
    <w:rsid w:val="00A56AA8"/>
    <w:rsid w:val="00A60950"/>
    <w:rsid w:val="00A61BB5"/>
    <w:rsid w:val="00A6332F"/>
    <w:rsid w:val="00A63742"/>
    <w:rsid w:val="00A642C6"/>
    <w:rsid w:val="00A65C48"/>
    <w:rsid w:val="00A663CC"/>
    <w:rsid w:val="00A70018"/>
    <w:rsid w:val="00A709EB"/>
    <w:rsid w:val="00A70A31"/>
    <w:rsid w:val="00A73041"/>
    <w:rsid w:val="00A73D5D"/>
    <w:rsid w:val="00A73D64"/>
    <w:rsid w:val="00A75FDB"/>
    <w:rsid w:val="00A76F21"/>
    <w:rsid w:val="00A84054"/>
    <w:rsid w:val="00A85207"/>
    <w:rsid w:val="00A86374"/>
    <w:rsid w:val="00A863C8"/>
    <w:rsid w:val="00A87ED1"/>
    <w:rsid w:val="00A9093C"/>
    <w:rsid w:val="00A92E5F"/>
    <w:rsid w:val="00A940B6"/>
    <w:rsid w:val="00A94337"/>
    <w:rsid w:val="00A94B4B"/>
    <w:rsid w:val="00A96FC6"/>
    <w:rsid w:val="00AA02AA"/>
    <w:rsid w:val="00AA0586"/>
    <w:rsid w:val="00AA0CD6"/>
    <w:rsid w:val="00AA34DB"/>
    <w:rsid w:val="00AA38A1"/>
    <w:rsid w:val="00AA4846"/>
    <w:rsid w:val="00AA48D7"/>
    <w:rsid w:val="00AA59FC"/>
    <w:rsid w:val="00AA5E00"/>
    <w:rsid w:val="00AA716D"/>
    <w:rsid w:val="00AA7E08"/>
    <w:rsid w:val="00AB010E"/>
    <w:rsid w:val="00AB2CAD"/>
    <w:rsid w:val="00AB51EE"/>
    <w:rsid w:val="00AB70D0"/>
    <w:rsid w:val="00AB7146"/>
    <w:rsid w:val="00AB7C43"/>
    <w:rsid w:val="00AC052B"/>
    <w:rsid w:val="00AC26C2"/>
    <w:rsid w:val="00AC2840"/>
    <w:rsid w:val="00AC479B"/>
    <w:rsid w:val="00AC61D0"/>
    <w:rsid w:val="00AC6A42"/>
    <w:rsid w:val="00AC7968"/>
    <w:rsid w:val="00AC7B1C"/>
    <w:rsid w:val="00AD067F"/>
    <w:rsid w:val="00AD0830"/>
    <w:rsid w:val="00AD1758"/>
    <w:rsid w:val="00AD40EB"/>
    <w:rsid w:val="00AD4E9C"/>
    <w:rsid w:val="00AE1F2B"/>
    <w:rsid w:val="00AE3A79"/>
    <w:rsid w:val="00AE4112"/>
    <w:rsid w:val="00AE61F5"/>
    <w:rsid w:val="00AE74B8"/>
    <w:rsid w:val="00AE769E"/>
    <w:rsid w:val="00AF4C35"/>
    <w:rsid w:val="00AF521E"/>
    <w:rsid w:val="00AF59C8"/>
    <w:rsid w:val="00AF6C78"/>
    <w:rsid w:val="00AF7791"/>
    <w:rsid w:val="00B0170C"/>
    <w:rsid w:val="00B0270A"/>
    <w:rsid w:val="00B03EC1"/>
    <w:rsid w:val="00B056C5"/>
    <w:rsid w:val="00B10C11"/>
    <w:rsid w:val="00B12703"/>
    <w:rsid w:val="00B1378E"/>
    <w:rsid w:val="00B13AD7"/>
    <w:rsid w:val="00B15405"/>
    <w:rsid w:val="00B16FA4"/>
    <w:rsid w:val="00B200D4"/>
    <w:rsid w:val="00B21C0A"/>
    <w:rsid w:val="00B225C5"/>
    <w:rsid w:val="00B2266F"/>
    <w:rsid w:val="00B22B25"/>
    <w:rsid w:val="00B233B0"/>
    <w:rsid w:val="00B24075"/>
    <w:rsid w:val="00B26BE9"/>
    <w:rsid w:val="00B26E58"/>
    <w:rsid w:val="00B27FC0"/>
    <w:rsid w:val="00B323AA"/>
    <w:rsid w:val="00B32C1C"/>
    <w:rsid w:val="00B35194"/>
    <w:rsid w:val="00B355A7"/>
    <w:rsid w:val="00B35831"/>
    <w:rsid w:val="00B359DB"/>
    <w:rsid w:val="00B365E9"/>
    <w:rsid w:val="00B37679"/>
    <w:rsid w:val="00B41125"/>
    <w:rsid w:val="00B41646"/>
    <w:rsid w:val="00B41BA9"/>
    <w:rsid w:val="00B42B20"/>
    <w:rsid w:val="00B46646"/>
    <w:rsid w:val="00B52163"/>
    <w:rsid w:val="00B526E4"/>
    <w:rsid w:val="00B531D9"/>
    <w:rsid w:val="00B53DB4"/>
    <w:rsid w:val="00B54ED4"/>
    <w:rsid w:val="00B60BF4"/>
    <w:rsid w:val="00B60F9D"/>
    <w:rsid w:val="00B6262E"/>
    <w:rsid w:val="00B71415"/>
    <w:rsid w:val="00B71C4B"/>
    <w:rsid w:val="00B71D41"/>
    <w:rsid w:val="00B72440"/>
    <w:rsid w:val="00B72C89"/>
    <w:rsid w:val="00B72F91"/>
    <w:rsid w:val="00B73D27"/>
    <w:rsid w:val="00B74F65"/>
    <w:rsid w:val="00B76B84"/>
    <w:rsid w:val="00B803B6"/>
    <w:rsid w:val="00B8174A"/>
    <w:rsid w:val="00B828DD"/>
    <w:rsid w:val="00B82B8A"/>
    <w:rsid w:val="00B85533"/>
    <w:rsid w:val="00B8557B"/>
    <w:rsid w:val="00B857B0"/>
    <w:rsid w:val="00B85824"/>
    <w:rsid w:val="00B86DA0"/>
    <w:rsid w:val="00B87CD8"/>
    <w:rsid w:val="00B918A6"/>
    <w:rsid w:val="00B92938"/>
    <w:rsid w:val="00B93198"/>
    <w:rsid w:val="00B937D1"/>
    <w:rsid w:val="00B947BC"/>
    <w:rsid w:val="00B9495A"/>
    <w:rsid w:val="00B94E75"/>
    <w:rsid w:val="00B952B6"/>
    <w:rsid w:val="00B96689"/>
    <w:rsid w:val="00BA1725"/>
    <w:rsid w:val="00BA1B41"/>
    <w:rsid w:val="00BA2374"/>
    <w:rsid w:val="00BA27E8"/>
    <w:rsid w:val="00BA38D7"/>
    <w:rsid w:val="00BA39AC"/>
    <w:rsid w:val="00BA4DA0"/>
    <w:rsid w:val="00BA561E"/>
    <w:rsid w:val="00BA791D"/>
    <w:rsid w:val="00BB1EC5"/>
    <w:rsid w:val="00BB2BC9"/>
    <w:rsid w:val="00BB34CF"/>
    <w:rsid w:val="00BB3728"/>
    <w:rsid w:val="00BB52BC"/>
    <w:rsid w:val="00BB7AC2"/>
    <w:rsid w:val="00BC0447"/>
    <w:rsid w:val="00BC2609"/>
    <w:rsid w:val="00BC2B92"/>
    <w:rsid w:val="00BC4F0B"/>
    <w:rsid w:val="00BC665C"/>
    <w:rsid w:val="00BC6661"/>
    <w:rsid w:val="00BC6BE6"/>
    <w:rsid w:val="00BD0318"/>
    <w:rsid w:val="00BD2D30"/>
    <w:rsid w:val="00BD3226"/>
    <w:rsid w:val="00BD32C9"/>
    <w:rsid w:val="00BD3F3B"/>
    <w:rsid w:val="00BD4E4F"/>
    <w:rsid w:val="00BE076A"/>
    <w:rsid w:val="00BE09AD"/>
    <w:rsid w:val="00BE100E"/>
    <w:rsid w:val="00BE11CF"/>
    <w:rsid w:val="00BE17F1"/>
    <w:rsid w:val="00BE2287"/>
    <w:rsid w:val="00BE3DC9"/>
    <w:rsid w:val="00BE42DF"/>
    <w:rsid w:val="00BF02A2"/>
    <w:rsid w:val="00BF0D5E"/>
    <w:rsid w:val="00BF22E8"/>
    <w:rsid w:val="00BF2330"/>
    <w:rsid w:val="00BF39D4"/>
    <w:rsid w:val="00BF3C95"/>
    <w:rsid w:val="00BF4B52"/>
    <w:rsid w:val="00BF501C"/>
    <w:rsid w:val="00BF7D0C"/>
    <w:rsid w:val="00C009F1"/>
    <w:rsid w:val="00C01DF2"/>
    <w:rsid w:val="00C04539"/>
    <w:rsid w:val="00C0463C"/>
    <w:rsid w:val="00C04DAF"/>
    <w:rsid w:val="00C0582E"/>
    <w:rsid w:val="00C05B04"/>
    <w:rsid w:val="00C1083B"/>
    <w:rsid w:val="00C11153"/>
    <w:rsid w:val="00C12222"/>
    <w:rsid w:val="00C125D3"/>
    <w:rsid w:val="00C15B00"/>
    <w:rsid w:val="00C15CC3"/>
    <w:rsid w:val="00C15F1C"/>
    <w:rsid w:val="00C16350"/>
    <w:rsid w:val="00C1778E"/>
    <w:rsid w:val="00C17C35"/>
    <w:rsid w:val="00C17CA7"/>
    <w:rsid w:val="00C22807"/>
    <w:rsid w:val="00C23A6C"/>
    <w:rsid w:val="00C240F8"/>
    <w:rsid w:val="00C25414"/>
    <w:rsid w:val="00C26002"/>
    <w:rsid w:val="00C26376"/>
    <w:rsid w:val="00C268B1"/>
    <w:rsid w:val="00C31E59"/>
    <w:rsid w:val="00C32F00"/>
    <w:rsid w:val="00C3353B"/>
    <w:rsid w:val="00C3522F"/>
    <w:rsid w:val="00C41101"/>
    <w:rsid w:val="00C42AD0"/>
    <w:rsid w:val="00C4353B"/>
    <w:rsid w:val="00C4361F"/>
    <w:rsid w:val="00C43EAA"/>
    <w:rsid w:val="00C44C84"/>
    <w:rsid w:val="00C453FF"/>
    <w:rsid w:val="00C456BF"/>
    <w:rsid w:val="00C45708"/>
    <w:rsid w:val="00C45898"/>
    <w:rsid w:val="00C46DEC"/>
    <w:rsid w:val="00C47431"/>
    <w:rsid w:val="00C5005F"/>
    <w:rsid w:val="00C50884"/>
    <w:rsid w:val="00C51307"/>
    <w:rsid w:val="00C51F98"/>
    <w:rsid w:val="00C52016"/>
    <w:rsid w:val="00C52F06"/>
    <w:rsid w:val="00C52F93"/>
    <w:rsid w:val="00C530E9"/>
    <w:rsid w:val="00C54A96"/>
    <w:rsid w:val="00C569E3"/>
    <w:rsid w:val="00C57761"/>
    <w:rsid w:val="00C57B66"/>
    <w:rsid w:val="00C6265E"/>
    <w:rsid w:val="00C63B67"/>
    <w:rsid w:val="00C6631C"/>
    <w:rsid w:val="00C6767D"/>
    <w:rsid w:val="00C71D33"/>
    <w:rsid w:val="00C73135"/>
    <w:rsid w:val="00C73380"/>
    <w:rsid w:val="00C73A43"/>
    <w:rsid w:val="00C73C17"/>
    <w:rsid w:val="00C73C8E"/>
    <w:rsid w:val="00C742CF"/>
    <w:rsid w:val="00C75E86"/>
    <w:rsid w:val="00C8046A"/>
    <w:rsid w:val="00C8206E"/>
    <w:rsid w:val="00C83770"/>
    <w:rsid w:val="00C84E69"/>
    <w:rsid w:val="00C8568C"/>
    <w:rsid w:val="00C8657D"/>
    <w:rsid w:val="00C870A8"/>
    <w:rsid w:val="00C8769D"/>
    <w:rsid w:val="00C87D47"/>
    <w:rsid w:val="00C9016E"/>
    <w:rsid w:val="00C9050D"/>
    <w:rsid w:val="00C93090"/>
    <w:rsid w:val="00C93ACC"/>
    <w:rsid w:val="00C9454C"/>
    <w:rsid w:val="00C94FEC"/>
    <w:rsid w:val="00C956AF"/>
    <w:rsid w:val="00C97235"/>
    <w:rsid w:val="00CA03DC"/>
    <w:rsid w:val="00CA16F0"/>
    <w:rsid w:val="00CA21DE"/>
    <w:rsid w:val="00CA246D"/>
    <w:rsid w:val="00CA248D"/>
    <w:rsid w:val="00CA2A1E"/>
    <w:rsid w:val="00CA32D5"/>
    <w:rsid w:val="00CB1C1A"/>
    <w:rsid w:val="00CB2C87"/>
    <w:rsid w:val="00CB2E92"/>
    <w:rsid w:val="00CB4153"/>
    <w:rsid w:val="00CB7238"/>
    <w:rsid w:val="00CB7467"/>
    <w:rsid w:val="00CC0935"/>
    <w:rsid w:val="00CC2C32"/>
    <w:rsid w:val="00CC4228"/>
    <w:rsid w:val="00CC5BE1"/>
    <w:rsid w:val="00CC7173"/>
    <w:rsid w:val="00CC77F0"/>
    <w:rsid w:val="00CD00B1"/>
    <w:rsid w:val="00CD174B"/>
    <w:rsid w:val="00CD46C4"/>
    <w:rsid w:val="00CE32B0"/>
    <w:rsid w:val="00CF29A1"/>
    <w:rsid w:val="00CF2A82"/>
    <w:rsid w:val="00CF41A8"/>
    <w:rsid w:val="00CF635D"/>
    <w:rsid w:val="00CF6460"/>
    <w:rsid w:val="00CF6EB1"/>
    <w:rsid w:val="00CF6F8C"/>
    <w:rsid w:val="00CF7661"/>
    <w:rsid w:val="00D016D6"/>
    <w:rsid w:val="00D01D5F"/>
    <w:rsid w:val="00D02FC5"/>
    <w:rsid w:val="00D031C6"/>
    <w:rsid w:val="00D0342B"/>
    <w:rsid w:val="00D0363D"/>
    <w:rsid w:val="00D061DE"/>
    <w:rsid w:val="00D063C5"/>
    <w:rsid w:val="00D06513"/>
    <w:rsid w:val="00D06BCC"/>
    <w:rsid w:val="00D0788F"/>
    <w:rsid w:val="00D1692E"/>
    <w:rsid w:val="00D16E48"/>
    <w:rsid w:val="00D177FC"/>
    <w:rsid w:val="00D2042B"/>
    <w:rsid w:val="00D21BCE"/>
    <w:rsid w:val="00D21F23"/>
    <w:rsid w:val="00D22A6C"/>
    <w:rsid w:val="00D25059"/>
    <w:rsid w:val="00D25762"/>
    <w:rsid w:val="00D278B6"/>
    <w:rsid w:val="00D300BF"/>
    <w:rsid w:val="00D301AA"/>
    <w:rsid w:val="00D33464"/>
    <w:rsid w:val="00D33C03"/>
    <w:rsid w:val="00D33F1E"/>
    <w:rsid w:val="00D3440A"/>
    <w:rsid w:val="00D34EB7"/>
    <w:rsid w:val="00D369BF"/>
    <w:rsid w:val="00D3783A"/>
    <w:rsid w:val="00D40A2C"/>
    <w:rsid w:val="00D412B0"/>
    <w:rsid w:val="00D452CF"/>
    <w:rsid w:val="00D45AA9"/>
    <w:rsid w:val="00D46702"/>
    <w:rsid w:val="00D47753"/>
    <w:rsid w:val="00D47CF8"/>
    <w:rsid w:val="00D51643"/>
    <w:rsid w:val="00D51DAA"/>
    <w:rsid w:val="00D5263D"/>
    <w:rsid w:val="00D52C75"/>
    <w:rsid w:val="00D543B8"/>
    <w:rsid w:val="00D55263"/>
    <w:rsid w:val="00D57253"/>
    <w:rsid w:val="00D6072B"/>
    <w:rsid w:val="00D60F12"/>
    <w:rsid w:val="00D619CE"/>
    <w:rsid w:val="00D61B54"/>
    <w:rsid w:val="00D61C59"/>
    <w:rsid w:val="00D62DF8"/>
    <w:rsid w:val="00D6454D"/>
    <w:rsid w:val="00D65385"/>
    <w:rsid w:val="00D65D59"/>
    <w:rsid w:val="00D66DC1"/>
    <w:rsid w:val="00D6756F"/>
    <w:rsid w:val="00D67AE4"/>
    <w:rsid w:val="00D71506"/>
    <w:rsid w:val="00D72F3E"/>
    <w:rsid w:val="00D7357B"/>
    <w:rsid w:val="00D737F3"/>
    <w:rsid w:val="00D73C21"/>
    <w:rsid w:val="00D73C9A"/>
    <w:rsid w:val="00D74929"/>
    <w:rsid w:val="00D75496"/>
    <w:rsid w:val="00D80971"/>
    <w:rsid w:val="00D81456"/>
    <w:rsid w:val="00D82A2D"/>
    <w:rsid w:val="00D83EDD"/>
    <w:rsid w:val="00D856DD"/>
    <w:rsid w:val="00D86F64"/>
    <w:rsid w:val="00D92739"/>
    <w:rsid w:val="00D949F5"/>
    <w:rsid w:val="00D97A66"/>
    <w:rsid w:val="00DA0532"/>
    <w:rsid w:val="00DA2B3A"/>
    <w:rsid w:val="00DA6655"/>
    <w:rsid w:val="00DA70B6"/>
    <w:rsid w:val="00DB0D88"/>
    <w:rsid w:val="00DB0E55"/>
    <w:rsid w:val="00DB3CBD"/>
    <w:rsid w:val="00DB488E"/>
    <w:rsid w:val="00DB52CC"/>
    <w:rsid w:val="00DB55EE"/>
    <w:rsid w:val="00DB6337"/>
    <w:rsid w:val="00DC0324"/>
    <w:rsid w:val="00DC0C0E"/>
    <w:rsid w:val="00DC10E6"/>
    <w:rsid w:val="00DC2701"/>
    <w:rsid w:val="00DC2CA6"/>
    <w:rsid w:val="00DC3430"/>
    <w:rsid w:val="00DC510C"/>
    <w:rsid w:val="00DC5B69"/>
    <w:rsid w:val="00DC7E96"/>
    <w:rsid w:val="00DD1CAC"/>
    <w:rsid w:val="00DD2B25"/>
    <w:rsid w:val="00DD36F2"/>
    <w:rsid w:val="00DD3DE5"/>
    <w:rsid w:val="00DD481D"/>
    <w:rsid w:val="00DD5DFC"/>
    <w:rsid w:val="00DD78E3"/>
    <w:rsid w:val="00DE2116"/>
    <w:rsid w:val="00DE32CB"/>
    <w:rsid w:val="00DE34F1"/>
    <w:rsid w:val="00DE6088"/>
    <w:rsid w:val="00DE60B1"/>
    <w:rsid w:val="00DE74ED"/>
    <w:rsid w:val="00DE79DE"/>
    <w:rsid w:val="00DE7BF7"/>
    <w:rsid w:val="00DF0507"/>
    <w:rsid w:val="00DF23BF"/>
    <w:rsid w:val="00DF315D"/>
    <w:rsid w:val="00DF3A6E"/>
    <w:rsid w:val="00E00062"/>
    <w:rsid w:val="00E0199E"/>
    <w:rsid w:val="00E02F31"/>
    <w:rsid w:val="00E03F89"/>
    <w:rsid w:val="00E04BAE"/>
    <w:rsid w:val="00E04FED"/>
    <w:rsid w:val="00E05683"/>
    <w:rsid w:val="00E10AD1"/>
    <w:rsid w:val="00E10DAB"/>
    <w:rsid w:val="00E13B9D"/>
    <w:rsid w:val="00E14067"/>
    <w:rsid w:val="00E167C2"/>
    <w:rsid w:val="00E17ECA"/>
    <w:rsid w:val="00E24AF6"/>
    <w:rsid w:val="00E2536E"/>
    <w:rsid w:val="00E25D29"/>
    <w:rsid w:val="00E261D5"/>
    <w:rsid w:val="00E265F8"/>
    <w:rsid w:val="00E27A97"/>
    <w:rsid w:val="00E27E29"/>
    <w:rsid w:val="00E309FE"/>
    <w:rsid w:val="00E30CCB"/>
    <w:rsid w:val="00E30E1F"/>
    <w:rsid w:val="00E31D89"/>
    <w:rsid w:val="00E32292"/>
    <w:rsid w:val="00E32F84"/>
    <w:rsid w:val="00E3438E"/>
    <w:rsid w:val="00E34ED3"/>
    <w:rsid w:val="00E36F50"/>
    <w:rsid w:val="00E3766B"/>
    <w:rsid w:val="00E378D9"/>
    <w:rsid w:val="00E4137B"/>
    <w:rsid w:val="00E42404"/>
    <w:rsid w:val="00E4476C"/>
    <w:rsid w:val="00E4533D"/>
    <w:rsid w:val="00E454E9"/>
    <w:rsid w:val="00E4612B"/>
    <w:rsid w:val="00E4621A"/>
    <w:rsid w:val="00E477EE"/>
    <w:rsid w:val="00E47CF1"/>
    <w:rsid w:val="00E51C3E"/>
    <w:rsid w:val="00E522D7"/>
    <w:rsid w:val="00E52825"/>
    <w:rsid w:val="00E53066"/>
    <w:rsid w:val="00E53131"/>
    <w:rsid w:val="00E5412F"/>
    <w:rsid w:val="00E554D2"/>
    <w:rsid w:val="00E57BE2"/>
    <w:rsid w:val="00E619D5"/>
    <w:rsid w:val="00E61ECB"/>
    <w:rsid w:val="00E645B5"/>
    <w:rsid w:val="00E647D9"/>
    <w:rsid w:val="00E65AC5"/>
    <w:rsid w:val="00E66CF3"/>
    <w:rsid w:val="00E673B4"/>
    <w:rsid w:val="00E6752D"/>
    <w:rsid w:val="00E6773C"/>
    <w:rsid w:val="00E67A10"/>
    <w:rsid w:val="00E67B27"/>
    <w:rsid w:val="00E730FA"/>
    <w:rsid w:val="00E738B6"/>
    <w:rsid w:val="00E75096"/>
    <w:rsid w:val="00E750C8"/>
    <w:rsid w:val="00E76255"/>
    <w:rsid w:val="00E7747C"/>
    <w:rsid w:val="00E813A6"/>
    <w:rsid w:val="00E82D44"/>
    <w:rsid w:val="00E835DC"/>
    <w:rsid w:val="00E83D3D"/>
    <w:rsid w:val="00E84CA8"/>
    <w:rsid w:val="00E8649B"/>
    <w:rsid w:val="00E92407"/>
    <w:rsid w:val="00EA0BF3"/>
    <w:rsid w:val="00EA28E1"/>
    <w:rsid w:val="00EA44E0"/>
    <w:rsid w:val="00EB1312"/>
    <w:rsid w:val="00EB3DC1"/>
    <w:rsid w:val="00EB4E2A"/>
    <w:rsid w:val="00EB6C41"/>
    <w:rsid w:val="00EB704F"/>
    <w:rsid w:val="00EC06BF"/>
    <w:rsid w:val="00EC13F3"/>
    <w:rsid w:val="00EC14AF"/>
    <w:rsid w:val="00EC1B36"/>
    <w:rsid w:val="00EC1D87"/>
    <w:rsid w:val="00EC28EC"/>
    <w:rsid w:val="00EC2FF2"/>
    <w:rsid w:val="00EC4461"/>
    <w:rsid w:val="00EC490F"/>
    <w:rsid w:val="00EC5686"/>
    <w:rsid w:val="00EC7610"/>
    <w:rsid w:val="00ED035B"/>
    <w:rsid w:val="00ED04DF"/>
    <w:rsid w:val="00ED0EB3"/>
    <w:rsid w:val="00ED4A49"/>
    <w:rsid w:val="00ED53F8"/>
    <w:rsid w:val="00ED5AB9"/>
    <w:rsid w:val="00ED6795"/>
    <w:rsid w:val="00ED6C62"/>
    <w:rsid w:val="00ED74EB"/>
    <w:rsid w:val="00ED79E9"/>
    <w:rsid w:val="00EE1F54"/>
    <w:rsid w:val="00EE201E"/>
    <w:rsid w:val="00EE20B6"/>
    <w:rsid w:val="00EE2C1A"/>
    <w:rsid w:val="00EE4EA0"/>
    <w:rsid w:val="00EE5817"/>
    <w:rsid w:val="00EE68B8"/>
    <w:rsid w:val="00EF0042"/>
    <w:rsid w:val="00EF04CC"/>
    <w:rsid w:val="00EF056C"/>
    <w:rsid w:val="00EF1FB6"/>
    <w:rsid w:val="00EF283B"/>
    <w:rsid w:val="00EF336A"/>
    <w:rsid w:val="00EF7822"/>
    <w:rsid w:val="00EF7FF4"/>
    <w:rsid w:val="00F00CF8"/>
    <w:rsid w:val="00F0163D"/>
    <w:rsid w:val="00F03FC0"/>
    <w:rsid w:val="00F04CE8"/>
    <w:rsid w:val="00F05A6B"/>
    <w:rsid w:val="00F05F41"/>
    <w:rsid w:val="00F06E2A"/>
    <w:rsid w:val="00F12A1A"/>
    <w:rsid w:val="00F132AE"/>
    <w:rsid w:val="00F145A8"/>
    <w:rsid w:val="00F162CB"/>
    <w:rsid w:val="00F16D39"/>
    <w:rsid w:val="00F200E2"/>
    <w:rsid w:val="00F20667"/>
    <w:rsid w:val="00F20D8E"/>
    <w:rsid w:val="00F21FF8"/>
    <w:rsid w:val="00F22133"/>
    <w:rsid w:val="00F22928"/>
    <w:rsid w:val="00F23BE1"/>
    <w:rsid w:val="00F24FCF"/>
    <w:rsid w:val="00F25B0E"/>
    <w:rsid w:val="00F27BD8"/>
    <w:rsid w:val="00F31EB4"/>
    <w:rsid w:val="00F340B1"/>
    <w:rsid w:val="00F340CA"/>
    <w:rsid w:val="00F34B58"/>
    <w:rsid w:val="00F34DE1"/>
    <w:rsid w:val="00F36715"/>
    <w:rsid w:val="00F42D0B"/>
    <w:rsid w:val="00F43B5C"/>
    <w:rsid w:val="00F44AEC"/>
    <w:rsid w:val="00F44B33"/>
    <w:rsid w:val="00F468FB"/>
    <w:rsid w:val="00F50E2A"/>
    <w:rsid w:val="00F511E9"/>
    <w:rsid w:val="00F54089"/>
    <w:rsid w:val="00F545B8"/>
    <w:rsid w:val="00F55090"/>
    <w:rsid w:val="00F5623E"/>
    <w:rsid w:val="00F5683F"/>
    <w:rsid w:val="00F609BA"/>
    <w:rsid w:val="00F60A72"/>
    <w:rsid w:val="00F61B56"/>
    <w:rsid w:val="00F625EC"/>
    <w:rsid w:val="00F629CC"/>
    <w:rsid w:val="00F65945"/>
    <w:rsid w:val="00F660AF"/>
    <w:rsid w:val="00F72E78"/>
    <w:rsid w:val="00F72F9D"/>
    <w:rsid w:val="00F73553"/>
    <w:rsid w:val="00F741D3"/>
    <w:rsid w:val="00F763E5"/>
    <w:rsid w:val="00F76475"/>
    <w:rsid w:val="00F765D5"/>
    <w:rsid w:val="00F7745A"/>
    <w:rsid w:val="00F80A19"/>
    <w:rsid w:val="00F8132B"/>
    <w:rsid w:val="00F82261"/>
    <w:rsid w:val="00F82687"/>
    <w:rsid w:val="00F83804"/>
    <w:rsid w:val="00F83D45"/>
    <w:rsid w:val="00F85A45"/>
    <w:rsid w:val="00F85BA4"/>
    <w:rsid w:val="00F8776D"/>
    <w:rsid w:val="00F904BA"/>
    <w:rsid w:val="00F90AFF"/>
    <w:rsid w:val="00F91464"/>
    <w:rsid w:val="00F92840"/>
    <w:rsid w:val="00F937E5"/>
    <w:rsid w:val="00F96A4D"/>
    <w:rsid w:val="00F97061"/>
    <w:rsid w:val="00F973F5"/>
    <w:rsid w:val="00F977F6"/>
    <w:rsid w:val="00FA015A"/>
    <w:rsid w:val="00FA021C"/>
    <w:rsid w:val="00FA165C"/>
    <w:rsid w:val="00FA371B"/>
    <w:rsid w:val="00FA5AE6"/>
    <w:rsid w:val="00FB060A"/>
    <w:rsid w:val="00FB198A"/>
    <w:rsid w:val="00FB1B1C"/>
    <w:rsid w:val="00FB1CD5"/>
    <w:rsid w:val="00FB24DB"/>
    <w:rsid w:val="00FB2F2D"/>
    <w:rsid w:val="00FB33C0"/>
    <w:rsid w:val="00FB34F2"/>
    <w:rsid w:val="00FB3903"/>
    <w:rsid w:val="00FB3D0B"/>
    <w:rsid w:val="00FB4ACC"/>
    <w:rsid w:val="00FB4CBB"/>
    <w:rsid w:val="00FB6952"/>
    <w:rsid w:val="00FB7AE1"/>
    <w:rsid w:val="00FB7E94"/>
    <w:rsid w:val="00FC1FD0"/>
    <w:rsid w:val="00FC40E3"/>
    <w:rsid w:val="00FC4888"/>
    <w:rsid w:val="00FC4B16"/>
    <w:rsid w:val="00FC6C5D"/>
    <w:rsid w:val="00FC7D01"/>
    <w:rsid w:val="00FD0E4C"/>
    <w:rsid w:val="00FD1B55"/>
    <w:rsid w:val="00FD23A0"/>
    <w:rsid w:val="00FD6335"/>
    <w:rsid w:val="00FE204E"/>
    <w:rsid w:val="00FE2B97"/>
    <w:rsid w:val="00FE32B0"/>
    <w:rsid w:val="00FE396E"/>
    <w:rsid w:val="00FE4C16"/>
    <w:rsid w:val="00FE4F39"/>
    <w:rsid w:val="00FE52CE"/>
    <w:rsid w:val="00FE6EE1"/>
    <w:rsid w:val="00FE7CEB"/>
    <w:rsid w:val="00FF07B2"/>
    <w:rsid w:val="00FF21A4"/>
    <w:rsid w:val="00FF43B6"/>
    <w:rsid w:val="00FF553D"/>
    <w:rsid w:val="00FF6A2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2BD7F"/>
  <w15:docId w15:val="{91148DA8-8579-448A-898B-52B781FD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rsid w:val="00E67B27"/>
    <w:pPr>
      <w:tabs>
        <w:tab w:val="left" w:pos="426"/>
      </w:tabs>
      <w:ind w:left="426"/>
      <w:jc w:val="center"/>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7"/>
      </w:numPr>
      <w:tabs>
        <w:tab w:val="left" w:pos="284"/>
        <w:tab w:val="left" w:pos="9072"/>
      </w:tabs>
    </w:pPr>
    <w:rPr>
      <w:rFonts w:eastAsia="Calibri"/>
      <w:sz w:val="20"/>
      <w:szCs w:val="20"/>
      <w:lang w:eastAsia="en-US"/>
    </w:rPr>
  </w:style>
  <w:style w:type="paragraph" w:customStyle="1" w:styleId="Zkladntext33">
    <w:name w:val="Základní text 33"/>
    <w:basedOn w:val="Normln"/>
    <w:rsid w:val="00843EF8"/>
    <w:pPr>
      <w:tabs>
        <w:tab w:val="left" w:pos="-720"/>
      </w:tabs>
      <w:spacing w:line="360" w:lineRule="auto"/>
    </w:pPr>
    <w:rPr>
      <w:rFonts w:ascii="Times New Roman" w:hAnsi="Times New Roman"/>
      <w:sz w:val="20"/>
      <w:szCs w:val="20"/>
    </w:rPr>
  </w:style>
  <w:style w:type="paragraph" w:customStyle="1" w:styleId="TabulkaTL">
    <w:name w:val="Tabulka_TL"/>
    <w:basedOn w:val="Normln"/>
    <w:uiPriority w:val="99"/>
    <w:rsid w:val="003F252F"/>
    <w:pPr>
      <w:spacing w:line="220" w:lineRule="atLeast"/>
    </w:pPr>
    <w:rPr>
      <w:rFonts w:ascii="Arial" w:eastAsia="Calibri" w:hAnsi="Arial"/>
      <w:color w:val="000000"/>
      <w:sz w:val="16"/>
      <w:szCs w:val="20"/>
      <w:lang w:eastAsia="en-US"/>
    </w:rPr>
  </w:style>
  <w:style w:type="paragraph" w:customStyle="1" w:styleId="Zkladntext34">
    <w:name w:val="Základní text 34"/>
    <w:basedOn w:val="Normln"/>
    <w:rsid w:val="003C09BD"/>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customStyle="1" w:styleId="slovn-rove1-netunb">
    <w:name w:val="Číslování - úroveň 1 - netučné b"/>
    <w:basedOn w:val="Normln"/>
    <w:qFormat/>
    <w:rsid w:val="009D1795"/>
    <w:pPr>
      <w:numPr>
        <w:numId w:val="19"/>
      </w:numPr>
      <w:spacing w:before="120" w:after="120"/>
      <w:jc w:val="both"/>
    </w:pPr>
    <w:rPr>
      <w:rFonts w:eastAsiaTheme="minorHAnsi"/>
      <w:sz w:val="20"/>
      <w:szCs w:val="20"/>
    </w:rPr>
  </w:style>
  <w:style w:type="paragraph" w:customStyle="1" w:styleId="Nadpislnk">
    <w:name w:val="Nadpis článků"/>
    <w:basedOn w:val="Normln"/>
    <w:qFormat/>
    <w:rsid w:val="00897461"/>
    <w:pPr>
      <w:keepNext/>
      <w:keepLines/>
      <w:spacing w:before="240" w:after="120"/>
      <w:jc w:val="center"/>
    </w:pPr>
    <w:rPr>
      <w:b/>
      <w:sz w:val="24"/>
    </w:rPr>
  </w:style>
  <w:style w:type="paragraph" w:customStyle="1" w:styleId="slovn-rove1">
    <w:name w:val="Číslování - úroveň 1"/>
    <w:basedOn w:val="Normln"/>
    <w:qFormat/>
    <w:rsid w:val="00897461"/>
    <w:pPr>
      <w:keepNext/>
      <w:numPr>
        <w:numId w:val="20"/>
      </w:numPr>
      <w:spacing w:before="120" w:after="120"/>
      <w:jc w:val="both"/>
    </w:pPr>
    <w:rPr>
      <w:b/>
      <w:sz w:val="20"/>
    </w:rPr>
  </w:style>
  <w:style w:type="paragraph" w:customStyle="1" w:styleId="slovn-rove2">
    <w:name w:val="číslování - úroveň 2"/>
    <w:basedOn w:val="slovn-rove1"/>
    <w:link w:val="slovn-rove2Char"/>
    <w:qFormat/>
    <w:rsid w:val="00897461"/>
    <w:pPr>
      <w:numPr>
        <w:ilvl w:val="1"/>
      </w:numPr>
      <w:tabs>
        <w:tab w:val="left" w:pos="454"/>
      </w:tabs>
    </w:pPr>
  </w:style>
  <w:style w:type="paragraph" w:customStyle="1" w:styleId="slovn-rove3">
    <w:name w:val="číslování - úroveň 3"/>
    <w:basedOn w:val="slovn-rove2"/>
    <w:qFormat/>
    <w:rsid w:val="00897461"/>
    <w:pPr>
      <w:numPr>
        <w:ilvl w:val="2"/>
      </w:numPr>
      <w:tabs>
        <w:tab w:val="clear" w:pos="425"/>
        <w:tab w:val="left" w:pos="510"/>
        <w:tab w:val="num" w:pos="2160"/>
      </w:tabs>
      <w:spacing w:after="0"/>
      <w:ind w:left="2160" w:hanging="180"/>
    </w:pPr>
  </w:style>
  <w:style w:type="character" w:customStyle="1" w:styleId="slovn-rove2Char">
    <w:name w:val="číslování - úroveň 2 Char"/>
    <w:basedOn w:val="Standardnpsmoodstavce"/>
    <w:link w:val="slovn-rove2"/>
    <w:rsid w:val="00897461"/>
    <w:rPr>
      <w:rFonts w:ascii="Koop Office" w:hAnsi="Koop Office"/>
      <w:b/>
      <w:szCs w:val="24"/>
    </w:rPr>
  </w:style>
  <w:style w:type="paragraph" w:customStyle="1" w:styleId="odrka">
    <w:name w:val="odrážka"/>
    <w:basedOn w:val="Normln"/>
    <w:qFormat/>
    <w:rsid w:val="00897461"/>
    <w:pPr>
      <w:numPr>
        <w:numId w:val="23"/>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897461"/>
    <w:pPr>
      <w:numPr>
        <w:numId w:val="24"/>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897461"/>
    <w:pPr>
      <w:numPr>
        <w:numId w:val="22"/>
      </w:numPr>
      <w:ind w:left="709" w:hanging="283"/>
    </w:pPr>
  </w:style>
  <w:style w:type="paragraph" w:customStyle="1" w:styleId="Pedmty">
    <w:name w:val="Předměty"/>
    <w:basedOn w:val="Normln"/>
    <w:link w:val="PedmtyChar"/>
    <w:qFormat/>
    <w:rsid w:val="00FC4888"/>
    <w:pPr>
      <w:jc w:val="both"/>
    </w:pPr>
    <w:rPr>
      <w:sz w:val="20"/>
    </w:rPr>
  </w:style>
  <w:style w:type="character" w:customStyle="1" w:styleId="PedmtyChar">
    <w:name w:val="Předměty Char"/>
    <w:basedOn w:val="Standardnpsmoodstavce"/>
    <w:link w:val="Pedmty"/>
    <w:rsid w:val="00FC4888"/>
    <w:rPr>
      <w:rFonts w:ascii="Koop Office" w:hAnsi="Koop Office"/>
      <w:szCs w:val="24"/>
    </w:rPr>
  </w:style>
  <w:style w:type="character" w:customStyle="1" w:styleId="tsubjname">
    <w:name w:val="tsubjname"/>
    <w:basedOn w:val="Standardnpsmoodstavce"/>
    <w:uiPriority w:val="99"/>
    <w:rsid w:val="009573FD"/>
    <w:rPr>
      <w:rFonts w:cs="Times New Roman"/>
    </w:rPr>
  </w:style>
  <w:style w:type="paragraph" w:customStyle="1" w:styleId="slovn-rove1-netun">
    <w:name w:val="Číslování - úroveň 1 - netučné"/>
    <w:basedOn w:val="slovn-rove1"/>
    <w:link w:val="slovn-rove1-netunChar"/>
    <w:qFormat/>
    <w:rsid w:val="00206023"/>
    <w:pPr>
      <w:keepNext w:val="0"/>
      <w:numPr>
        <w:numId w:val="0"/>
      </w:numPr>
      <w:tabs>
        <w:tab w:val="num" w:pos="425"/>
      </w:tabs>
      <w:spacing w:after="0"/>
      <w:ind w:left="425" w:hanging="425"/>
    </w:pPr>
    <w:rPr>
      <w:b w:val="0"/>
    </w:rPr>
  </w:style>
  <w:style w:type="character" w:customStyle="1" w:styleId="slovn-rove1-netunChar">
    <w:name w:val="Číslování - úroveň 1 - netučné Char"/>
    <w:basedOn w:val="Standardnpsmoodstavce"/>
    <w:link w:val="slovn-rove1-netun"/>
    <w:rsid w:val="00206023"/>
    <w:rPr>
      <w:rFonts w:ascii="Koop Office" w:hAnsi="Koop Office"/>
      <w:szCs w:val="24"/>
    </w:rPr>
  </w:style>
  <w:style w:type="paragraph" w:customStyle="1" w:styleId="slovn-tabulka">
    <w:name w:val="číslování - tabulka"/>
    <w:basedOn w:val="Odstavecseseznamem"/>
    <w:qFormat/>
    <w:rsid w:val="0035715D"/>
    <w:pPr>
      <w:numPr>
        <w:numId w:val="26"/>
      </w:numPr>
      <w:spacing w:after="0"/>
      <w:jc w:val="center"/>
    </w:pPr>
    <w:rPr>
      <w:rFonts w:ascii="Koop Office" w:hAnsi="Koop Offic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287">
      <w:bodyDiv w:val="1"/>
      <w:marLeft w:val="0"/>
      <w:marRight w:val="0"/>
      <w:marTop w:val="0"/>
      <w:marBottom w:val="0"/>
      <w:divBdr>
        <w:top w:val="none" w:sz="0" w:space="0" w:color="auto"/>
        <w:left w:val="none" w:sz="0" w:space="0" w:color="auto"/>
        <w:bottom w:val="none" w:sz="0" w:space="0" w:color="auto"/>
        <w:right w:val="none" w:sz="0" w:space="0" w:color="auto"/>
      </w:divBdr>
    </w:div>
    <w:div w:id="389380257">
      <w:bodyDiv w:val="1"/>
      <w:marLeft w:val="0"/>
      <w:marRight w:val="0"/>
      <w:marTop w:val="0"/>
      <w:marBottom w:val="0"/>
      <w:divBdr>
        <w:top w:val="none" w:sz="0" w:space="0" w:color="auto"/>
        <w:left w:val="none" w:sz="0" w:space="0" w:color="auto"/>
        <w:bottom w:val="none" w:sz="0" w:space="0" w:color="auto"/>
        <w:right w:val="none" w:sz="0" w:space="0" w:color="auto"/>
      </w:divBdr>
    </w:div>
    <w:div w:id="442922281">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95633177">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51887652">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561138096">
      <w:bodyDiv w:val="1"/>
      <w:marLeft w:val="0"/>
      <w:marRight w:val="0"/>
      <w:marTop w:val="0"/>
      <w:marBottom w:val="0"/>
      <w:divBdr>
        <w:top w:val="none" w:sz="0" w:space="0" w:color="auto"/>
        <w:left w:val="none" w:sz="0" w:space="0" w:color="auto"/>
        <w:bottom w:val="none" w:sz="0" w:space="0" w:color="auto"/>
        <w:right w:val="none" w:sz="0" w:space="0" w:color="auto"/>
      </w:divBdr>
    </w:div>
    <w:div w:id="1673527739">
      <w:bodyDiv w:val="1"/>
      <w:marLeft w:val="0"/>
      <w:marRight w:val="0"/>
      <w:marTop w:val="0"/>
      <w:marBottom w:val="0"/>
      <w:divBdr>
        <w:top w:val="none" w:sz="0" w:space="0" w:color="auto"/>
        <w:left w:val="none" w:sz="0" w:space="0" w:color="auto"/>
        <w:bottom w:val="none" w:sz="0" w:space="0" w:color="auto"/>
        <w:right w:val="none" w:sz="0" w:space="0" w:color="auto"/>
      </w:divBdr>
    </w:div>
    <w:div w:id="1784808812">
      <w:bodyDiv w:val="1"/>
      <w:marLeft w:val="0"/>
      <w:marRight w:val="0"/>
      <w:marTop w:val="0"/>
      <w:marBottom w:val="0"/>
      <w:divBdr>
        <w:top w:val="none" w:sz="0" w:space="0" w:color="auto"/>
        <w:left w:val="none" w:sz="0" w:space="0" w:color="auto"/>
        <w:bottom w:val="none" w:sz="0" w:space="0" w:color="auto"/>
        <w:right w:val="none" w:sz="0" w:space="0" w:color="auto"/>
      </w:divBdr>
    </w:div>
    <w:div w:id="1801340573">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5ac112360d4bb85692c0f9c9f0eebd25">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a7e007afee41979dd4d3b72b15cb8627"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Props1.xml><?xml version="1.0" encoding="utf-8"?>
<ds:datastoreItem xmlns:ds="http://schemas.openxmlformats.org/officeDocument/2006/customXml" ds:itemID="{C535AF42-8A0A-4674-A364-CC7C729E725A}">
  <ds:schemaRefs>
    <ds:schemaRef ds:uri="http://schemas.openxmlformats.org/officeDocument/2006/bibliography"/>
  </ds:schemaRefs>
</ds:datastoreItem>
</file>

<file path=customXml/itemProps2.xml><?xml version="1.0" encoding="utf-8"?>
<ds:datastoreItem xmlns:ds="http://schemas.openxmlformats.org/officeDocument/2006/customXml" ds:itemID="{6FE72951-4CAC-4AD8-B10B-436965B0E11C}">
  <ds:schemaRefs>
    <ds:schemaRef ds:uri="http://schemas.microsoft.com/sharepoint/v3/contenttype/forms"/>
  </ds:schemaRefs>
</ds:datastoreItem>
</file>

<file path=customXml/itemProps3.xml><?xml version="1.0" encoding="utf-8"?>
<ds:datastoreItem xmlns:ds="http://schemas.openxmlformats.org/officeDocument/2006/customXml" ds:itemID="{6E9F8ECE-537C-456A-8E72-E57555100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7652D-FF4A-46F2-9121-DB06C18937C5}">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docProps/app.xml><?xml version="1.0" encoding="utf-8"?>
<Properties xmlns="http://schemas.openxmlformats.org/officeDocument/2006/extended-properties" xmlns:vt="http://schemas.openxmlformats.org/officeDocument/2006/docPropsVTypes">
  <Template>M7312-15 .dot</Template>
  <TotalTime>0</TotalTime>
  <Pages>10</Pages>
  <Words>4702</Words>
  <Characters>28724</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33360</CharactersWithSpaces>
  <SharedDoc>false</SharedDoc>
  <HLinks>
    <vt:vector size="12" baseType="variant">
      <vt:variant>
        <vt:i4>8060972</vt:i4>
      </vt:variant>
      <vt:variant>
        <vt:i4>2</vt:i4>
      </vt:variant>
      <vt:variant>
        <vt:i4>0</vt:i4>
      </vt:variant>
      <vt:variant>
        <vt:i4>5</vt:i4>
      </vt:variant>
      <vt:variant>
        <vt:lpwstr>http://www.koop.cz/</vt:lpwstr>
      </vt:variant>
      <vt:variant>
        <vt:lpwstr/>
      </vt:variant>
      <vt:variant>
        <vt:i4>8060972</vt:i4>
      </vt:variant>
      <vt:variant>
        <vt:i4>0</vt:i4>
      </vt:variant>
      <vt:variant>
        <vt:i4>0</vt:i4>
      </vt:variant>
      <vt:variant>
        <vt:i4>5</vt:i4>
      </vt:variant>
      <vt:variant>
        <vt:lpwstr>http://www.koop.cz/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subject/>
  <dc:creator>dfojtik</dc:creator>
  <cp:keywords/>
  <cp:lastModifiedBy>Blažková Oľga</cp:lastModifiedBy>
  <cp:revision>2</cp:revision>
  <cp:lastPrinted>2026-01-23T13:35:00Z</cp:lastPrinted>
  <dcterms:created xsi:type="dcterms:W3CDTF">2026-04-20T08:19:00Z</dcterms:created>
  <dcterms:modified xsi:type="dcterms:W3CDTF">2026-04-20T08:19:00Z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ediaServiceImageTags">
    <vt:lpwstr/>
  </property>
  <property fmtid="{D5CDD505-2E9C-101B-9397-08002B2CF9AE}" pid="4" name="ClassificationContentMarkingFooterShapeIds">
    <vt:lpwstr>12ecec1c,1a7a2b24,4902d337</vt:lpwstr>
  </property>
  <property fmtid="{D5CDD505-2E9C-101B-9397-08002B2CF9AE}" pid="5" name="ClassificationContentMarkingFooterFontProps">
    <vt:lpwstr>#000000,9,Calibri</vt:lpwstr>
  </property>
  <property fmtid="{D5CDD505-2E9C-101B-9397-08002B2CF9AE}" pid="6" name="ClassificationContentMarkingFooterText">
    <vt:lpwstr>VIG_CZ:Důvěrné/Confidential</vt:lpwstr>
  </property>
  <property fmtid="{D5CDD505-2E9C-101B-9397-08002B2CF9AE}" pid="7" name="MSIP_Label_06e48620-e1d6-4326-a693-35eea4b7be04_Enabled">
    <vt:lpwstr>true</vt:lpwstr>
  </property>
  <property fmtid="{D5CDD505-2E9C-101B-9397-08002B2CF9AE}" pid="8" name="MSIP_Label_06e48620-e1d6-4326-a693-35eea4b7be04_SetDate">
    <vt:lpwstr>2025-12-08T11:30:56Z</vt:lpwstr>
  </property>
  <property fmtid="{D5CDD505-2E9C-101B-9397-08002B2CF9AE}" pid="9" name="MSIP_Label_06e48620-e1d6-4326-a693-35eea4b7be04_Method">
    <vt:lpwstr>Privileged</vt:lpwstr>
  </property>
  <property fmtid="{D5CDD505-2E9C-101B-9397-08002B2CF9AE}" pid="10" name="MSIP_Label_06e48620-e1d6-4326-a693-35eea4b7be04_Name">
    <vt:lpwstr>VIGCZ103S02</vt:lpwstr>
  </property>
  <property fmtid="{D5CDD505-2E9C-101B-9397-08002B2CF9AE}" pid="11" name="MSIP_Label_06e48620-e1d6-4326-a693-35eea4b7be04_SiteId">
    <vt:lpwstr>1cf16eb8-8983-4f6f-9c5f-66decda360c4</vt:lpwstr>
  </property>
  <property fmtid="{D5CDD505-2E9C-101B-9397-08002B2CF9AE}" pid="12" name="MSIP_Label_06e48620-e1d6-4326-a693-35eea4b7be04_ActionId">
    <vt:lpwstr>0d73a130-8415-4488-925b-c9e9cd758448</vt:lpwstr>
  </property>
  <property fmtid="{D5CDD505-2E9C-101B-9397-08002B2CF9AE}" pid="13" name="MSIP_Label_06e48620-e1d6-4326-a693-35eea4b7be04_ContentBits">
    <vt:lpwstr>3</vt:lpwstr>
  </property>
  <property fmtid="{D5CDD505-2E9C-101B-9397-08002B2CF9AE}" pid="14" name="MSIP_Label_06e48620-e1d6-4326-a693-35eea4b7be04_Tag">
    <vt:lpwstr>10, 0, 1, 1</vt:lpwstr>
  </property>
  <property fmtid="{D5CDD505-2E9C-101B-9397-08002B2CF9AE}" pid="15" name="MSIP_Label_8d283cd4-40d8-4b4e-b666-5881e4d226e3_Enabled">
    <vt:lpwstr>true</vt:lpwstr>
  </property>
  <property fmtid="{D5CDD505-2E9C-101B-9397-08002B2CF9AE}" pid="16" name="MSIP_Label_8d283cd4-40d8-4b4e-b666-5881e4d226e3_SetDate">
    <vt:lpwstr>2025-12-19T14:25:12Z</vt:lpwstr>
  </property>
  <property fmtid="{D5CDD505-2E9C-101B-9397-08002B2CF9AE}" pid="17" name="MSIP_Label_8d283cd4-40d8-4b4e-b666-5881e4d226e3_Method">
    <vt:lpwstr>Standard</vt:lpwstr>
  </property>
  <property fmtid="{D5CDD505-2E9C-101B-9397-08002B2CF9AE}" pid="18" name="MSIP_Label_8d283cd4-40d8-4b4e-b666-5881e4d226e3_Name">
    <vt:lpwstr>Public</vt:lpwstr>
  </property>
  <property fmtid="{D5CDD505-2E9C-101B-9397-08002B2CF9AE}" pid="19" name="MSIP_Label_8d283cd4-40d8-4b4e-b666-5881e4d226e3_SiteId">
    <vt:lpwstr>8b52ecaa-f734-4a0c-9b2d-ab31beeb4028</vt:lpwstr>
  </property>
  <property fmtid="{D5CDD505-2E9C-101B-9397-08002B2CF9AE}" pid="20" name="MSIP_Label_8d283cd4-40d8-4b4e-b666-5881e4d226e3_ActionId">
    <vt:lpwstr>23ab4719-8ac6-4966-84b5-aa6218e8227d</vt:lpwstr>
  </property>
  <property fmtid="{D5CDD505-2E9C-101B-9397-08002B2CF9AE}" pid="21" name="MSIP_Label_8d283cd4-40d8-4b4e-b666-5881e4d226e3_ContentBits">
    <vt:lpwstr>0</vt:lpwstr>
  </property>
  <property fmtid="{D5CDD505-2E9C-101B-9397-08002B2CF9AE}" pid="22" name="MSIP_Label_8d283cd4-40d8-4b4e-b666-5881e4d226e3_Tag">
    <vt:lpwstr>10, 3, 0, 1</vt:lpwstr>
  </property>
</Properties>
</file>