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0C8ED6B1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="005A0EA6">
        <w:rPr>
          <w:sz w:val="14"/>
          <w:szCs w:val="14"/>
        </w:rPr>
        <w:tab/>
        <w:t>SMK/158046/2025</w:t>
      </w:r>
      <w:r w:rsidRPr="00C77DC4">
        <w:rPr>
          <w:sz w:val="14"/>
          <w:szCs w:val="14"/>
        </w:rPr>
        <w:tab/>
      </w:r>
    </w:p>
    <w:p w14:paraId="2F971004" w14:textId="5ECDEE60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5A0EA6">
        <w:rPr>
          <w:sz w:val="14"/>
          <w:szCs w:val="14"/>
        </w:rPr>
        <w:t>SML/0118/2026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5948146C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F61AF9">
        <w:rPr>
          <w:rFonts w:eastAsia="Times New Roman" w:cs="Arial"/>
          <w:b/>
          <w:bCs/>
          <w:sz w:val="22"/>
          <w:lang w:eastAsia="cs-CZ" w:bidi="ar-SA"/>
        </w:rPr>
        <w:t>120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F61AF9">
        <w:rPr>
          <w:rFonts w:eastAsia="Times New Roman" w:cs="Arial"/>
          <w:b/>
          <w:bCs/>
          <w:sz w:val="22"/>
          <w:lang w:eastAsia="cs-CZ" w:bidi="ar-SA"/>
        </w:rPr>
        <w:t>120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7B36CAF3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F61AF9">
        <w:rPr>
          <w:rFonts w:cs="Arial"/>
          <w:b/>
          <w:bCs/>
          <w:sz w:val="22"/>
        </w:rPr>
        <w:t>POHODA</w:t>
      </w:r>
      <w:r w:rsidR="00B5719D">
        <w:rPr>
          <w:rFonts w:cs="Arial"/>
          <w:b/>
          <w:bCs/>
          <w:sz w:val="22"/>
        </w:rPr>
        <w:t xml:space="preserve"> Karviná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B5719D">
        <w:rPr>
          <w:rFonts w:cs="Arial"/>
          <w:b/>
          <w:bCs/>
          <w:sz w:val="22"/>
        </w:rPr>
        <w:t>04</w:t>
      </w:r>
      <w:r w:rsidR="00F61AF9">
        <w:rPr>
          <w:rFonts w:cs="Arial"/>
          <w:b/>
          <w:bCs/>
          <w:sz w:val="22"/>
        </w:rPr>
        <w:t>6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7F7BB2B7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326F5B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178488C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326F5B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54966A5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</w:t>
      </w:r>
      <w:r w:rsidR="00B5719D">
        <w:rPr>
          <w:rFonts w:cs="Arial"/>
          <w:b/>
          <w:bCs/>
          <w:sz w:val="22"/>
        </w:rPr>
        <w:t>4</w:t>
      </w:r>
      <w:r w:rsidR="00F61AF9">
        <w:rPr>
          <w:rFonts w:cs="Arial"/>
          <w:b/>
          <w:bCs/>
          <w:sz w:val="22"/>
        </w:rPr>
        <w:t>6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C5A65A0" w14:textId="77777777" w:rsidR="005A0EA6" w:rsidRDefault="005A0EA6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5725750" w14:textId="77777777" w:rsidR="005A0EA6" w:rsidRDefault="005A0EA6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326F5B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326F5B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07D25F0A" w14:textId="69BA3090" w:rsidR="005A0EA6" w:rsidRPr="005A0EA6" w:rsidRDefault="00EB4FFC" w:rsidP="00326F5B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26F5B">
        <w:rPr>
          <w:rFonts w:cs="Arial"/>
          <w:sz w:val="22"/>
        </w:rPr>
        <w:t xml:space="preserve"> </w:t>
      </w:r>
      <w:r w:rsidR="00384F76" w:rsidRPr="00384F76">
        <w:rPr>
          <w:rFonts w:cs="Arial"/>
          <w:sz w:val="22"/>
        </w:rPr>
        <w:t xml:space="preserve"> </w:t>
      </w:r>
      <w:r w:rsidR="005A0EA6" w:rsidRPr="005A0EA6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5A0EA6" w:rsidRPr="005A0EA6">
        <w:rPr>
          <w:rFonts w:cs="Arial"/>
          <w:b/>
          <w:bCs/>
          <w:sz w:val="22"/>
        </w:rPr>
        <w:t>03768/2023/SOC</w:t>
      </w:r>
      <w:r w:rsidR="005A0EA6" w:rsidRPr="005A0EA6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77777777" w:rsidR="00384F76" w:rsidRPr="005A0EA6" w:rsidRDefault="00384F76" w:rsidP="00326F5B">
      <w:pPr>
        <w:widowControl w:val="0"/>
        <w:spacing w:after="0"/>
        <w:ind w:left="284" w:hanging="284"/>
        <w:rPr>
          <w:rFonts w:cs="Arial"/>
          <w:sz w:val="22"/>
        </w:rPr>
      </w:pPr>
    </w:p>
    <w:p w14:paraId="09C03277" w14:textId="65ACCA67" w:rsidR="00384F76" w:rsidRPr="00384F76" w:rsidRDefault="00384F76" w:rsidP="00326F5B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FED9990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5A0EA6">
        <w:rPr>
          <w:rFonts w:cs="Arial"/>
          <w:sz w:val="22"/>
        </w:rPr>
        <w:t>2774</w:t>
      </w:r>
      <w:r w:rsidR="009149CC" w:rsidRPr="000B397E">
        <w:rPr>
          <w:rFonts w:cs="Arial"/>
          <w:sz w:val="22"/>
        </w:rPr>
        <w:t xml:space="preserve"> </w:t>
      </w:r>
      <w:r w:rsidR="005A0EA6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5A0EA6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08406981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326F5B">
        <w:rPr>
          <w:rFonts w:cs="Arial"/>
          <w:sz w:val="22"/>
        </w:rPr>
        <w:t>……………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1720C77A" w14:textId="77777777" w:rsidR="00326F5B" w:rsidRDefault="00326F5B" w:rsidP="00F50251">
      <w:pPr>
        <w:rPr>
          <w:rFonts w:cs="Arial"/>
          <w:sz w:val="22"/>
        </w:rPr>
      </w:pPr>
    </w:p>
    <w:p w14:paraId="655E1A5F" w14:textId="77777777" w:rsidR="00326F5B" w:rsidRDefault="00326F5B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507C" w14:textId="77777777" w:rsidR="00E20C13" w:rsidRDefault="00E20C13" w:rsidP="00944058">
      <w:r>
        <w:separator/>
      </w:r>
    </w:p>
  </w:endnote>
  <w:endnote w:type="continuationSeparator" w:id="0">
    <w:p w14:paraId="10D1ABA9" w14:textId="77777777" w:rsidR="00E20C13" w:rsidRDefault="00E20C13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DC47" w14:textId="77777777" w:rsidR="00E20C13" w:rsidRDefault="00E20C13" w:rsidP="00944058">
      <w:r>
        <w:separator/>
      </w:r>
    </w:p>
  </w:footnote>
  <w:footnote w:type="continuationSeparator" w:id="0">
    <w:p w14:paraId="60059BE6" w14:textId="77777777" w:rsidR="00E20C13" w:rsidRDefault="00E20C13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54B2B8AC"/>
    <w:lvl w:ilvl="0" w:tplc="57A23A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0BB1"/>
    <w:rsid w:val="00002487"/>
    <w:rsid w:val="0000317D"/>
    <w:rsid w:val="00003B40"/>
    <w:rsid w:val="00003EEF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26F5B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0EA6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78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01D0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1DE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C13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A59BE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2330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2026-01-15T08:02:00Z</dcterms:created>
  <dcterms:modified xsi:type="dcterms:W3CDTF">2026-04-08T09:04:00Z</dcterms:modified>
  <cp:category>MMK.01.02.01</cp:category>
</cp:coreProperties>
</file>