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6A581C41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4B4635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567F23">
        <w:rPr>
          <w:rFonts w:ascii="Palatino Linotype" w:hAnsi="Palatino Linotype" w:cs="Tahoma"/>
          <w:b/>
          <w:sz w:val="28"/>
          <w:szCs w:val="28"/>
          <w:lang w:eastAsia="cs-CZ"/>
        </w:rPr>
        <w:t>2</w:t>
      </w:r>
      <w:r w:rsidR="004B4635">
        <w:rPr>
          <w:rFonts w:ascii="Palatino Linotype" w:hAnsi="Palatino Linotype" w:cs="Tahoma"/>
          <w:b/>
          <w:sz w:val="28"/>
          <w:szCs w:val="28"/>
          <w:lang w:eastAsia="cs-CZ"/>
        </w:rPr>
        <w:t>3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A43D1F2" w14:textId="77777777" w:rsidR="00C714DA" w:rsidRDefault="00494AC1" w:rsidP="00611918">
      <w:pPr>
        <w:jc w:val="center"/>
        <w:rPr>
          <w:rFonts w:ascii="Palatino Linotype" w:hAnsi="Palatino Linotype" w:cs="Arial"/>
          <w:szCs w:val="24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</w:t>
      </w:r>
    </w:p>
    <w:p w14:paraId="49CA3F66" w14:textId="49AC18E4" w:rsidR="00611918" w:rsidRPr="00DA172E" w:rsidRDefault="00B666A4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szCs w:val="24"/>
        </w:rPr>
        <w:t xml:space="preserve">ze </w:t>
      </w:r>
      <w:r w:rsidR="00494AC1"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494AC1"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72668202" w14:textId="77777777" w:rsidR="00567F23" w:rsidRPr="00567F23" w:rsidRDefault="00567F23" w:rsidP="00567F23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Cs/>
          <w:color w:val="000000"/>
          <w:sz w:val="28"/>
          <w:szCs w:val="28"/>
        </w:rPr>
      </w:pPr>
      <w:r w:rsidRPr="00567F23">
        <w:rPr>
          <w:rFonts w:ascii="Palatino Linotype" w:hAnsi="Palatino Linotype"/>
          <w:b/>
          <w:bCs/>
          <w:color w:val="000000"/>
          <w:sz w:val="28"/>
          <w:szCs w:val="28"/>
        </w:rPr>
        <w:t>Dodávky v oblasti rozvoje KSI a WAN MPSV – NOVÁ WAN</w:t>
      </w:r>
    </w:p>
    <w:p w14:paraId="6F222088" w14:textId="77777777" w:rsidR="00D40331" w:rsidRDefault="00534DE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  <w:r w:rsidR="00D4033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6AEBDBF5" w14:textId="4F4A4411" w:rsidR="00534DE1" w:rsidRPr="00D40331" w:rsidRDefault="00D4033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D40331">
        <w:rPr>
          <w:rFonts w:ascii="Palatino Linotype" w:hAnsi="Palatino Linotype"/>
          <w:b/>
          <w:bCs/>
          <w:color w:val="000000"/>
          <w:sz w:val="28"/>
          <w:szCs w:val="28"/>
        </w:rPr>
        <w:t>Služby aktualizace ePD a dohledových systémů MPSV</w:t>
      </w:r>
    </w:p>
    <w:p w14:paraId="7D529815" w14:textId="6B968C1A" w:rsidR="00D55C9F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0989A8DA" w14:textId="77777777" w:rsidR="00567F23" w:rsidRDefault="00567F23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2F588CA" w14:textId="77777777" w:rsidR="00BD3D9C" w:rsidRPr="00467F1D" w:rsidRDefault="00BD3D9C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5B293665" w14:textId="49411E2B" w:rsidR="000E541D" w:rsidRPr="00567F23" w:rsidRDefault="00567F23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567F23">
        <w:rPr>
          <w:rFonts w:ascii="Palatino Linotype" w:hAnsi="Palatino Linotype"/>
          <w:b/>
          <w:bCs/>
          <w:color w:val="000000"/>
          <w:szCs w:val="24"/>
        </w:rPr>
        <w:t>Obnova licencí SD-WAN centrálních směrovačů a směrovačů na KrP ÚP ČR</w:t>
      </w:r>
    </w:p>
    <w:p w14:paraId="044F17FA" w14:textId="6957885E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E1760FA" w14:textId="41F04710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39E30E66" w14:textId="011F59CA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AC43C67" w14:textId="77777777" w:rsidR="00567F23" w:rsidRDefault="00567F23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BC826AB" w14:textId="68802C62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833A9A2" w14:textId="108D70BF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D2B0E2E" w14:textId="77777777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74EE388" w14:textId="77777777" w:rsidR="005948CB" w:rsidRPr="000E541D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5C7EC595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4B4635">
        <w:rPr>
          <w:rFonts w:ascii="Palatino Linotype" w:hAnsi="Palatino Linotype" w:cs="Tahoma"/>
          <w:b/>
          <w:sz w:val="22"/>
          <w:szCs w:val="28"/>
          <w:lang w:eastAsia="cs-CZ"/>
        </w:rPr>
        <w:t>6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567F23">
        <w:rPr>
          <w:rFonts w:ascii="Palatino Linotype" w:hAnsi="Palatino Linotype" w:cs="Tahoma"/>
          <w:b/>
          <w:sz w:val="22"/>
          <w:szCs w:val="28"/>
          <w:lang w:eastAsia="cs-CZ"/>
        </w:rPr>
        <w:t>2</w:t>
      </w:r>
      <w:r w:rsidR="004B4635">
        <w:rPr>
          <w:rFonts w:ascii="Palatino Linotype" w:hAnsi="Palatino Linotype" w:cs="Tahoma"/>
          <w:b/>
          <w:sz w:val="22"/>
          <w:szCs w:val="28"/>
          <w:lang w:eastAsia="cs-CZ"/>
        </w:rPr>
        <w:t>3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22EA1DD8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3D3877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3D3877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3D3877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31E1BB4F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Česká národní banka</w:t>
      </w:r>
    </w:p>
    <w:p w14:paraId="4E047332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2229001/0710</w:t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2E62577E" w:rsidR="00DA172E" w:rsidRPr="00DA172E" w:rsidRDefault="00351399" w:rsidP="00351399">
      <w:pPr>
        <w:tabs>
          <w:tab w:val="left" w:pos="5726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>
        <w:rPr>
          <w:rFonts w:ascii="Palatino Linotype" w:hAnsi="Palatino Linotype" w:cs="Tahoma"/>
          <w:sz w:val="22"/>
          <w:szCs w:val="22"/>
          <w:lang w:val="x-none" w:eastAsia="x-none"/>
        </w:rPr>
        <w:tab/>
      </w: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311CFBAF" w:rsidR="00DD0B33" w:rsidRPr="00DA172E" w:rsidRDefault="00DD0B33" w:rsidP="00BF22D7">
      <w:pPr>
        <w:overflowPunct/>
        <w:autoSpaceDE/>
        <w:autoSpaceDN/>
        <w:adjustRightInd/>
        <w:spacing w:line="240" w:lineRule="auto"/>
        <w:ind w:left="2830" w:hanging="247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BF22D7" w:rsidRPr="00E742EC">
        <w:rPr>
          <w:rFonts w:ascii="Palatino Linotype" w:hAnsi="Palatino Linotype"/>
          <w:sz w:val="22"/>
          <w:szCs w:val="22"/>
        </w:rPr>
        <w:t>Winkelhofer &amp; Partners s.r.o., člen představenstva, zastoupená Filipem Winkelhoferem</w:t>
      </w:r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20E6CDB4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2E28EB" w:rsidRPr="00DA172E">
        <w:rPr>
          <w:rFonts w:ascii="Palatino Linotype" w:hAnsi="Palatino Linotype"/>
          <w:sz w:val="22"/>
          <w:szCs w:val="22"/>
          <w:lang w:eastAsia="cs-CZ"/>
        </w:rPr>
        <w:t>CZ</w:t>
      </w:r>
      <w:r w:rsidR="002E28EB" w:rsidRPr="00F66BFA">
        <w:rPr>
          <w:rFonts w:ascii="Palatino Linotype" w:hAnsi="Palatino Linotype"/>
          <w:sz w:val="22"/>
          <w:szCs w:val="22"/>
          <w:lang w:eastAsia="cs-CZ"/>
        </w:rPr>
        <w:t>699007524</w:t>
      </w:r>
    </w:p>
    <w:p w14:paraId="717B3694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Komerční banka, a.s.</w:t>
      </w:r>
    </w:p>
    <w:p w14:paraId="1EE9B7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27-6667590237/0100</w:t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7EE057CE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5617CC">
        <w:rPr>
          <w:rFonts w:ascii="Palatino Linotype" w:hAnsi="Palatino Linotype" w:cs="Arial"/>
          <w:sz w:val="22"/>
          <w:szCs w:val="22"/>
        </w:rPr>
        <w:t>-</w:t>
      </w:r>
      <w:r w:rsidR="00567F23">
        <w:rPr>
          <w:rFonts w:ascii="Palatino Linotype" w:hAnsi="Palatino Linotype" w:cs="Arial"/>
          <w:sz w:val="22"/>
          <w:szCs w:val="22"/>
        </w:rPr>
        <w:t>2</w:t>
      </w:r>
      <w:r w:rsidR="00BF22D7">
        <w:rPr>
          <w:rFonts w:ascii="Palatino Linotype" w:hAnsi="Palatino Linotype" w:cs="Arial"/>
          <w:sz w:val="22"/>
          <w:szCs w:val="22"/>
        </w:rPr>
        <w:t xml:space="preserve">3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567F23">
        <w:rPr>
          <w:rFonts w:ascii="Palatino Linotype" w:hAnsi="Palatino Linotype" w:cs="Arial"/>
          <w:sz w:val="22"/>
          <w:szCs w:val="22"/>
        </w:rPr>
        <w:t>2</w:t>
      </w:r>
      <w:r w:rsidR="00BF22D7">
        <w:rPr>
          <w:rFonts w:ascii="Palatino Linotype" w:hAnsi="Palatino Linotype" w:cs="Arial"/>
          <w:sz w:val="22"/>
          <w:szCs w:val="22"/>
        </w:rPr>
        <w:t>3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567F23">
        <w:rPr>
          <w:rFonts w:ascii="Palatino Linotype" w:hAnsi="Palatino Linotype" w:cs="Arial"/>
          <w:sz w:val="22"/>
          <w:szCs w:val="22"/>
        </w:rPr>
        <w:t>2</w:t>
      </w:r>
      <w:r w:rsidR="00BF22D7">
        <w:rPr>
          <w:rFonts w:ascii="Palatino Linotype" w:hAnsi="Palatino Linotype" w:cs="Arial"/>
          <w:sz w:val="22"/>
          <w:szCs w:val="22"/>
        </w:rPr>
        <w:t>3</w:t>
      </w:r>
    </w:p>
    <w:p w14:paraId="57B1966F" w14:textId="1C63374E" w:rsidR="000E71EF" w:rsidRPr="003F20DC" w:rsidRDefault="00611918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2E508C6" w14:textId="1F56A50B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567F23">
        <w:rPr>
          <w:rFonts w:ascii="Palatino Linotype" w:hAnsi="Palatino Linotype" w:cs="Arial"/>
          <w:sz w:val="22"/>
          <w:szCs w:val="22"/>
        </w:rPr>
        <w:t>2</w:t>
      </w:r>
      <w:r w:rsidR="00BF22D7">
        <w:rPr>
          <w:rFonts w:ascii="Palatino Linotype" w:hAnsi="Palatino Linotype" w:cs="Arial"/>
          <w:sz w:val="22"/>
          <w:szCs w:val="22"/>
        </w:rPr>
        <w:t>3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B666A4">
        <w:rPr>
          <w:rFonts w:ascii="Palatino Linotype" w:hAnsi="Palatino Linotype" w:cs="Arial"/>
          <w:sz w:val="22"/>
          <w:szCs w:val="22"/>
        </w:rPr>
        <w:t>,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</w:t>
      </w:r>
      <w:r w:rsidR="00C759C3">
        <w:rPr>
          <w:rFonts w:ascii="Palatino Linotype" w:hAnsi="Palatino Linotype" w:cs="Arial"/>
          <w:sz w:val="22"/>
          <w:szCs w:val="22"/>
        </w:rPr>
        <w:br/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 xml:space="preserve">(dále jen </w:t>
      </w:r>
      <w:r w:rsidR="00B666A4">
        <w:rPr>
          <w:rFonts w:ascii="Palatino Linotype" w:hAnsi="Palatino Linotype" w:cs="Arial"/>
          <w:sz w:val="22"/>
          <w:szCs w:val="22"/>
        </w:rPr>
        <w:t>„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6F46A287" w14:textId="477BBDA6" w:rsidR="00737DEC" w:rsidRPr="003F20DC" w:rsidRDefault="00611918" w:rsidP="003F20D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4AF7E04" w14:textId="4084586E" w:rsidR="000E71EF" w:rsidRPr="003F20DC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671D6AC8" w14:textId="1FCF118E" w:rsidR="00671C04" w:rsidRPr="003F20DC" w:rsidRDefault="00DB0A83" w:rsidP="003F20D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1C25506B" w14:textId="368E42E7" w:rsidR="000E71EF" w:rsidRPr="003F20DC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26CADACC" w14:textId="479B024E" w:rsidR="00A532B3" w:rsidRPr="003F20DC" w:rsidRDefault="00FB5656" w:rsidP="003F20D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A532B3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  <w:bookmarkStart w:id="3" w:name="_Ref132094436"/>
    </w:p>
    <w:p w14:paraId="213C17CB" w14:textId="53BFE6C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67631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5F2475CA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757BE37C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lastRenderedPageBreak/>
        <w:t>MÍSTO PLNĚNÍ</w:t>
      </w:r>
    </w:p>
    <w:p w14:paraId="36AC6F08" w14:textId="754B6CBE" w:rsidR="008A4DB3" w:rsidRPr="004C597F" w:rsidRDefault="00C714DA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>Plnění dle této Prováděcí smlouvy bude poskytováno v sídle MPSV a v dalších lokalitách a pracovištích v rámci České republiky, přičemž konkrétním místem plnění jsou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4C597F">
        <w:rPr>
          <w:rFonts w:ascii="Palatino Linotype" w:hAnsi="Palatino Linotype" w:cs="Arial"/>
          <w:sz w:val="22"/>
          <w:szCs w:val="22"/>
        </w:rPr>
        <w:t xml:space="preserve">lokality </w:t>
      </w:r>
      <w:r>
        <w:rPr>
          <w:rFonts w:ascii="Palatino Linotype" w:hAnsi="Palatino Linotype" w:cs="Arial"/>
          <w:sz w:val="22"/>
          <w:szCs w:val="22"/>
        </w:rPr>
        <w:t xml:space="preserve">na adresách </w:t>
      </w:r>
      <w:r w:rsidRPr="004C597F">
        <w:rPr>
          <w:rFonts w:ascii="Palatino Linotype" w:hAnsi="Palatino Linotype" w:cs="Arial"/>
          <w:sz w:val="22"/>
          <w:szCs w:val="22"/>
        </w:rPr>
        <w:t>Na Poříčním právu 376/1, Sokolovská 855/225 a další lokality resortu MPSV</w:t>
      </w:r>
      <w:r>
        <w:rPr>
          <w:rFonts w:ascii="Palatino Linotype" w:hAnsi="Palatino Linotype" w:cs="Arial"/>
          <w:sz w:val="22"/>
          <w:szCs w:val="22"/>
        </w:rPr>
        <w:t xml:space="preserve"> specifikované v příloze č. 1 </w:t>
      </w:r>
      <w:r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33BCDB33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A7A6BE2" w14:textId="554DAA3F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>nejpozděj</w:t>
      </w:r>
      <w:r w:rsidRPr="00543930">
        <w:rPr>
          <w:rFonts w:ascii="Palatino Linotype" w:hAnsi="Palatino Linotype" w:cs="Arial"/>
          <w:sz w:val="22"/>
          <w:szCs w:val="22"/>
        </w:rPr>
        <w:t>i do</w:t>
      </w:r>
      <w:r w:rsidR="00A25B89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16</w:t>
      </w:r>
      <w:r w:rsidR="00A25B89" w:rsidRPr="00543930">
        <w:rPr>
          <w:rFonts w:ascii="Palatino Linotype" w:hAnsi="Palatino Linotype" w:cs="Arial"/>
          <w:sz w:val="22"/>
          <w:szCs w:val="22"/>
        </w:rPr>
        <w:t>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12.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15799C" w:rsidRPr="0054393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bookmarkEnd w:id="2"/>
    <w:p w14:paraId="5AAEA563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4D2D9BA1" w14:textId="7356C4AC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>Cena za poskytování plnění dle této Prováděcí smlouvy</w:t>
      </w:r>
      <w:r w:rsidR="00B666A4">
        <w:rPr>
          <w:rFonts w:ascii="Palatino Linotype" w:hAnsi="Palatino Linotype" w:cs="Arial"/>
          <w:sz w:val="22"/>
          <w:szCs w:val="22"/>
        </w:rPr>
        <w:t xml:space="preserve"> (dále jen „</w:t>
      </w:r>
      <w:r w:rsidR="00B666A4" w:rsidRPr="00B666A4">
        <w:rPr>
          <w:rFonts w:ascii="Palatino Linotype" w:hAnsi="Palatino Linotype" w:cs="Arial"/>
          <w:b/>
          <w:bCs/>
          <w:i/>
          <w:iCs/>
          <w:sz w:val="22"/>
          <w:szCs w:val="22"/>
        </w:rPr>
        <w:t>cena plnění</w:t>
      </w:r>
      <w:r w:rsidR="00B666A4">
        <w:rPr>
          <w:rFonts w:ascii="Palatino Linotype" w:hAnsi="Palatino Linotype" w:cs="Arial"/>
          <w:sz w:val="22"/>
          <w:szCs w:val="22"/>
        </w:rPr>
        <w:t>“)</w:t>
      </w:r>
      <w:r w:rsidRPr="00C969F0">
        <w:rPr>
          <w:rFonts w:ascii="Palatino Linotype" w:hAnsi="Palatino Linotype" w:cs="Arial"/>
          <w:sz w:val="22"/>
          <w:szCs w:val="22"/>
        </w:rPr>
        <w:t xml:space="preserve">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1D4C64A" w14:textId="6514378D" w:rsidR="008C2B84" w:rsidRPr="003F20DC" w:rsidRDefault="00611918" w:rsidP="003F20D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plnění dle této Prováděcí smlouvy ve výši </w:t>
      </w:r>
      <w:r w:rsidR="00567F23">
        <w:rPr>
          <w:rFonts w:ascii="Palatino Linotype" w:hAnsi="Palatino Linotype" w:cs="Arial"/>
          <w:color w:val="000000" w:themeColor="text1"/>
          <w:sz w:val="22"/>
          <w:szCs w:val="22"/>
        </w:rPr>
        <w:t>2.777.998</w:t>
      </w:r>
      <w:r w:rsidR="00BF22D7">
        <w:rPr>
          <w:rFonts w:ascii="Palatino Linotype" w:hAnsi="Palatino Linotype" w:cs="Arial"/>
          <w:color w:val="000000" w:themeColor="text1"/>
          <w:sz w:val="22"/>
          <w:szCs w:val="22"/>
        </w:rPr>
        <w:t>,</w:t>
      </w:r>
      <w:r w:rsidR="00567F23">
        <w:rPr>
          <w:rFonts w:ascii="Palatino Linotype" w:hAnsi="Palatino Linotype" w:cs="Arial"/>
          <w:color w:val="000000" w:themeColor="text1"/>
          <w:sz w:val="22"/>
          <w:szCs w:val="22"/>
        </w:rPr>
        <w:t>-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567F23" w:rsidRPr="00567F23">
        <w:rPr>
          <w:rFonts w:ascii="Palatino Linotype" w:hAnsi="Palatino Linotype" w:cs="Arial"/>
          <w:color w:val="000000" w:themeColor="text1"/>
          <w:sz w:val="22"/>
          <w:szCs w:val="22"/>
        </w:rPr>
        <w:t>dva miliony sedm set sedmdesát sedm tisíc devět set devadesát osm korun českých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</w:t>
      </w:r>
      <w:r w:rsidR="00B666A4">
        <w:rPr>
          <w:rFonts w:ascii="Palatino Linotype" w:hAnsi="Palatino Linotype" w:cs="Arial"/>
          <w:color w:val="000000" w:themeColor="text1"/>
          <w:sz w:val="22"/>
          <w:szCs w:val="22"/>
        </w:rPr>
        <w:t>tj.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567F23">
        <w:rPr>
          <w:rFonts w:ascii="Palatino Linotype" w:hAnsi="Palatino Linotype" w:cs="Arial"/>
          <w:color w:val="000000" w:themeColor="text1"/>
          <w:sz w:val="22"/>
          <w:szCs w:val="22"/>
        </w:rPr>
        <w:t>3.361.377,58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567F23" w:rsidRPr="00567F23">
        <w:rPr>
          <w:rFonts w:ascii="Palatino Linotype" w:hAnsi="Palatino Linotype" w:cs="Arial"/>
          <w:color w:val="000000" w:themeColor="text1"/>
          <w:sz w:val="22"/>
          <w:szCs w:val="22"/>
        </w:rPr>
        <w:t>tři miliony tři sta šedesát jedna tisíc tři sta sedmdesát sedm korun českých padesát osm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5F2F5E2F" w14:textId="5A066020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>
        <w:rPr>
          <w:rFonts w:ascii="Palatino Linotype" w:hAnsi="Palatino Linotype" w:cs="Arial"/>
          <w:sz w:val="22"/>
          <w:szCs w:val="22"/>
        </w:rPr>
        <w:t xml:space="preserve">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</w:t>
      </w:r>
      <w:r w:rsidR="00B666A4">
        <w:rPr>
          <w:rFonts w:ascii="Palatino Linotype" w:hAnsi="Palatino Linotype" w:cs="Arial"/>
          <w:sz w:val="22"/>
          <w:szCs w:val="22"/>
        </w:rPr>
        <w:t>trvání smluvního vztahu založeného touto</w:t>
      </w:r>
      <w:r>
        <w:rPr>
          <w:rFonts w:ascii="Palatino Linotype" w:hAnsi="Palatino Linotype" w:cs="Arial"/>
          <w:sz w:val="22"/>
          <w:szCs w:val="22"/>
        </w:rPr>
        <w:t xml:space="preserve"> Prováděcí smlouv</w:t>
      </w:r>
      <w:r w:rsidR="00B666A4">
        <w:rPr>
          <w:rFonts w:ascii="Palatino Linotype" w:hAnsi="Palatino Linotype" w:cs="Arial"/>
          <w:sz w:val="22"/>
          <w:szCs w:val="22"/>
        </w:rPr>
        <w:t>ou</w:t>
      </w:r>
      <w:r>
        <w:rPr>
          <w:rFonts w:ascii="Palatino Linotype" w:hAnsi="Palatino Linotype" w:cs="Arial"/>
          <w:sz w:val="22"/>
          <w:szCs w:val="22"/>
        </w:rPr>
        <w:t xml:space="preserve">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 xml:space="preserve">platné výši. Smluvní strany se dohodly, </w:t>
      </w:r>
      <w:r w:rsidR="00C759C3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>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Pr="00943336">
        <w:rPr>
          <w:rFonts w:ascii="Palatino Linotype" w:hAnsi="Palatino Linotype" w:cs="Arial"/>
          <w:sz w:val="22"/>
          <w:szCs w:val="22"/>
        </w:rPr>
        <w:t xml:space="preserve"> ceny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 w:rsidRPr="00943336">
        <w:rPr>
          <w:rFonts w:ascii="Palatino Linotype" w:hAnsi="Palatino Linotype" w:cs="Arial"/>
          <w:sz w:val="22"/>
          <w:szCs w:val="22"/>
        </w:rPr>
        <w:t xml:space="preserve"> v důsledku změny sazby DPH není </w:t>
      </w:r>
      <w:r w:rsidR="00B666A4">
        <w:rPr>
          <w:rFonts w:ascii="Palatino Linotype" w:hAnsi="Palatino Linotype" w:cs="Arial"/>
          <w:sz w:val="22"/>
          <w:szCs w:val="22"/>
        </w:rPr>
        <w:t xml:space="preserve">podmíněna uzavřením dodatku </w:t>
      </w:r>
      <w:r w:rsidRPr="00943336">
        <w:rPr>
          <w:rFonts w:ascii="Palatino Linotype" w:hAnsi="Palatino Linotype" w:cs="Arial"/>
          <w:sz w:val="22"/>
          <w:szCs w:val="22"/>
        </w:rPr>
        <w:t>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smlouvě. </w:t>
      </w:r>
    </w:p>
    <w:p w14:paraId="373D1F25" w14:textId="1484E548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</w:t>
      </w:r>
      <w:r w:rsidR="00B666A4">
        <w:rPr>
          <w:rFonts w:ascii="Palatino Linotype" w:hAnsi="Palatino Linotype" w:cs="Arial"/>
          <w:sz w:val="22"/>
          <w:szCs w:val="22"/>
        </w:rPr>
        <w:t xml:space="preserve">, zejména </w:t>
      </w:r>
      <w:r w:rsidRPr="00943336">
        <w:rPr>
          <w:rFonts w:ascii="Palatino Linotype" w:hAnsi="Palatino Linotype" w:cs="Arial"/>
          <w:sz w:val="22"/>
          <w:szCs w:val="22"/>
        </w:rPr>
        <w:t xml:space="preserve">správní a místní poplatky, vedlejší náklady, náklady spojené s dopravou do místa plnění, včetně nákladů souvisejících </w:t>
      </w:r>
      <w:r w:rsidR="00C759C3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s provedením všech zkoušek a testů prokazujících dodržení předepsané kvality </w:t>
      </w:r>
      <w:r w:rsidR="00C759C3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apod..</w:t>
      </w:r>
    </w:p>
    <w:p w14:paraId="0C3FD8EC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5C97861" w14:textId="03B170A9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8FEFEB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>(slovy: patnáct</w:t>
      </w:r>
      <w:r w:rsidR="00A532B3">
        <w:rPr>
          <w:rFonts w:ascii="Palatino Linotype" w:hAnsi="Palatino Linotype" w:cs="Arial"/>
          <w:sz w:val="22"/>
          <w:szCs w:val="22"/>
        </w:rPr>
        <w:t>i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41EAC125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</w:t>
      </w:r>
      <w:r w:rsidR="008C2B84">
        <w:rPr>
          <w:rFonts w:ascii="Palatino Linotype" w:hAnsi="Palatino Linotype" w:cs="Arial"/>
          <w:sz w:val="22"/>
          <w:szCs w:val="22"/>
        </w:rPr>
        <w:t xml:space="preserve">do </w:t>
      </w:r>
      <w:r w:rsidRPr="00116327">
        <w:rPr>
          <w:rFonts w:ascii="Palatino Linotype" w:hAnsi="Palatino Linotype" w:cs="Arial"/>
          <w:sz w:val="22"/>
          <w:szCs w:val="22"/>
        </w:rPr>
        <w:t>datov</w:t>
      </w:r>
      <w:r w:rsidR="008C2B84">
        <w:rPr>
          <w:rFonts w:ascii="Palatino Linotype" w:hAnsi="Palatino Linotype" w:cs="Arial"/>
          <w:sz w:val="22"/>
          <w:szCs w:val="22"/>
        </w:rPr>
        <w:t>é</w:t>
      </w:r>
      <w:r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8C2B84">
        <w:rPr>
          <w:rFonts w:ascii="Palatino Linotype" w:hAnsi="Palatino Linotype" w:cs="Arial"/>
          <w:sz w:val="22"/>
          <w:szCs w:val="22"/>
        </w:rPr>
        <w:t>y Objednatele</w:t>
      </w:r>
      <w:r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FE26C4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607B60" w:rsidRPr="00B2161E">
          <w:rPr>
            <w:rStyle w:val="Hypertextovodkaz"/>
            <w:rFonts w:ascii="Palatino Linotype" w:hAnsi="Palatino Linotype" w:cs="Arial"/>
            <w:sz w:val="22"/>
            <w:szCs w:val="22"/>
          </w:rPr>
          <w:t>posta@mpsv.cz</w:t>
        </w:r>
      </w:hyperlink>
      <w:r w:rsidRPr="00116327">
        <w:rPr>
          <w:rFonts w:ascii="Palatino Linotype" w:hAnsi="Palatino Linotype" w:cs="Arial"/>
          <w:sz w:val="22"/>
          <w:szCs w:val="22"/>
        </w:rPr>
        <w:t>. Lhůta splatnosti pro placení jiných plateb dle</w:t>
      </w:r>
      <w:r w:rsidR="00B666A4">
        <w:rPr>
          <w:rFonts w:ascii="Palatino Linotype" w:hAnsi="Palatino Linotype" w:cs="Arial"/>
          <w:sz w:val="22"/>
          <w:szCs w:val="22"/>
        </w:rPr>
        <w:t xml:space="preserve"> této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0F20C27A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0FC06990" w14:textId="54A5C82F" w:rsidR="008C2B84" w:rsidRPr="003F20DC" w:rsidRDefault="00116327" w:rsidP="003F20D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3C2FC573" w14:textId="7D430915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495CC290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B666A4">
        <w:rPr>
          <w:rFonts w:ascii="Palatino Linotype" w:hAnsi="Palatino Linotype" w:cs="Arial"/>
          <w:sz w:val="22"/>
          <w:szCs w:val="22"/>
        </w:rPr>
        <w:t xml:space="preserve"> čl. IV. </w:t>
      </w:r>
      <w:r w:rsidR="001118FF">
        <w:rPr>
          <w:rFonts w:ascii="Palatino Linotype" w:hAnsi="Palatino Linotype" w:cs="Arial"/>
          <w:sz w:val="22"/>
          <w:szCs w:val="22"/>
        </w:rPr>
        <w:t>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 této Prováděcí smlouv</w:t>
      </w:r>
      <w:r w:rsidR="00B666A4">
        <w:rPr>
          <w:rFonts w:ascii="Palatino Linotype" w:hAnsi="Palatino Linotype" w:cs="Arial"/>
          <w:sz w:val="22"/>
          <w:szCs w:val="22"/>
        </w:rPr>
        <w:t>y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</w:t>
      </w:r>
      <w:r w:rsidR="00C759C3">
        <w:rPr>
          <w:rFonts w:ascii="Palatino Linotype" w:hAnsi="Palatino Linotype" w:cs="Arial"/>
          <w:sz w:val="22"/>
          <w:szCs w:val="22"/>
        </w:rPr>
        <w:br/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65CF8BEB" w:rsidR="00611918" w:rsidRPr="00E71059" w:rsidRDefault="00611918" w:rsidP="004867BB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Objednatele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Pr="00E71059">
        <w:rPr>
          <w:rFonts w:ascii="Palatino Linotype" w:hAnsi="Palatino Linotype" w:cs="Arial"/>
          <w:sz w:val="22"/>
          <w:szCs w:val="22"/>
        </w:rPr>
        <w:t xml:space="preserve"> je </w:t>
      </w:r>
      <w:r w:rsidR="00E71059" w:rsidRPr="00E71059">
        <w:rPr>
          <w:rFonts w:ascii="Palatino Linotype" w:hAnsi="Palatino Linotype" w:cs="Arial"/>
          <w:sz w:val="22"/>
          <w:szCs w:val="22"/>
        </w:rPr>
        <w:t xml:space="preserve">Karel Svítil (e-mail: </w:t>
      </w:r>
      <w:hyperlink r:id="rId9" w:history="1">
        <w:r w:rsidR="00E71059" w:rsidRPr="00E71059">
          <w:rPr>
            <w:rStyle w:val="Hypertextovodkaz"/>
            <w:rFonts w:ascii="Palatino Linotype" w:hAnsi="Palatino Linotype" w:cs="Arial"/>
            <w:sz w:val="22"/>
            <w:szCs w:val="22"/>
          </w:rPr>
          <w:t>karel.svitil@mpsv.cz</w:t>
        </w:r>
      </w:hyperlink>
      <w:r w:rsidR="00E71059" w:rsidRPr="00E71059">
        <w:rPr>
          <w:rFonts w:ascii="Palatino Linotype" w:hAnsi="Palatino Linotype" w:cs="Arial"/>
          <w:sz w:val="22"/>
          <w:szCs w:val="22"/>
        </w:rPr>
        <w:t xml:space="preserve">). </w:t>
      </w:r>
      <w:r w:rsidR="00351399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Dodavatele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účely této</w:t>
      </w:r>
      <w:r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="009E7028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je Jolana Skořepová</w:t>
      </w:r>
      <w:r w:rsidR="00222D10" w:rsidRPr="00E71059">
        <w:rPr>
          <w:rFonts w:ascii="Palatino Linotype" w:hAnsi="Palatino Linotype" w:cs="Arial"/>
          <w:sz w:val="22"/>
          <w:szCs w:val="22"/>
        </w:rPr>
        <w:t xml:space="preserve"> (e-mail: </w:t>
      </w:r>
      <w:hyperlink r:id="rId10" w:history="1">
        <w:r w:rsidR="008C2B84" w:rsidRPr="00E71059">
          <w:rPr>
            <w:rStyle w:val="Hypertextovodkaz"/>
            <w:rFonts w:ascii="Palatino Linotype" w:hAnsi="Palatino Linotype" w:cs="Arial"/>
            <w:sz w:val="22"/>
            <w:szCs w:val="22"/>
          </w:rPr>
          <w:t>jolana.skorepova@anect.com</w:t>
        </w:r>
      </w:hyperlink>
      <w:r w:rsidR="00222D10" w:rsidRPr="00E71059">
        <w:rPr>
          <w:rFonts w:ascii="Palatino Linotype" w:hAnsi="Palatino Linotype" w:cs="Arial"/>
          <w:sz w:val="22"/>
          <w:szCs w:val="22"/>
        </w:rPr>
        <w:t>)</w:t>
      </w:r>
      <w:r w:rsidRPr="00E71059">
        <w:rPr>
          <w:rFonts w:ascii="Palatino Linotype" w:hAnsi="Palatino Linotype" w:cs="Arial"/>
          <w:sz w:val="22"/>
          <w:szCs w:val="22"/>
        </w:rPr>
        <w:t>. Každá ze</w:t>
      </w:r>
      <w:r w:rsidR="00B67B81" w:rsidRPr="00E71059">
        <w:rPr>
          <w:rFonts w:ascii="Palatino Linotype" w:hAnsi="Palatino Linotype" w:cs="Arial"/>
          <w:sz w:val="22"/>
          <w:szCs w:val="22"/>
        </w:rPr>
        <w:t> </w:t>
      </w:r>
      <w:r w:rsidR="00842842" w:rsidRPr="00E71059">
        <w:rPr>
          <w:rFonts w:ascii="Palatino Linotype" w:hAnsi="Palatino Linotype" w:cs="Arial"/>
          <w:sz w:val="22"/>
          <w:szCs w:val="22"/>
        </w:rPr>
        <w:t>Smluvních</w:t>
      </w:r>
      <w:r w:rsidRPr="00E71059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 w:rsidRPr="00E71059">
        <w:rPr>
          <w:rFonts w:ascii="Palatino Linotype" w:hAnsi="Palatino Linotype" w:cs="Arial"/>
          <w:sz w:val="22"/>
          <w:szCs w:val="22"/>
        </w:rPr>
        <w:t>S</w:t>
      </w:r>
      <w:r w:rsidRPr="00E71059">
        <w:rPr>
          <w:rFonts w:ascii="Palatino Linotype" w:hAnsi="Palatino Linotype" w:cs="Arial"/>
          <w:sz w:val="22"/>
          <w:szCs w:val="22"/>
        </w:rPr>
        <w:t>mluvní straně</w:t>
      </w:r>
      <w:r w:rsidR="00E862B2" w:rsidRPr="00E71059">
        <w:rPr>
          <w:rFonts w:ascii="Palatino Linotype" w:hAnsi="Palatino Linotype" w:cs="Arial"/>
          <w:sz w:val="22"/>
          <w:szCs w:val="22"/>
        </w:rPr>
        <w:t>, a to písemnou formou</w:t>
      </w:r>
      <w:r w:rsidRPr="00E71059">
        <w:rPr>
          <w:rFonts w:ascii="Palatino Linotype" w:hAnsi="Palatino Linotype" w:cs="Arial"/>
          <w:sz w:val="22"/>
          <w:szCs w:val="22"/>
        </w:rPr>
        <w:t xml:space="preserve">. </w:t>
      </w:r>
      <w:r w:rsidR="00367631">
        <w:rPr>
          <w:rFonts w:ascii="Palatino Linotype" w:hAnsi="Palatino Linotype" w:cs="Arial"/>
          <w:sz w:val="22"/>
          <w:szCs w:val="22"/>
        </w:rPr>
        <w:t>Smluvní strany se dohodly, 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="00367631">
        <w:rPr>
          <w:rFonts w:ascii="Palatino Linotype" w:hAnsi="Palatino Linotype" w:cs="Arial"/>
          <w:sz w:val="22"/>
          <w:szCs w:val="22"/>
        </w:rPr>
        <w:t xml:space="preserve"> kontaktních osob není </w:t>
      </w:r>
      <w:r w:rsidR="00B666A4">
        <w:rPr>
          <w:rFonts w:ascii="Palatino Linotype" w:hAnsi="Palatino Linotype" w:cs="Arial"/>
          <w:sz w:val="22"/>
          <w:szCs w:val="22"/>
        </w:rPr>
        <w:t>podmíněna uzavřením dodatku</w:t>
      </w:r>
      <w:r w:rsidR="00600D41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k této Prováděcí smlouvě.</w:t>
      </w:r>
    </w:p>
    <w:p w14:paraId="1601DF5E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lastRenderedPageBreak/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470A5203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367631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64D5A74F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526213">
        <w:rPr>
          <w:rFonts w:ascii="Palatino Linotype" w:hAnsi="Palatino Linotype" w:cs="Arial"/>
          <w:sz w:val="22"/>
          <w:szCs w:val="22"/>
        </w:rPr>
        <w:t xml:space="preserve">Prováděcí smlouva nabývá platnosti dnem jejího podpisu oběma smluvními stranami. </w:t>
      </w:r>
      <w:r w:rsidR="00B666A4">
        <w:rPr>
          <w:rFonts w:ascii="Palatino Linotype" w:hAnsi="Palatino Linotype" w:cs="Arial"/>
          <w:sz w:val="22"/>
          <w:szCs w:val="22"/>
        </w:rPr>
        <w:t>T</w:t>
      </w:r>
      <w:r w:rsidR="00526213">
        <w:rPr>
          <w:rFonts w:ascii="Palatino Linotype" w:hAnsi="Palatino Linotype" w:cs="Arial"/>
          <w:sz w:val="22"/>
          <w:szCs w:val="22"/>
        </w:rPr>
        <w:t>ato Prováděcí smlouva</w:t>
      </w:r>
      <w:r w:rsidR="00B666A4">
        <w:rPr>
          <w:rFonts w:ascii="Palatino Linotype" w:hAnsi="Palatino Linotype" w:cs="Arial"/>
          <w:sz w:val="22"/>
          <w:szCs w:val="22"/>
        </w:rPr>
        <w:t xml:space="preserve"> nabývá účinnosti</w:t>
      </w:r>
      <w:r w:rsidR="00526213">
        <w:rPr>
          <w:rFonts w:ascii="Palatino Linotype" w:hAnsi="Palatino Linotype" w:cs="Arial"/>
          <w:sz w:val="22"/>
          <w:szCs w:val="22"/>
        </w:rPr>
        <w:t xml:space="preserve"> v souladu s ustanovením § 6 odst. 1 zákona č. 340/2015 Sb., o zvláštních podmínkách účinnosti některých smluv, uveřejňování těchto smluv a o registru smluv, ve znění pozdějších předpisů, dnem uveřejnění v registru smluv ve smyslu ustanovením § 4 daného zákona.</w:t>
      </w:r>
    </w:p>
    <w:p w14:paraId="30DAC456" w14:textId="77777777" w:rsidR="00C759C3" w:rsidRDefault="00611918" w:rsidP="00C759C3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B666A4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08C55F5D" w14:textId="77777777" w:rsidR="00C759C3" w:rsidRDefault="00611918" w:rsidP="00C759C3">
      <w:pPr>
        <w:pStyle w:val="Nadpis2"/>
        <w:ind w:left="709" w:firstLine="0"/>
        <w:rPr>
          <w:rFonts w:ascii="Palatino Linotype" w:hAnsi="Palatino Linotype"/>
          <w:sz w:val="22"/>
          <w:szCs w:val="22"/>
          <w:lang w:eastAsia="cs-CZ"/>
        </w:rPr>
      </w:pPr>
      <w:r w:rsidRPr="00C759C3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 w:rsidRPr="00C759C3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 w:rsidRPr="00C759C3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C759C3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1B2C2CF4" w:rsidR="00611918" w:rsidRPr="00C759C3" w:rsidRDefault="00611918" w:rsidP="00C759C3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  <w:r w:rsidRPr="00C759C3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C759C3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 w:rsidRPr="00C759C3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C759C3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7F9124D4" w14:textId="77777777" w:rsidR="00CE0D21" w:rsidRPr="000A294F" w:rsidRDefault="00CE0D21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715C7E78" w14:textId="77777777" w:rsidR="00E71059" w:rsidRPr="004F1930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046CB9EF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5A25AE82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910C6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7AF24177" w14:textId="77777777" w:rsidR="00812173" w:rsidRDefault="00812173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sz w:val="22"/>
                <w:szCs w:val="22"/>
              </w:rPr>
            </w:pPr>
            <w:r w:rsidRPr="006674E4">
              <w:rPr>
                <w:rFonts w:ascii="Palatino Linotype" w:hAnsi="Palatino Linotype"/>
                <w:sz w:val="22"/>
                <w:szCs w:val="22"/>
              </w:rPr>
              <w:t>Winkelhofer &amp; Partners s.r.o., člen představenstva, zastoupená Filipem Winkelhoferem</w:t>
            </w:r>
          </w:p>
          <w:p w14:paraId="2404BF6B" w14:textId="6B0DC913" w:rsidR="006432C7" w:rsidRPr="006674E4" w:rsidRDefault="006432C7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6432C7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>ANECT a.s.</w:t>
            </w:r>
          </w:p>
          <w:p w14:paraId="33C21679" w14:textId="0A8066BE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6FC83874" w14:textId="57E2E7FB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36EA72F5" w14:textId="77777777" w:rsidR="00E71059" w:rsidRDefault="00E71059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084A84BD" w14:textId="281F8195" w:rsidR="00D40331" w:rsidRPr="00D40331" w:rsidRDefault="00D40331" w:rsidP="00D40331">
      <w:pPr>
        <w:rPr>
          <w:rFonts w:ascii="Palatino Linotype" w:hAnsi="Palatino Linotype"/>
          <w:b/>
          <w:sz w:val="22"/>
          <w:szCs w:val="22"/>
          <w:u w:val="single"/>
        </w:rPr>
      </w:pPr>
      <w:r w:rsidRPr="00D40331">
        <w:rPr>
          <w:rFonts w:ascii="Palatino Linotype" w:hAnsi="Palatino Linotype"/>
          <w:b/>
          <w:sz w:val="22"/>
          <w:szCs w:val="22"/>
          <w:u w:val="single"/>
        </w:rPr>
        <w:t>Manažerský souhrn a přínosy projektu pro MPSV</w:t>
      </w:r>
    </w:p>
    <w:p w14:paraId="148AF1E3" w14:textId="77777777" w:rsidR="000E541D" w:rsidRDefault="000E541D" w:rsidP="00812173">
      <w:pPr>
        <w:rPr>
          <w:rFonts w:ascii="Palatino Linotype" w:hAnsi="Palatino Linotype" w:cs="Arial"/>
          <w:sz w:val="22"/>
          <w:szCs w:val="22"/>
        </w:rPr>
      </w:pPr>
    </w:p>
    <w:p w14:paraId="70238E87" w14:textId="77777777" w:rsidR="00366ECF" w:rsidRPr="00366ECF" w:rsidRDefault="00366ECF" w:rsidP="00366ECF">
      <w:pPr>
        <w:spacing w:after="120"/>
        <w:rPr>
          <w:rFonts w:ascii="Palatino Linotype" w:hAnsi="Palatino Linotype" w:cs="Arial"/>
          <w:sz w:val="22"/>
          <w:szCs w:val="22"/>
        </w:rPr>
      </w:pPr>
      <w:r w:rsidRPr="00366ECF">
        <w:rPr>
          <w:rFonts w:ascii="Palatino Linotype" w:hAnsi="Palatino Linotype" w:cs="Arial"/>
          <w:sz w:val="22"/>
          <w:szCs w:val="22"/>
        </w:rPr>
        <w:t>Cílem tohoto projektu je obnova subskripcí pro SD-WAN (Cisco DNA Advantage), která byla dodána v rámci první etapy implementace technologie SD-WAN.</w:t>
      </w:r>
    </w:p>
    <w:p w14:paraId="1F1FC99B" w14:textId="77777777" w:rsidR="00366ECF" w:rsidRPr="00366ECF" w:rsidRDefault="00366ECF" w:rsidP="00366ECF">
      <w:pPr>
        <w:spacing w:after="120"/>
        <w:rPr>
          <w:rFonts w:ascii="Palatino Linotype" w:hAnsi="Palatino Linotype" w:cs="Arial"/>
          <w:sz w:val="22"/>
          <w:szCs w:val="22"/>
        </w:rPr>
      </w:pPr>
      <w:r w:rsidRPr="00366ECF">
        <w:rPr>
          <w:rFonts w:ascii="Palatino Linotype" w:hAnsi="Palatino Linotype" w:cs="Arial"/>
          <w:sz w:val="22"/>
          <w:szCs w:val="22"/>
        </w:rPr>
        <w:t>Tato první etapa implementace technologie SD-WAN proběhla v roce 2023. Zahrnovala implementaci centrálních částí technologie SD-WAN v datových centrech implementaci SD-WAN na krajských pracovištích. Součástí dodávky byly i subskripce, které byly nakoupeny s platností do začátku záři 2026.</w:t>
      </w:r>
    </w:p>
    <w:p w14:paraId="2185FCD4" w14:textId="77777777" w:rsidR="00366ECF" w:rsidRPr="00366ECF" w:rsidRDefault="00366ECF" w:rsidP="00366ECF">
      <w:pPr>
        <w:spacing w:after="120"/>
        <w:rPr>
          <w:rFonts w:ascii="Palatino Linotype" w:hAnsi="Palatino Linotype" w:cs="Arial"/>
          <w:sz w:val="22"/>
          <w:szCs w:val="22"/>
        </w:rPr>
      </w:pPr>
      <w:r w:rsidRPr="00366ECF">
        <w:rPr>
          <w:rFonts w:ascii="Palatino Linotype" w:hAnsi="Palatino Linotype" w:cs="Arial"/>
          <w:sz w:val="22"/>
          <w:szCs w:val="22"/>
        </w:rPr>
        <w:t>Směrovače bez platné SD-WAN subskripce by přestaly být schopny fungovat jako součást SD-WAN infrastruktury. To by mělo za následek ztrátu komunikace všech pracovišť připojených do SD-WAN.</w:t>
      </w:r>
    </w:p>
    <w:p w14:paraId="2C41095D" w14:textId="77777777" w:rsidR="00366ECF" w:rsidRPr="00366ECF" w:rsidRDefault="00366ECF" w:rsidP="00366ECF">
      <w:pPr>
        <w:rPr>
          <w:rFonts w:ascii="Palatino Linotype" w:hAnsi="Palatino Linotype" w:cs="Arial"/>
          <w:b/>
          <w:sz w:val="22"/>
          <w:szCs w:val="22"/>
          <w:u w:val="single"/>
        </w:rPr>
      </w:pPr>
    </w:p>
    <w:p w14:paraId="5610FF0A" w14:textId="77777777" w:rsidR="00366ECF" w:rsidRPr="00366ECF" w:rsidRDefault="00366ECF" w:rsidP="00366ECF">
      <w:pPr>
        <w:rPr>
          <w:rFonts w:ascii="Palatino Linotype" w:hAnsi="Palatino Linotype" w:cs="Arial"/>
          <w:b/>
          <w:sz w:val="22"/>
          <w:szCs w:val="22"/>
          <w:u w:val="single"/>
        </w:rPr>
      </w:pPr>
      <w:r w:rsidRPr="00366ECF">
        <w:rPr>
          <w:rFonts w:ascii="Palatino Linotype" w:hAnsi="Palatino Linotype" w:cs="Arial"/>
          <w:b/>
          <w:sz w:val="22"/>
          <w:szCs w:val="22"/>
          <w:u w:val="single"/>
        </w:rPr>
        <w:t>Současný stav</w:t>
      </w:r>
    </w:p>
    <w:p w14:paraId="6514FCB2" w14:textId="77777777" w:rsidR="00366ECF" w:rsidRPr="00366ECF" w:rsidRDefault="00366ECF" w:rsidP="00366ECF">
      <w:pPr>
        <w:rPr>
          <w:rFonts w:ascii="Palatino Linotype" w:hAnsi="Palatino Linotype" w:cs="Arial"/>
          <w:sz w:val="22"/>
          <w:szCs w:val="22"/>
        </w:rPr>
      </w:pPr>
      <w:r w:rsidRPr="00366ECF">
        <w:rPr>
          <w:rFonts w:ascii="Palatino Linotype" w:hAnsi="Palatino Linotype" w:cs="Arial"/>
          <w:sz w:val="22"/>
          <w:szCs w:val="22"/>
        </w:rPr>
        <w:t>V roce 2023 proběhla první etapa implementace technologie SD-WAN. Tato etapa zahrnovala implementaci centrálních částí technologie SD-WAN v datových centrech implementaci SD-WAN na krajských pracovištích ÚP ČR. V dalších letech se pokračovalo s rozšířením této technologie ve WAN.</w:t>
      </w:r>
    </w:p>
    <w:p w14:paraId="712F1F3D" w14:textId="77777777" w:rsidR="00366ECF" w:rsidRPr="00366ECF" w:rsidRDefault="00366ECF" w:rsidP="00366ECF">
      <w:pPr>
        <w:rPr>
          <w:rFonts w:ascii="Palatino Linotype" w:hAnsi="Palatino Linotype" w:cs="Arial"/>
          <w:sz w:val="22"/>
          <w:szCs w:val="22"/>
        </w:rPr>
      </w:pPr>
      <w:r w:rsidRPr="00366ECF">
        <w:rPr>
          <w:rFonts w:ascii="Palatino Linotype" w:hAnsi="Palatino Linotype" w:cs="Arial"/>
          <w:sz w:val="22"/>
          <w:szCs w:val="22"/>
        </w:rPr>
        <w:t>Subskripce, které byly pořízeny v roce 2023 jako součást dodávky SD-WAN směrovačů, vyprší na začátku září 2026 (konkrétně 1.9 a 5.9.2026).</w:t>
      </w:r>
    </w:p>
    <w:p w14:paraId="37CE5A8D" w14:textId="77777777" w:rsidR="00366ECF" w:rsidRPr="00366ECF" w:rsidRDefault="00366ECF" w:rsidP="00366ECF">
      <w:pPr>
        <w:rPr>
          <w:rFonts w:ascii="Palatino Linotype" w:hAnsi="Palatino Linotype" w:cs="Arial"/>
          <w:sz w:val="22"/>
          <w:szCs w:val="22"/>
        </w:rPr>
      </w:pPr>
    </w:p>
    <w:p w14:paraId="0274A293" w14:textId="77777777" w:rsidR="00366ECF" w:rsidRPr="00366ECF" w:rsidRDefault="00366ECF" w:rsidP="00366ECF">
      <w:pPr>
        <w:contextualSpacing/>
        <w:rPr>
          <w:rFonts w:ascii="Palatino Linotype" w:hAnsi="Palatino Linotype" w:cs="Arial"/>
          <w:b/>
          <w:color w:val="000000" w:themeColor="text1"/>
          <w:sz w:val="22"/>
          <w:szCs w:val="22"/>
          <w:u w:val="single"/>
        </w:rPr>
      </w:pPr>
      <w:r w:rsidRPr="00366ECF">
        <w:rPr>
          <w:rFonts w:ascii="Palatino Linotype" w:hAnsi="Palatino Linotype" w:cs="Arial"/>
          <w:b/>
          <w:color w:val="000000" w:themeColor="text1"/>
          <w:sz w:val="22"/>
          <w:szCs w:val="22"/>
          <w:u w:val="single"/>
        </w:rPr>
        <w:t>Rizika současného stavu:</w:t>
      </w:r>
    </w:p>
    <w:p w14:paraId="4F8DA297" w14:textId="77777777" w:rsidR="00366ECF" w:rsidRPr="00366ECF" w:rsidRDefault="00366ECF" w:rsidP="00366ECF">
      <w:pPr>
        <w:rPr>
          <w:rFonts w:ascii="Palatino Linotype" w:hAnsi="Palatino Linotype" w:cs="Arial"/>
          <w:sz w:val="22"/>
          <w:szCs w:val="22"/>
        </w:rPr>
      </w:pPr>
      <w:r w:rsidRPr="00366ECF">
        <w:rPr>
          <w:rFonts w:ascii="Palatino Linotype" w:hAnsi="Palatino Linotype" w:cs="Arial"/>
          <w:sz w:val="22"/>
          <w:szCs w:val="22"/>
        </w:rPr>
        <w:t>Pokud by nebyla včas obnovena subskripce Cisco DNA Advantage, směrovače (včetně centrálních SD-WAN směrovačů) by přestaly být schopny fungovat jako součást SD-WAN infrastruktury. To by následně vedlo k postupné ztrátě komunikace mezi jednotlivými pracovišti připojenými do SD-WAN.</w:t>
      </w:r>
    </w:p>
    <w:p w14:paraId="07A355C0" w14:textId="77777777" w:rsidR="00366ECF" w:rsidRPr="00366ECF" w:rsidRDefault="00366ECF" w:rsidP="00366ECF">
      <w:pPr>
        <w:rPr>
          <w:rFonts w:ascii="Palatino Linotype" w:hAnsi="Palatino Linotype" w:cs="Arial"/>
          <w:sz w:val="22"/>
          <w:szCs w:val="22"/>
        </w:rPr>
      </w:pPr>
    </w:p>
    <w:p w14:paraId="201D5788" w14:textId="77777777" w:rsidR="00366ECF" w:rsidRPr="00366ECF" w:rsidRDefault="00366ECF" w:rsidP="00366ECF">
      <w:pPr>
        <w:rPr>
          <w:rFonts w:ascii="Palatino Linotype" w:hAnsi="Palatino Linotype" w:cs="Arial"/>
          <w:sz w:val="22"/>
          <w:szCs w:val="22"/>
        </w:rPr>
      </w:pPr>
    </w:p>
    <w:p w14:paraId="20B3B966" w14:textId="77777777" w:rsidR="00366ECF" w:rsidRPr="00366ECF" w:rsidRDefault="00366ECF" w:rsidP="00366ECF">
      <w:pPr>
        <w:rPr>
          <w:rFonts w:ascii="Palatino Linotype" w:hAnsi="Palatino Linotype" w:cs="Arial"/>
          <w:b/>
          <w:sz w:val="22"/>
          <w:szCs w:val="22"/>
          <w:u w:val="single"/>
        </w:rPr>
      </w:pPr>
      <w:r w:rsidRPr="00366ECF">
        <w:rPr>
          <w:rFonts w:ascii="Palatino Linotype" w:hAnsi="Palatino Linotype" w:cs="Arial"/>
          <w:b/>
          <w:sz w:val="22"/>
          <w:szCs w:val="22"/>
          <w:u w:val="single"/>
        </w:rPr>
        <w:t>Cílový stav:</w:t>
      </w:r>
    </w:p>
    <w:p w14:paraId="29DC525A" w14:textId="77777777" w:rsidR="00366ECF" w:rsidRPr="00366ECF" w:rsidRDefault="00366ECF" w:rsidP="00366ECF">
      <w:pPr>
        <w:spacing w:before="120"/>
        <w:rPr>
          <w:rFonts w:ascii="Palatino Linotype" w:hAnsi="Palatino Linotype" w:cs="Arial"/>
          <w:sz w:val="22"/>
          <w:szCs w:val="22"/>
        </w:rPr>
      </w:pPr>
      <w:r w:rsidRPr="00366ECF">
        <w:rPr>
          <w:rFonts w:ascii="Palatino Linotype" w:hAnsi="Palatino Linotype" w:cs="Arial"/>
          <w:sz w:val="22"/>
          <w:szCs w:val="22"/>
        </w:rPr>
        <w:t>Cílem MPSV je obnova subskripcí pro SD-WAN.</w:t>
      </w:r>
    </w:p>
    <w:p w14:paraId="04500770" w14:textId="77777777" w:rsidR="00366ECF" w:rsidRPr="00366ECF" w:rsidRDefault="00366ECF" w:rsidP="00366ECF">
      <w:pPr>
        <w:spacing w:before="120"/>
        <w:rPr>
          <w:rFonts w:ascii="Palatino Linotype" w:hAnsi="Palatino Linotype" w:cs="Arial"/>
          <w:sz w:val="22"/>
          <w:szCs w:val="22"/>
        </w:rPr>
      </w:pPr>
      <w:r w:rsidRPr="00366ECF">
        <w:rPr>
          <w:rFonts w:ascii="Palatino Linotype" w:hAnsi="Palatino Linotype" w:cs="Arial"/>
          <w:sz w:val="22"/>
          <w:szCs w:val="22"/>
        </w:rPr>
        <w:t>Konkrétně se jedná o obnovu následujících subskripcí:</w:t>
      </w:r>
    </w:p>
    <w:p w14:paraId="0D3A04C5" w14:textId="77777777" w:rsidR="00366ECF" w:rsidRPr="00366ECF" w:rsidRDefault="00366ECF" w:rsidP="00366ECF">
      <w:pPr>
        <w:pStyle w:val="Odstavecseseznamem"/>
        <w:numPr>
          <w:ilvl w:val="0"/>
          <w:numId w:val="40"/>
        </w:numPr>
        <w:spacing w:before="120" w:line="240" w:lineRule="auto"/>
        <w:contextualSpacing/>
        <w:rPr>
          <w:rFonts w:ascii="Palatino Linotype" w:hAnsi="Palatino Linotype"/>
          <w:sz w:val="22"/>
          <w:szCs w:val="22"/>
        </w:rPr>
      </w:pPr>
      <w:r w:rsidRPr="00366ECF">
        <w:rPr>
          <w:rFonts w:ascii="Palatino Linotype" w:hAnsi="Palatino Linotype"/>
          <w:sz w:val="22"/>
          <w:szCs w:val="22"/>
        </w:rPr>
        <w:t>Subskripce pro centrální Cisco SD-WAN směrovače řady Catalyst 8500 umístěné v datacentrech MPSV</w:t>
      </w:r>
    </w:p>
    <w:p w14:paraId="05D5AC12" w14:textId="77777777" w:rsidR="00366ECF" w:rsidRPr="00366ECF" w:rsidRDefault="00366ECF" w:rsidP="00366ECF">
      <w:pPr>
        <w:pStyle w:val="Odstavecseseznamem"/>
        <w:numPr>
          <w:ilvl w:val="0"/>
          <w:numId w:val="40"/>
        </w:numPr>
        <w:spacing w:before="120" w:line="240" w:lineRule="auto"/>
        <w:contextualSpacing/>
        <w:rPr>
          <w:rFonts w:ascii="Palatino Linotype" w:hAnsi="Palatino Linotype"/>
          <w:sz w:val="22"/>
          <w:szCs w:val="22"/>
        </w:rPr>
      </w:pPr>
      <w:r w:rsidRPr="00366ECF">
        <w:rPr>
          <w:rFonts w:ascii="Palatino Linotype" w:hAnsi="Palatino Linotype"/>
          <w:sz w:val="22"/>
          <w:szCs w:val="22"/>
        </w:rPr>
        <w:t>subskripce pro Cisco SD-WAN směrovače řady Catalyst 8200 provozované na krajských pracovištích ÚP ČR</w:t>
      </w:r>
    </w:p>
    <w:p w14:paraId="7136F259" w14:textId="77777777" w:rsidR="00366ECF" w:rsidRPr="00366ECF" w:rsidRDefault="00366ECF" w:rsidP="00366ECF">
      <w:pPr>
        <w:spacing w:before="120"/>
        <w:rPr>
          <w:rFonts w:ascii="Palatino Linotype" w:hAnsi="Palatino Linotype" w:cs="Arial"/>
          <w:sz w:val="22"/>
          <w:szCs w:val="22"/>
        </w:rPr>
      </w:pPr>
    </w:p>
    <w:p w14:paraId="63FC28EE" w14:textId="77777777" w:rsidR="00366ECF" w:rsidRPr="00366ECF" w:rsidRDefault="00366ECF" w:rsidP="00366ECF">
      <w:pPr>
        <w:rPr>
          <w:rFonts w:ascii="Palatino Linotype" w:hAnsi="Palatino Linotype" w:cs="Arial"/>
          <w:b/>
          <w:color w:val="000000"/>
          <w:sz w:val="22"/>
          <w:szCs w:val="22"/>
          <w:u w:val="single"/>
        </w:rPr>
      </w:pPr>
      <w:r w:rsidRPr="00366ECF">
        <w:rPr>
          <w:rFonts w:ascii="Palatino Linotype" w:hAnsi="Palatino Linotype" w:cs="Arial"/>
          <w:b/>
          <w:color w:val="000000"/>
          <w:sz w:val="22"/>
          <w:szCs w:val="22"/>
          <w:u w:val="single"/>
        </w:rPr>
        <w:t>Výstupy (in-scope):</w:t>
      </w:r>
    </w:p>
    <w:p w14:paraId="5BBB222D" w14:textId="77777777" w:rsidR="00366ECF" w:rsidRPr="00366ECF" w:rsidRDefault="00366ECF" w:rsidP="00366ECF">
      <w:pPr>
        <w:rPr>
          <w:rFonts w:ascii="Palatino Linotype" w:hAnsi="Palatino Linotype" w:cs="Arial"/>
          <w:sz w:val="22"/>
          <w:szCs w:val="22"/>
        </w:rPr>
      </w:pPr>
      <w:r w:rsidRPr="00366ECF">
        <w:rPr>
          <w:rFonts w:ascii="Palatino Linotype" w:hAnsi="Palatino Linotype" w:cs="Arial"/>
          <w:sz w:val="22"/>
          <w:szCs w:val="22"/>
        </w:rPr>
        <w:t>V rámci plnění budou poskytnuty následující aktivity a výstupy:</w:t>
      </w:r>
    </w:p>
    <w:p w14:paraId="351B11E2" w14:textId="77777777" w:rsidR="00366ECF" w:rsidRPr="00366ECF" w:rsidRDefault="00366ECF" w:rsidP="00366ECF">
      <w:pPr>
        <w:pStyle w:val="Odstavecseseznamem"/>
        <w:widowControl w:val="0"/>
        <w:numPr>
          <w:ilvl w:val="0"/>
          <w:numId w:val="39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Palatino Linotype" w:hAnsi="Palatino Linotype"/>
          <w:sz w:val="22"/>
          <w:szCs w:val="22"/>
        </w:rPr>
      </w:pPr>
      <w:r w:rsidRPr="00366ECF">
        <w:rPr>
          <w:rFonts w:ascii="Palatino Linotype" w:hAnsi="Palatino Linotype"/>
          <w:sz w:val="22"/>
          <w:szCs w:val="22"/>
        </w:rPr>
        <w:t>Dodávka subskripcí pro centrální směrovače řady Catalyst 8500</w:t>
      </w:r>
    </w:p>
    <w:p w14:paraId="6A89D667" w14:textId="77777777" w:rsidR="00366ECF" w:rsidRPr="00366ECF" w:rsidRDefault="00366ECF" w:rsidP="00366ECF">
      <w:pPr>
        <w:pStyle w:val="Odstavecseseznamem"/>
        <w:widowControl w:val="0"/>
        <w:numPr>
          <w:ilvl w:val="0"/>
          <w:numId w:val="39"/>
        </w:numPr>
        <w:overflowPunct/>
        <w:autoSpaceDE/>
        <w:autoSpaceDN/>
        <w:adjustRightInd/>
        <w:spacing w:line="240" w:lineRule="auto"/>
        <w:contextualSpacing/>
        <w:textAlignment w:val="auto"/>
        <w:rPr>
          <w:rFonts w:ascii="Palatino Linotype" w:hAnsi="Palatino Linotype"/>
          <w:sz w:val="22"/>
          <w:szCs w:val="22"/>
        </w:rPr>
      </w:pPr>
      <w:r w:rsidRPr="00366ECF">
        <w:rPr>
          <w:rFonts w:ascii="Palatino Linotype" w:hAnsi="Palatino Linotype"/>
          <w:sz w:val="22"/>
          <w:szCs w:val="22"/>
        </w:rPr>
        <w:t>Dodávka subskripcí pro směrovače na krajských pracovištích ÚP ČR řady Catalyst 8200</w:t>
      </w:r>
    </w:p>
    <w:p w14:paraId="44F31C50" w14:textId="77777777" w:rsidR="00366ECF" w:rsidRPr="00366ECF" w:rsidRDefault="00366ECF" w:rsidP="00366ECF">
      <w:pPr>
        <w:rPr>
          <w:rFonts w:ascii="Palatino Linotype" w:hAnsi="Palatino Linotype" w:cs="Arial"/>
          <w:sz w:val="22"/>
          <w:szCs w:val="22"/>
        </w:rPr>
      </w:pPr>
    </w:p>
    <w:p w14:paraId="3D91FC4F" w14:textId="77777777" w:rsidR="00366ECF" w:rsidRPr="00366ECF" w:rsidRDefault="00366ECF" w:rsidP="00366ECF">
      <w:pPr>
        <w:keepNext/>
        <w:rPr>
          <w:rFonts w:ascii="Palatino Linotype" w:hAnsi="Palatino Linotype" w:cs="Arial"/>
          <w:b/>
          <w:color w:val="000000"/>
          <w:sz w:val="22"/>
          <w:szCs w:val="22"/>
          <w:u w:val="single"/>
        </w:rPr>
      </w:pPr>
      <w:r w:rsidRPr="00366ECF">
        <w:rPr>
          <w:rFonts w:ascii="Palatino Linotype" w:hAnsi="Palatino Linotype" w:cs="Arial"/>
          <w:b/>
          <w:color w:val="000000"/>
          <w:sz w:val="22"/>
          <w:szCs w:val="22"/>
          <w:u w:val="single"/>
        </w:rPr>
        <w:lastRenderedPageBreak/>
        <w:t>Součástí tohoto projektu není (out of scope):</w:t>
      </w:r>
    </w:p>
    <w:p w14:paraId="248934F9" w14:textId="77777777" w:rsidR="00366ECF" w:rsidRPr="00366ECF" w:rsidRDefault="00366ECF" w:rsidP="00366ECF">
      <w:pPr>
        <w:rPr>
          <w:rFonts w:ascii="Palatino Linotype" w:hAnsi="Palatino Linotype" w:cs="Arial"/>
          <w:sz w:val="22"/>
          <w:szCs w:val="22"/>
        </w:rPr>
      </w:pPr>
      <w:r w:rsidRPr="00366ECF">
        <w:rPr>
          <w:rFonts w:ascii="Palatino Linotype" w:hAnsi="Palatino Linotype" w:cs="Arial"/>
          <w:sz w:val="22"/>
          <w:szCs w:val="22"/>
        </w:rPr>
        <w:t>Součástí projektu nejsou žádné úpravy ani rozšíření SD-WAN MPSV.</w:t>
      </w:r>
    </w:p>
    <w:p w14:paraId="3EC1F8DE" w14:textId="77777777" w:rsidR="00366ECF" w:rsidRPr="00366ECF" w:rsidRDefault="00366ECF" w:rsidP="00366ECF">
      <w:pPr>
        <w:rPr>
          <w:rFonts w:ascii="Palatino Linotype" w:hAnsi="Palatino Linotype" w:cs="Arial"/>
          <w:sz w:val="22"/>
          <w:szCs w:val="22"/>
        </w:rPr>
      </w:pPr>
    </w:p>
    <w:p w14:paraId="32753045" w14:textId="77777777" w:rsidR="00366ECF" w:rsidRPr="00366ECF" w:rsidRDefault="00366ECF" w:rsidP="00366ECF">
      <w:pPr>
        <w:pStyle w:val="odrka"/>
        <w:numPr>
          <w:ilvl w:val="0"/>
          <w:numId w:val="0"/>
        </w:numPr>
        <w:spacing w:before="0"/>
        <w:rPr>
          <w:rFonts w:ascii="Palatino Linotype" w:hAnsi="Palatino Linotype" w:cs="Arial"/>
          <w:sz w:val="22"/>
          <w:szCs w:val="22"/>
        </w:rPr>
      </w:pPr>
      <w:r w:rsidRPr="00366ECF">
        <w:rPr>
          <w:rFonts w:ascii="Palatino Linotype" w:hAnsi="Palatino Linotype" w:cs="Arial"/>
          <w:b/>
          <w:sz w:val="22"/>
          <w:szCs w:val="22"/>
          <w:u w:val="single"/>
        </w:rPr>
        <w:t>Harmonogram:</w:t>
      </w:r>
    </w:p>
    <w:p w14:paraId="54C995D1" w14:textId="77777777" w:rsidR="00366ECF" w:rsidRPr="00366ECF" w:rsidRDefault="00366ECF" w:rsidP="00366ECF">
      <w:pPr>
        <w:pStyle w:val="Odstavecseseznamem"/>
        <w:numPr>
          <w:ilvl w:val="0"/>
          <w:numId w:val="39"/>
        </w:numPr>
        <w:overflowPunct/>
        <w:spacing w:line="240" w:lineRule="auto"/>
        <w:contextualSpacing/>
        <w:textAlignment w:val="auto"/>
        <w:rPr>
          <w:rFonts w:ascii="Palatino Linotype" w:hAnsi="Palatino Linotype"/>
          <w:color w:val="000000"/>
          <w:sz w:val="22"/>
          <w:szCs w:val="22"/>
        </w:rPr>
      </w:pPr>
      <w:r w:rsidRPr="00366ECF">
        <w:rPr>
          <w:rFonts w:ascii="Palatino Linotype" w:hAnsi="Palatino Linotype"/>
          <w:color w:val="000000"/>
          <w:sz w:val="22"/>
          <w:szCs w:val="22"/>
        </w:rPr>
        <w:t>Schválení projektového záměru (T0) = podpis PS</w:t>
      </w:r>
    </w:p>
    <w:p w14:paraId="54854918" w14:textId="77777777" w:rsidR="00366ECF" w:rsidRPr="00366ECF" w:rsidRDefault="00366ECF" w:rsidP="00366ECF">
      <w:pPr>
        <w:pStyle w:val="Odstavecseseznamem"/>
        <w:numPr>
          <w:ilvl w:val="0"/>
          <w:numId w:val="39"/>
        </w:numPr>
        <w:overflowPunct/>
        <w:spacing w:line="240" w:lineRule="auto"/>
        <w:contextualSpacing/>
        <w:textAlignment w:val="auto"/>
        <w:rPr>
          <w:rFonts w:ascii="Palatino Linotype" w:hAnsi="Palatino Linotype"/>
          <w:color w:val="000000"/>
          <w:sz w:val="22"/>
          <w:szCs w:val="22"/>
        </w:rPr>
      </w:pPr>
      <w:r w:rsidRPr="00366ECF">
        <w:rPr>
          <w:rFonts w:ascii="Palatino Linotype" w:hAnsi="Palatino Linotype"/>
          <w:color w:val="000000"/>
          <w:sz w:val="22"/>
          <w:szCs w:val="22"/>
        </w:rPr>
        <w:t>Dodávka subskripcí (T1): T0 + 8 týdnů</w:t>
      </w:r>
    </w:p>
    <w:p w14:paraId="1851F337" w14:textId="458F48AA" w:rsidR="00366ECF" w:rsidRPr="00366ECF" w:rsidRDefault="00366ECF" w:rsidP="00366ECF">
      <w:pPr>
        <w:rPr>
          <w:rFonts w:ascii="Palatino Linotype" w:hAnsi="Palatino Linotype" w:cs="Arial"/>
          <w:sz w:val="22"/>
          <w:szCs w:val="22"/>
        </w:rPr>
      </w:pPr>
    </w:p>
    <w:p w14:paraId="24E38DA8" w14:textId="77777777" w:rsidR="00366ECF" w:rsidRPr="00366ECF" w:rsidRDefault="00366ECF" w:rsidP="00366ECF">
      <w:pPr>
        <w:rPr>
          <w:rFonts w:ascii="Palatino Linotype" w:hAnsi="Palatino Linotype" w:cs="Arial"/>
          <w:sz w:val="22"/>
          <w:szCs w:val="22"/>
        </w:rPr>
      </w:pPr>
    </w:p>
    <w:p w14:paraId="1AEC4220" w14:textId="77777777" w:rsidR="00366ECF" w:rsidRPr="00366ECF" w:rsidRDefault="00366ECF" w:rsidP="00366ECF">
      <w:pPr>
        <w:rPr>
          <w:rFonts w:ascii="Palatino Linotype" w:hAnsi="Palatino Linotype" w:cs="Arial"/>
          <w:b/>
          <w:color w:val="000000"/>
          <w:sz w:val="22"/>
          <w:szCs w:val="22"/>
          <w:u w:val="single"/>
        </w:rPr>
      </w:pPr>
      <w:r w:rsidRPr="00366ECF">
        <w:rPr>
          <w:rFonts w:ascii="Palatino Linotype" w:hAnsi="Palatino Linotype" w:cs="Arial"/>
          <w:b/>
          <w:color w:val="000000"/>
          <w:sz w:val="22"/>
          <w:szCs w:val="22"/>
          <w:u w:val="single"/>
        </w:rPr>
        <w:t>Akceptační kritéria</w:t>
      </w:r>
    </w:p>
    <w:p w14:paraId="74B1817D" w14:textId="77777777" w:rsidR="00366ECF" w:rsidRPr="00366ECF" w:rsidRDefault="00366ECF" w:rsidP="00366ECF">
      <w:pPr>
        <w:rPr>
          <w:rFonts w:ascii="Palatino Linotype" w:hAnsi="Palatino Linotype" w:cs="Arial"/>
          <w:sz w:val="22"/>
          <w:szCs w:val="22"/>
        </w:rPr>
      </w:pPr>
      <w:r w:rsidRPr="00366ECF">
        <w:rPr>
          <w:rFonts w:ascii="Palatino Linotype" w:hAnsi="Palatino Linotype" w:cs="Arial"/>
          <w:sz w:val="22"/>
          <w:szCs w:val="22"/>
        </w:rPr>
        <w:t xml:space="preserve">Projekt se bude považovat za splněný po podepsání dodacího listu na níže uvedené subskripce. </w:t>
      </w:r>
    </w:p>
    <w:p w14:paraId="58C19DA2" w14:textId="77777777" w:rsidR="00366ECF" w:rsidRPr="00366ECF" w:rsidRDefault="00366ECF" w:rsidP="00366ECF">
      <w:pPr>
        <w:rPr>
          <w:rFonts w:ascii="Palatino Linotype" w:hAnsi="Palatino Linotype" w:cs="Arial"/>
          <w:sz w:val="22"/>
          <w:szCs w:val="22"/>
        </w:rPr>
      </w:pPr>
    </w:p>
    <w:p w14:paraId="16C92832" w14:textId="77777777" w:rsidR="00366ECF" w:rsidRPr="00366ECF" w:rsidRDefault="00366ECF" w:rsidP="00366ECF">
      <w:pPr>
        <w:rPr>
          <w:rFonts w:ascii="Palatino Linotype" w:hAnsi="Palatino Linotype" w:cs="Arial"/>
          <w:b/>
          <w:color w:val="000000"/>
          <w:sz w:val="22"/>
          <w:szCs w:val="22"/>
          <w:u w:val="single"/>
        </w:rPr>
      </w:pPr>
      <w:r w:rsidRPr="00366ECF">
        <w:rPr>
          <w:rFonts w:ascii="Palatino Linotype" w:hAnsi="Palatino Linotype" w:cs="Arial"/>
          <w:b/>
          <w:color w:val="000000"/>
          <w:sz w:val="22"/>
          <w:szCs w:val="22"/>
          <w:u w:val="single"/>
        </w:rPr>
        <w:t>Přehled HW, SW a jeho zajištění</w:t>
      </w:r>
    </w:p>
    <w:p w14:paraId="3E17BF8F" w14:textId="77777777" w:rsidR="00366ECF" w:rsidRPr="00366ECF" w:rsidRDefault="00366ECF" w:rsidP="00366ECF">
      <w:pPr>
        <w:rPr>
          <w:rFonts w:ascii="Palatino Linotype" w:hAnsi="Palatino Linotype" w:cs="Arial"/>
          <w:sz w:val="22"/>
          <w:szCs w:val="22"/>
        </w:rPr>
      </w:pPr>
    </w:p>
    <w:tbl>
      <w:tblPr>
        <w:tblStyle w:val="Mkatabulky"/>
        <w:tblW w:w="5157" w:type="pct"/>
        <w:tblInd w:w="-289" w:type="dxa"/>
        <w:tblLook w:val="04A0" w:firstRow="1" w:lastRow="0" w:firstColumn="1" w:lastColumn="0" w:noHBand="0" w:noVBand="1"/>
      </w:tblPr>
      <w:tblGrid>
        <w:gridCol w:w="2189"/>
        <w:gridCol w:w="6405"/>
        <w:gridCol w:w="754"/>
      </w:tblGrid>
      <w:tr w:rsidR="00366ECF" w:rsidRPr="00366ECF" w14:paraId="4F864FBD" w14:textId="77777777" w:rsidTr="00366ECF">
        <w:trPr>
          <w:trHeight w:val="399"/>
        </w:trPr>
        <w:tc>
          <w:tcPr>
            <w:tcW w:w="1171" w:type="pct"/>
            <w:hideMark/>
          </w:tcPr>
          <w:p w14:paraId="301CB009" w14:textId="77777777" w:rsidR="00366ECF" w:rsidRPr="00366ECF" w:rsidRDefault="00366ECF" w:rsidP="0040406A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366ECF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Partname</w:t>
            </w:r>
          </w:p>
        </w:tc>
        <w:tc>
          <w:tcPr>
            <w:tcW w:w="3425" w:type="pct"/>
            <w:hideMark/>
          </w:tcPr>
          <w:p w14:paraId="579A1000" w14:textId="77777777" w:rsidR="00366ECF" w:rsidRPr="00366ECF" w:rsidRDefault="00366ECF" w:rsidP="0040406A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366ECF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Popis</w:t>
            </w:r>
          </w:p>
        </w:tc>
        <w:tc>
          <w:tcPr>
            <w:tcW w:w="403" w:type="pct"/>
            <w:hideMark/>
          </w:tcPr>
          <w:p w14:paraId="4C64BBD2" w14:textId="77777777" w:rsidR="00366ECF" w:rsidRPr="00366ECF" w:rsidRDefault="00366ECF" w:rsidP="0040406A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366ECF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Počet kusů</w:t>
            </w:r>
          </w:p>
        </w:tc>
      </w:tr>
      <w:tr w:rsidR="00366ECF" w:rsidRPr="00366ECF" w14:paraId="6A47CE97" w14:textId="77777777" w:rsidTr="00366ECF">
        <w:trPr>
          <w:trHeight w:val="300"/>
        </w:trPr>
        <w:tc>
          <w:tcPr>
            <w:tcW w:w="1171" w:type="pct"/>
            <w:hideMark/>
          </w:tcPr>
          <w:p w14:paraId="6EADE770" w14:textId="77777777" w:rsidR="00366ECF" w:rsidRPr="00366ECF" w:rsidRDefault="00366ECF" w:rsidP="0040406A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366ECF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L-DNA-C8500</w:t>
            </w:r>
          </w:p>
        </w:tc>
        <w:tc>
          <w:tcPr>
            <w:tcW w:w="3425" w:type="pct"/>
            <w:noWrap/>
            <w:hideMark/>
          </w:tcPr>
          <w:p w14:paraId="2094B577" w14:textId="77777777" w:rsidR="00366ECF" w:rsidRPr="00366ECF" w:rsidRDefault="00366ECF" w:rsidP="0040406A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366ECF">
              <w:rPr>
                <w:rFonts w:ascii="Palatino Linotype" w:hAnsi="Palatino Linotype" w:cs="Arial"/>
                <w:sz w:val="22"/>
                <w:szCs w:val="22"/>
              </w:rPr>
              <w:t>Cisco DNA Subscription for Catalyst 8500 Series</w:t>
            </w:r>
          </w:p>
        </w:tc>
        <w:tc>
          <w:tcPr>
            <w:tcW w:w="403" w:type="pct"/>
            <w:hideMark/>
          </w:tcPr>
          <w:p w14:paraId="040260CA" w14:textId="77777777" w:rsidR="00366ECF" w:rsidRPr="00366ECF" w:rsidRDefault="00366ECF" w:rsidP="0040406A">
            <w:pPr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366ECF">
              <w:rPr>
                <w:rFonts w:ascii="Palatino Linotype" w:hAnsi="Palatino Linotype" w:cs="Arial"/>
                <w:sz w:val="22"/>
                <w:szCs w:val="22"/>
              </w:rPr>
              <w:t>2</w:t>
            </w:r>
          </w:p>
        </w:tc>
      </w:tr>
      <w:tr w:rsidR="00366ECF" w:rsidRPr="00366ECF" w14:paraId="6AA99CC1" w14:textId="77777777" w:rsidTr="00366ECF">
        <w:trPr>
          <w:trHeight w:val="300"/>
        </w:trPr>
        <w:tc>
          <w:tcPr>
            <w:tcW w:w="1171" w:type="pct"/>
            <w:hideMark/>
          </w:tcPr>
          <w:p w14:paraId="5FCD734F" w14:textId="77777777" w:rsidR="00366ECF" w:rsidRPr="00366ECF" w:rsidRDefault="00366ECF" w:rsidP="00366ECF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366ECF">
              <w:rPr>
                <w:rFonts w:ascii="Palatino Linotype" w:hAnsi="Palatino Linotype" w:cs="Arial"/>
                <w:sz w:val="22"/>
                <w:szCs w:val="22"/>
              </w:rPr>
              <w:t>DNA-P-T3-A-3Y</w:t>
            </w:r>
          </w:p>
        </w:tc>
        <w:tc>
          <w:tcPr>
            <w:tcW w:w="3425" w:type="pct"/>
            <w:noWrap/>
            <w:hideMark/>
          </w:tcPr>
          <w:p w14:paraId="67CD9296" w14:textId="77777777" w:rsidR="00366ECF" w:rsidRPr="00366ECF" w:rsidRDefault="00366ECF" w:rsidP="0040406A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366ECF">
              <w:rPr>
                <w:rFonts w:ascii="Palatino Linotype" w:hAnsi="Palatino Linotype" w:cs="Arial"/>
                <w:sz w:val="22"/>
                <w:szCs w:val="22"/>
              </w:rPr>
              <w:t>Cisco DNA Advantage On-Prem Lic 3Y - upto 10G (Aggr, 20G)</w:t>
            </w:r>
          </w:p>
        </w:tc>
        <w:tc>
          <w:tcPr>
            <w:tcW w:w="403" w:type="pct"/>
            <w:hideMark/>
          </w:tcPr>
          <w:p w14:paraId="547D6C1E" w14:textId="77777777" w:rsidR="00366ECF" w:rsidRPr="00366ECF" w:rsidRDefault="00366ECF" w:rsidP="0040406A">
            <w:pPr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366ECF">
              <w:rPr>
                <w:rFonts w:ascii="Palatino Linotype" w:hAnsi="Palatino Linotype" w:cs="Arial"/>
                <w:sz w:val="22"/>
                <w:szCs w:val="22"/>
              </w:rPr>
              <w:t>2</w:t>
            </w:r>
          </w:p>
        </w:tc>
      </w:tr>
      <w:tr w:rsidR="00366ECF" w:rsidRPr="00366ECF" w14:paraId="62F8CC7B" w14:textId="77777777" w:rsidTr="00366ECF">
        <w:trPr>
          <w:trHeight w:val="300"/>
        </w:trPr>
        <w:tc>
          <w:tcPr>
            <w:tcW w:w="1171" w:type="pct"/>
            <w:hideMark/>
          </w:tcPr>
          <w:p w14:paraId="07EF7A7F" w14:textId="77777777" w:rsidR="00366ECF" w:rsidRPr="00366ECF" w:rsidRDefault="00366ECF" w:rsidP="00366ECF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366ECF">
              <w:rPr>
                <w:rFonts w:ascii="Palatino Linotype" w:hAnsi="Palatino Linotype" w:cs="Arial"/>
                <w:sz w:val="22"/>
                <w:szCs w:val="22"/>
              </w:rPr>
              <w:t>SVS-PSTL1-T3-A3Y</w:t>
            </w:r>
          </w:p>
        </w:tc>
        <w:tc>
          <w:tcPr>
            <w:tcW w:w="3425" w:type="pct"/>
            <w:noWrap/>
            <w:hideMark/>
          </w:tcPr>
          <w:p w14:paraId="093B2093" w14:textId="77777777" w:rsidR="00366ECF" w:rsidRPr="00366ECF" w:rsidRDefault="00366ECF" w:rsidP="0040406A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366ECF">
              <w:rPr>
                <w:rFonts w:ascii="Palatino Linotype" w:hAnsi="Palatino Linotype" w:cs="Arial"/>
                <w:sz w:val="22"/>
                <w:szCs w:val="22"/>
              </w:rPr>
              <w:t>Cisco Support Enhanced - DNA Advantage OnPrem Lic, T3, 3Y</w:t>
            </w:r>
          </w:p>
        </w:tc>
        <w:tc>
          <w:tcPr>
            <w:tcW w:w="403" w:type="pct"/>
            <w:hideMark/>
          </w:tcPr>
          <w:p w14:paraId="3C5D50FD" w14:textId="77777777" w:rsidR="00366ECF" w:rsidRPr="00366ECF" w:rsidRDefault="00366ECF" w:rsidP="0040406A">
            <w:pPr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366ECF">
              <w:rPr>
                <w:rFonts w:ascii="Palatino Linotype" w:hAnsi="Palatino Linotype" w:cs="Arial"/>
                <w:sz w:val="22"/>
                <w:szCs w:val="22"/>
              </w:rPr>
              <w:t>2</w:t>
            </w:r>
          </w:p>
        </w:tc>
      </w:tr>
      <w:tr w:rsidR="00366ECF" w:rsidRPr="00366ECF" w14:paraId="5FB9D3A7" w14:textId="77777777" w:rsidTr="00366ECF">
        <w:trPr>
          <w:trHeight w:val="300"/>
        </w:trPr>
        <w:tc>
          <w:tcPr>
            <w:tcW w:w="1171" w:type="pct"/>
            <w:hideMark/>
          </w:tcPr>
          <w:p w14:paraId="7DC96AF7" w14:textId="77777777" w:rsidR="00366ECF" w:rsidRPr="00366ECF" w:rsidRDefault="00366ECF" w:rsidP="0040406A">
            <w:pPr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366ECF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L-DNA-C8200</w:t>
            </w:r>
          </w:p>
        </w:tc>
        <w:tc>
          <w:tcPr>
            <w:tcW w:w="3425" w:type="pct"/>
            <w:noWrap/>
            <w:hideMark/>
          </w:tcPr>
          <w:p w14:paraId="33196F3B" w14:textId="77777777" w:rsidR="00366ECF" w:rsidRPr="00366ECF" w:rsidRDefault="00366ECF" w:rsidP="0040406A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366ECF">
              <w:rPr>
                <w:rFonts w:ascii="Palatino Linotype" w:hAnsi="Palatino Linotype" w:cs="Arial"/>
                <w:sz w:val="22"/>
                <w:szCs w:val="22"/>
              </w:rPr>
              <w:t>Cisco DNA Subscription for Catalyst 8200 Series</w:t>
            </w:r>
          </w:p>
        </w:tc>
        <w:tc>
          <w:tcPr>
            <w:tcW w:w="403" w:type="pct"/>
            <w:hideMark/>
          </w:tcPr>
          <w:p w14:paraId="71CCFAAE" w14:textId="77777777" w:rsidR="00366ECF" w:rsidRPr="00366ECF" w:rsidRDefault="00366ECF" w:rsidP="0040406A">
            <w:pPr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366ECF">
              <w:rPr>
                <w:rFonts w:ascii="Palatino Linotype" w:hAnsi="Palatino Linotype" w:cs="Arial"/>
                <w:sz w:val="22"/>
                <w:szCs w:val="22"/>
              </w:rPr>
              <w:t>14</w:t>
            </w:r>
          </w:p>
        </w:tc>
      </w:tr>
      <w:tr w:rsidR="00366ECF" w:rsidRPr="00366ECF" w14:paraId="485D3DEE" w14:textId="77777777" w:rsidTr="00366ECF">
        <w:trPr>
          <w:trHeight w:val="300"/>
        </w:trPr>
        <w:tc>
          <w:tcPr>
            <w:tcW w:w="1171" w:type="pct"/>
            <w:hideMark/>
          </w:tcPr>
          <w:p w14:paraId="76F9A3FA" w14:textId="77777777" w:rsidR="00366ECF" w:rsidRPr="00366ECF" w:rsidRDefault="00366ECF" w:rsidP="00366ECF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366ECF">
              <w:rPr>
                <w:rFonts w:ascii="Palatino Linotype" w:hAnsi="Palatino Linotype" w:cs="Arial"/>
                <w:sz w:val="22"/>
                <w:szCs w:val="22"/>
              </w:rPr>
              <w:t>DNA-P-T2-A-3Y</w:t>
            </w:r>
          </w:p>
        </w:tc>
        <w:tc>
          <w:tcPr>
            <w:tcW w:w="3425" w:type="pct"/>
            <w:noWrap/>
            <w:hideMark/>
          </w:tcPr>
          <w:p w14:paraId="6214A6C1" w14:textId="77777777" w:rsidR="00366ECF" w:rsidRPr="00366ECF" w:rsidRDefault="00366ECF" w:rsidP="0040406A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366ECF">
              <w:rPr>
                <w:rFonts w:ascii="Palatino Linotype" w:hAnsi="Palatino Linotype" w:cs="Arial"/>
                <w:sz w:val="22"/>
                <w:szCs w:val="22"/>
              </w:rPr>
              <w:t>Cisco DNA Advantage On-Prem Lic 3Y - upto 1G (Aggr, 2G)</w:t>
            </w:r>
          </w:p>
        </w:tc>
        <w:tc>
          <w:tcPr>
            <w:tcW w:w="403" w:type="pct"/>
            <w:hideMark/>
          </w:tcPr>
          <w:p w14:paraId="4D4E1A8C" w14:textId="77777777" w:rsidR="00366ECF" w:rsidRPr="00366ECF" w:rsidRDefault="00366ECF" w:rsidP="0040406A">
            <w:pPr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366ECF">
              <w:rPr>
                <w:rFonts w:ascii="Palatino Linotype" w:hAnsi="Palatino Linotype" w:cs="Arial"/>
                <w:sz w:val="22"/>
                <w:szCs w:val="22"/>
              </w:rPr>
              <w:t>14</w:t>
            </w:r>
          </w:p>
        </w:tc>
      </w:tr>
      <w:tr w:rsidR="00366ECF" w:rsidRPr="00366ECF" w14:paraId="2C4A9DAA" w14:textId="77777777" w:rsidTr="00366ECF">
        <w:trPr>
          <w:trHeight w:val="300"/>
        </w:trPr>
        <w:tc>
          <w:tcPr>
            <w:tcW w:w="1171" w:type="pct"/>
            <w:hideMark/>
          </w:tcPr>
          <w:p w14:paraId="3C1DC1D5" w14:textId="77777777" w:rsidR="00366ECF" w:rsidRPr="00366ECF" w:rsidRDefault="00366ECF" w:rsidP="00366ECF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366ECF">
              <w:rPr>
                <w:rFonts w:ascii="Palatino Linotype" w:hAnsi="Palatino Linotype" w:cs="Arial"/>
                <w:sz w:val="22"/>
                <w:szCs w:val="22"/>
              </w:rPr>
              <w:t>SVS-PSTL1-T2-A3Y</w:t>
            </w:r>
          </w:p>
        </w:tc>
        <w:tc>
          <w:tcPr>
            <w:tcW w:w="3425" w:type="pct"/>
            <w:noWrap/>
            <w:hideMark/>
          </w:tcPr>
          <w:p w14:paraId="5CA1D135" w14:textId="77777777" w:rsidR="00366ECF" w:rsidRPr="00366ECF" w:rsidRDefault="00366ECF" w:rsidP="0040406A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366ECF">
              <w:rPr>
                <w:rFonts w:ascii="Palatino Linotype" w:hAnsi="Palatino Linotype" w:cs="Arial"/>
                <w:sz w:val="22"/>
                <w:szCs w:val="22"/>
              </w:rPr>
              <w:t>Cisco Support Enhanced - DNA Advantage OnPrem Lic, T2, 3Y</w:t>
            </w:r>
          </w:p>
        </w:tc>
        <w:tc>
          <w:tcPr>
            <w:tcW w:w="403" w:type="pct"/>
            <w:hideMark/>
          </w:tcPr>
          <w:p w14:paraId="46E3CD5F" w14:textId="77777777" w:rsidR="00366ECF" w:rsidRPr="00366ECF" w:rsidRDefault="00366ECF" w:rsidP="0040406A">
            <w:pPr>
              <w:jc w:val="right"/>
              <w:rPr>
                <w:rFonts w:ascii="Palatino Linotype" w:hAnsi="Palatino Linotype" w:cs="Arial"/>
                <w:sz w:val="22"/>
                <w:szCs w:val="22"/>
              </w:rPr>
            </w:pPr>
            <w:r w:rsidRPr="00366ECF">
              <w:rPr>
                <w:rFonts w:ascii="Palatino Linotype" w:hAnsi="Palatino Linotype" w:cs="Arial"/>
                <w:sz w:val="22"/>
                <w:szCs w:val="22"/>
              </w:rPr>
              <w:t>14</w:t>
            </w:r>
          </w:p>
        </w:tc>
      </w:tr>
    </w:tbl>
    <w:p w14:paraId="77E7D936" w14:textId="462BACA4" w:rsidR="00366ECF" w:rsidRPr="00CF0CED" w:rsidRDefault="00366ECF" w:rsidP="00812173">
      <w:pPr>
        <w:rPr>
          <w:rFonts w:ascii="Palatino Linotype" w:hAnsi="Palatino Linotype" w:cs="Arial"/>
          <w:sz w:val="22"/>
          <w:szCs w:val="22"/>
        </w:rPr>
        <w:sectPr w:rsidR="00366ECF" w:rsidRPr="00CF0CED" w:rsidSect="005F74D4">
          <w:headerReference w:type="default" r:id="rId11"/>
          <w:footerReference w:type="default" r:id="rId12"/>
          <w:headerReference w:type="first" r:id="rId13"/>
          <w:footerReference w:type="first" r:id="rId14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44F7A2E2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B30A4AC" w14:textId="77777777" w:rsidR="00366ECF" w:rsidRDefault="00366EC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CD57A7C" w14:textId="5F4A1972" w:rsidR="00F04F04" w:rsidRDefault="00F04F0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8BF2586" w14:textId="764D2EC5" w:rsidR="00366ECF" w:rsidRDefault="00366EC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366ECF">
        <w:rPr>
          <w:noProof/>
        </w:rPr>
        <w:drawing>
          <wp:inline distT="0" distB="0" distL="0" distR="0" wp14:anchorId="3BADC963" wp14:editId="60BCC5A8">
            <wp:extent cx="9775190" cy="3994723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5190" cy="3994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F95F7" w14:textId="7F3B69A7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9FBB6FF" w14:textId="66379AA0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644250A" w14:textId="5968740A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62FAA4E" w14:textId="77777777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2FACD" w14:textId="7777777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CF41A1F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3231" w14:textId="77777777" w:rsidR="00984901" w:rsidRDefault="00984901" w:rsidP="00312D44">
      <w:pPr>
        <w:spacing w:line="240" w:lineRule="auto"/>
      </w:pPr>
      <w:r>
        <w:separator/>
      </w:r>
    </w:p>
  </w:endnote>
  <w:endnote w:type="continuationSeparator" w:id="0">
    <w:p w14:paraId="3663391C" w14:textId="77777777" w:rsidR="00984901" w:rsidRDefault="00984901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C342" w14:textId="77777777" w:rsidR="00984901" w:rsidRDefault="00984901" w:rsidP="00312D44">
      <w:pPr>
        <w:spacing w:line="240" w:lineRule="auto"/>
      </w:pPr>
      <w:r>
        <w:separator/>
      </w:r>
    </w:p>
  </w:footnote>
  <w:footnote w:type="continuationSeparator" w:id="0">
    <w:p w14:paraId="7837F93D" w14:textId="77777777" w:rsidR="00984901" w:rsidRDefault="00984901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0DEE" w14:textId="4C1E1B2A" w:rsidR="00D55C9F" w:rsidRDefault="00E22B09" w:rsidP="00967BBA">
    <w:pPr>
      <w:pStyle w:val="Zhlav"/>
      <w:tabs>
        <w:tab w:val="left" w:pos="1522"/>
      </w:tabs>
    </w:pPr>
    <w:r>
      <w:t>MPSV1.2</w:t>
    </w:r>
    <w:r w:rsidR="00567F23">
      <w:t>6</w:t>
    </w:r>
    <w:r>
      <w:t>.0</w:t>
    </w:r>
    <w:r w:rsidR="00567F23">
      <w:t>071</w:t>
    </w:r>
    <w:r w:rsidR="00D55C9F" w:rsidRPr="00D55C9F">
      <w:tab/>
    </w:r>
    <w:r w:rsidR="00967BBA">
      <w:tab/>
    </w:r>
    <w:r w:rsidR="00D55C9F" w:rsidRPr="00D55C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E11"/>
    <w:multiLevelType w:val="hybridMultilevel"/>
    <w:tmpl w:val="A7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0AC84D1C"/>
    <w:multiLevelType w:val="hybridMultilevel"/>
    <w:tmpl w:val="2DA8F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55F6"/>
    <w:multiLevelType w:val="hybridMultilevel"/>
    <w:tmpl w:val="4E323274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7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 w15:restartNumberingAfterBreak="0">
    <w:nsid w:val="2FF923CE"/>
    <w:multiLevelType w:val="multilevel"/>
    <w:tmpl w:val="0D18A2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C4204"/>
    <w:multiLevelType w:val="hybridMultilevel"/>
    <w:tmpl w:val="06761F2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0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F6487"/>
    <w:multiLevelType w:val="hybridMultilevel"/>
    <w:tmpl w:val="C3567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D1ACF"/>
    <w:multiLevelType w:val="multilevel"/>
    <w:tmpl w:val="4C1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7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75734"/>
    <w:multiLevelType w:val="hybridMultilevel"/>
    <w:tmpl w:val="5B06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1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93930710">
    <w:abstractNumId w:val="6"/>
  </w:num>
  <w:num w:numId="2" w16cid:durableId="440490336">
    <w:abstractNumId w:val="9"/>
  </w:num>
  <w:num w:numId="3" w16cid:durableId="579213395">
    <w:abstractNumId w:val="8"/>
  </w:num>
  <w:num w:numId="4" w16cid:durableId="942031654">
    <w:abstractNumId w:val="36"/>
  </w:num>
  <w:num w:numId="5" w16cid:durableId="2037729956">
    <w:abstractNumId w:val="7"/>
  </w:num>
  <w:num w:numId="6" w16cid:durableId="955067469">
    <w:abstractNumId w:val="31"/>
  </w:num>
  <w:num w:numId="7" w16cid:durableId="1074662226">
    <w:abstractNumId w:val="12"/>
  </w:num>
  <w:num w:numId="8" w16cid:durableId="1316180843">
    <w:abstractNumId w:val="3"/>
  </w:num>
  <w:num w:numId="9" w16cid:durableId="18822035">
    <w:abstractNumId w:val="19"/>
  </w:num>
  <w:num w:numId="10" w16cid:durableId="1070466838">
    <w:abstractNumId w:val="30"/>
  </w:num>
  <w:num w:numId="11" w16cid:durableId="1967271529">
    <w:abstractNumId w:val="26"/>
  </w:num>
  <w:num w:numId="12" w16cid:durableId="581918017">
    <w:abstractNumId w:val="2"/>
  </w:num>
  <w:num w:numId="13" w16cid:durableId="440993707">
    <w:abstractNumId w:val="17"/>
  </w:num>
  <w:num w:numId="14" w16cid:durableId="563686388">
    <w:abstractNumId w:val="0"/>
  </w:num>
  <w:num w:numId="15" w16cid:durableId="1783577054">
    <w:abstractNumId w:val="34"/>
  </w:num>
  <w:num w:numId="16" w16cid:durableId="1942716022">
    <w:abstractNumId w:val="11"/>
  </w:num>
  <w:num w:numId="17" w16cid:durableId="971792962">
    <w:abstractNumId w:val="35"/>
  </w:num>
  <w:num w:numId="18" w16cid:durableId="19695064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567930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8827239">
    <w:abstractNumId w:val="15"/>
  </w:num>
  <w:num w:numId="21" w16cid:durableId="279724261">
    <w:abstractNumId w:val="21"/>
  </w:num>
  <w:num w:numId="22" w16cid:durableId="2101217691">
    <w:abstractNumId w:val="28"/>
  </w:num>
  <w:num w:numId="23" w16cid:durableId="442187884">
    <w:abstractNumId w:val="22"/>
  </w:num>
  <w:num w:numId="24" w16cid:durableId="1575628316">
    <w:abstractNumId w:val="33"/>
  </w:num>
  <w:num w:numId="25" w16cid:durableId="1087070711">
    <w:abstractNumId w:val="10"/>
  </w:num>
  <w:num w:numId="26" w16cid:durableId="199634050">
    <w:abstractNumId w:val="27"/>
  </w:num>
  <w:num w:numId="27" w16cid:durableId="1571311781">
    <w:abstractNumId w:val="24"/>
  </w:num>
  <w:num w:numId="28" w16cid:durableId="349261322">
    <w:abstractNumId w:val="20"/>
  </w:num>
  <w:num w:numId="29" w16cid:durableId="1947535742">
    <w:abstractNumId w:val="14"/>
  </w:num>
  <w:num w:numId="30" w16cid:durableId="1696349297">
    <w:abstractNumId w:val="16"/>
  </w:num>
  <w:num w:numId="31" w16cid:durableId="1200315050">
    <w:abstractNumId w:val="32"/>
  </w:num>
  <w:num w:numId="32" w16cid:durableId="974067877">
    <w:abstractNumId w:val="5"/>
  </w:num>
  <w:num w:numId="33" w16cid:durableId="1353610555">
    <w:abstractNumId w:val="17"/>
  </w:num>
  <w:num w:numId="34" w16cid:durableId="185481372">
    <w:abstractNumId w:val="25"/>
  </w:num>
  <w:num w:numId="35" w16cid:durableId="2132820931">
    <w:abstractNumId w:val="18"/>
  </w:num>
  <w:num w:numId="36" w16cid:durableId="1763139756">
    <w:abstractNumId w:val="29"/>
  </w:num>
  <w:num w:numId="37" w16cid:durableId="918518924">
    <w:abstractNumId w:val="4"/>
  </w:num>
  <w:num w:numId="38" w16cid:durableId="1042244084">
    <w:abstractNumId w:val="1"/>
  </w:num>
  <w:num w:numId="39" w16cid:durableId="1211115258">
    <w:abstractNumId w:val="13"/>
  </w:num>
  <w:num w:numId="40" w16cid:durableId="1664504900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2D16"/>
    <w:rsid w:val="000E39A7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F22"/>
    <w:rsid w:val="0013436E"/>
    <w:rsid w:val="00141CCB"/>
    <w:rsid w:val="00150E13"/>
    <w:rsid w:val="00152B2F"/>
    <w:rsid w:val="001564C4"/>
    <w:rsid w:val="0015799C"/>
    <w:rsid w:val="00172227"/>
    <w:rsid w:val="0017343E"/>
    <w:rsid w:val="001819D6"/>
    <w:rsid w:val="00192B9C"/>
    <w:rsid w:val="001A23A5"/>
    <w:rsid w:val="001A52F1"/>
    <w:rsid w:val="001B4871"/>
    <w:rsid w:val="001C0BB8"/>
    <w:rsid w:val="001C3B5C"/>
    <w:rsid w:val="001C62E8"/>
    <w:rsid w:val="001D3152"/>
    <w:rsid w:val="001E1D84"/>
    <w:rsid w:val="001E26BA"/>
    <w:rsid w:val="001E2E9B"/>
    <w:rsid w:val="001F358B"/>
    <w:rsid w:val="002021D7"/>
    <w:rsid w:val="0021479A"/>
    <w:rsid w:val="002164E0"/>
    <w:rsid w:val="00221FC6"/>
    <w:rsid w:val="00222D10"/>
    <w:rsid w:val="00245EEA"/>
    <w:rsid w:val="00251A51"/>
    <w:rsid w:val="002525EC"/>
    <w:rsid w:val="00253080"/>
    <w:rsid w:val="002539CE"/>
    <w:rsid w:val="002555D6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D2E06"/>
    <w:rsid w:val="002E0886"/>
    <w:rsid w:val="002E28EB"/>
    <w:rsid w:val="002E2D94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23A8"/>
    <w:rsid w:val="003345D1"/>
    <w:rsid w:val="003373CF"/>
    <w:rsid w:val="00340672"/>
    <w:rsid w:val="00341598"/>
    <w:rsid w:val="003438D3"/>
    <w:rsid w:val="00345DA4"/>
    <w:rsid w:val="00347813"/>
    <w:rsid w:val="00351399"/>
    <w:rsid w:val="00354C18"/>
    <w:rsid w:val="0035581B"/>
    <w:rsid w:val="00357F62"/>
    <w:rsid w:val="00366115"/>
    <w:rsid w:val="00366ECF"/>
    <w:rsid w:val="00367631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D3877"/>
    <w:rsid w:val="003E5408"/>
    <w:rsid w:val="003F20DC"/>
    <w:rsid w:val="003F52C7"/>
    <w:rsid w:val="00400687"/>
    <w:rsid w:val="004074B9"/>
    <w:rsid w:val="00415CD3"/>
    <w:rsid w:val="00432474"/>
    <w:rsid w:val="0043772A"/>
    <w:rsid w:val="00440981"/>
    <w:rsid w:val="004476A9"/>
    <w:rsid w:val="00447DC1"/>
    <w:rsid w:val="0045568E"/>
    <w:rsid w:val="004562D7"/>
    <w:rsid w:val="00461C3E"/>
    <w:rsid w:val="00463E43"/>
    <w:rsid w:val="00467F1D"/>
    <w:rsid w:val="00472502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B4635"/>
    <w:rsid w:val="004B5F39"/>
    <w:rsid w:val="004C07A8"/>
    <w:rsid w:val="004C2FA5"/>
    <w:rsid w:val="004C597F"/>
    <w:rsid w:val="004C6E7D"/>
    <w:rsid w:val="004D289B"/>
    <w:rsid w:val="004F1930"/>
    <w:rsid w:val="00504169"/>
    <w:rsid w:val="005121F9"/>
    <w:rsid w:val="00513D9F"/>
    <w:rsid w:val="00526213"/>
    <w:rsid w:val="005344DB"/>
    <w:rsid w:val="00534DE1"/>
    <w:rsid w:val="0053662F"/>
    <w:rsid w:val="005400C8"/>
    <w:rsid w:val="0054047E"/>
    <w:rsid w:val="00540693"/>
    <w:rsid w:val="005406A1"/>
    <w:rsid w:val="00543930"/>
    <w:rsid w:val="00543AA8"/>
    <w:rsid w:val="00544407"/>
    <w:rsid w:val="00546E5C"/>
    <w:rsid w:val="005538DC"/>
    <w:rsid w:val="005562F1"/>
    <w:rsid w:val="005608A1"/>
    <w:rsid w:val="005617CC"/>
    <w:rsid w:val="00564456"/>
    <w:rsid w:val="00565587"/>
    <w:rsid w:val="005679A8"/>
    <w:rsid w:val="00567F23"/>
    <w:rsid w:val="00590691"/>
    <w:rsid w:val="005948CB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2E6C"/>
    <w:rsid w:val="005F74D4"/>
    <w:rsid w:val="00600D41"/>
    <w:rsid w:val="006038C3"/>
    <w:rsid w:val="00605B23"/>
    <w:rsid w:val="00607B60"/>
    <w:rsid w:val="006108BD"/>
    <w:rsid w:val="00611918"/>
    <w:rsid w:val="00622B1C"/>
    <w:rsid w:val="00636A13"/>
    <w:rsid w:val="00640346"/>
    <w:rsid w:val="006424E1"/>
    <w:rsid w:val="006432C7"/>
    <w:rsid w:val="00650831"/>
    <w:rsid w:val="00651CE8"/>
    <w:rsid w:val="0065294C"/>
    <w:rsid w:val="0065605A"/>
    <w:rsid w:val="00671C04"/>
    <w:rsid w:val="00677C70"/>
    <w:rsid w:val="00691128"/>
    <w:rsid w:val="00694143"/>
    <w:rsid w:val="00695413"/>
    <w:rsid w:val="006A0E81"/>
    <w:rsid w:val="006A593A"/>
    <w:rsid w:val="006A5DA2"/>
    <w:rsid w:val="006B53E8"/>
    <w:rsid w:val="006B79BB"/>
    <w:rsid w:val="006C0963"/>
    <w:rsid w:val="006C5883"/>
    <w:rsid w:val="006C75D3"/>
    <w:rsid w:val="006D6E20"/>
    <w:rsid w:val="006D7971"/>
    <w:rsid w:val="006E57DC"/>
    <w:rsid w:val="00705A48"/>
    <w:rsid w:val="00715263"/>
    <w:rsid w:val="007262F2"/>
    <w:rsid w:val="00737DEC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426E"/>
    <w:rsid w:val="00785950"/>
    <w:rsid w:val="007859F6"/>
    <w:rsid w:val="007871AD"/>
    <w:rsid w:val="007876A8"/>
    <w:rsid w:val="007A710A"/>
    <w:rsid w:val="007C0C09"/>
    <w:rsid w:val="007C137D"/>
    <w:rsid w:val="007D7E6D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804E22"/>
    <w:rsid w:val="0080579E"/>
    <w:rsid w:val="00810242"/>
    <w:rsid w:val="00811036"/>
    <w:rsid w:val="00812173"/>
    <w:rsid w:val="008216F1"/>
    <w:rsid w:val="00827BD4"/>
    <w:rsid w:val="00830E12"/>
    <w:rsid w:val="0083224B"/>
    <w:rsid w:val="00835005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351"/>
    <w:rsid w:val="008728FA"/>
    <w:rsid w:val="00874CC1"/>
    <w:rsid w:val="008775EB"/>
    <w:rsid w:val="0088099C"/>
    <w:rsid w:val="00881871"/>
    <w:rsid w:val="00882E2E"/>
    <w:rsid w:val="008854DB"/>
    <w:rsid w:val="00893D69"/>
    <w:rsid w:val="008A3B35"/>
    <w:rsid w:val="008A4DB3"/>
    <w:rsid w:val="008A66B2"/>
    <w:rsid w:val="008C2B84"/>
    <w:rsid w:val="008C4327"/>
    <w:rsid w:val="008D4C4B"/>
    <w:rsid w:val="008D4C66"/>
    <w:rsid w:val="008D52B8"/>
    <w:rsid w:val="008D641F"/>
    <w:rsid w:val="008E0E1C"/>
    <w:rsid w:val="008E174C"/>
    <w:rsid w:val="008E2D6A"/>
    <w:rsid w:val="008E328E"/>
    <w:rsid w:val="008E5937"/>
    <w:rsid w:val="008E5B83"/>
    <w:rsid w:val="008E5FCB"/>
    <w:rsid w:val="008F5E01"/>
    <w:rsid w:val="009026B1"/>
    <w:rsid w:val="00907EC5"/>
    <w:rsid w:val="00911870"/>
    <w:rsid w:val="009162A8"/>
    <w:rsid w:val="009261B1"/>
    <w:rsid w:val="00926BE6"/>
    <w:rsid w:val="00943336"/>
    <w:rsid w:val="009452EC"/>
    <w:rsid w:val="00946560"/>
    <w:rsid w:val="00951699"/>
    <w:rsid w:val="009618E7"/>
    <w:rsid w:val="0096636C"/>
    <w:rsid w:val="00967BBA"/>
    <w:rsid w:val="00972B21"/>
    <w:rsid w:val="00973F6C"/>
    <w:rsid w:val="009756C6"/>
    <w:rsid w:val="00984901"/>
    <w:rsid w:val="00986B58"/>
    <w:rsid w:val="009A28F3"/>
    <w:rsid w:val="009A6185"/>
    <w:rsid w:val="009C09C6"/>
    <w:rsid w:val="009C6E85"/>
    <w:rsid w:val="009D0C80"/>
    <w:rsid w:val="009D3EA0"/>
    <w:rsid w:val="009E4980"/>
    <w:rsid w:val="009E5548"/>
    <w:rsid w:val="009E5990"/>
    <w:rsid w:val="009E7028"/>
    <w:rsid w:val="009F2AC4"/>
    <w:rsid w:val="00A04809"/>
    <w:rsid w:val="00A06E5D"/>
    <w:rsid w:val="00A167FC"/>
    <w:rsid w:val="00A231BA"/>
    <w:rsid w:val="00A25B89"/>
    <w:rsid w:val="00A3264A"/>
    <w:rsid w:val="00A4405F"/>
    <w:rsid w:val="00A502C3"/>
    <w:rsid w:val="00A529FE"/>
    <w:rsid w:val="00A532B3"/>
    <w:rsid w:val="00A70AEC"/>
    <w:rsid w:val="00A713FF"/>
    <w:rsid w:val="00A809DB"/>
    <w:rsid w:val="00A84757"/>
    <w:rsid w:val="00A90607"/>
    <w:rsid w:val="00A95955"/>
    <w:rsid w:val="00AA5447"/>
    <w:rsid w:val="00AC4518"/>
    <w:rsid w:val="00AD329E"/>
    <w:rsid w:val="00AD3B4E"/>
    <w:rsid w:val="00AE311E"/>
    <w:rsid w:val="00AF215E"/>
    <w:rsid w:val="00AF3434"/>
    <w:rsid w:val="00B030EB"/>
    <w:rsid w:val="00B05B90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66A4"/>
    <w:rsid w:val="00B67B81"/>
    <w:rsid w:val="00B73D11"/>
    <w:rsid w:val="00B76A26"/>
    <w:rsid w:val="00B772A9"/>
    <w:rsid w:val="00B84CA1"/>
    <w:rsid w:val="00B97A70"/>
    <w:rsid w:val="00BD38F2"/>
    <w:rsid w:val="00BD3D9C"/>
    <w:rsid w:val="00BD55AA"/>
    <w:rsid w:val="00BF22D7"/>
    <w:rsid w:val="00BF2556"/>
    <w:rsid w:val="00C056E8"/>
    <w:rsid w:val="00C064E6"/>
    <w:rsid w:val="00C10D2C"/>
    <w:rsid w:val="00C17101"/>
    <w:rsid w:val="00C21566"/>
    <w:rsid w:val="00C25587"/>
    <w:rsid w:val="00C36C6D"/>
    <w:rsid w:val="00C43158"/>
    <w:rsid w:val="00C5609E"/>
    <w:rsid w:val="00C66F44"/>
    <w:rsid w:val="00C6730F"/>
    <w:rsid w:val="00C67380"/>
    <w:rsid w:val="00C67658"/>
    <w:rsid w:val="00C714DA"/>
    <w:rsid w:val="00C759C3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CD3C5A"/>
    <w:rsid w:val="00CD719A"/>
    <w:rsid w:val="00CE0D21"/>
    <w:rsid w:val="00CF0CED"/>
    <w:rsid w:val="00CF1ED7"/>
    <w:rsid w:val="00D12243"/>
    <w:rsid w:val="00D16E17"/>
    <w:rsid w:val="00D22CE8"/>
    <w:rsid w:val="00D366CC"/>
    <w:rsid w:val="00D37FB3"/>
    <w:rsid w:val="00D40331"/>
    <w:rsid w:val="00D416B0"/>
    <w:rsid w:val="00D46888"/>
    <w:rsid w:val="00D532D2"/>
    <w:rsid w:val="00D54E88"/>
    <w:rsid w:val="00D55C9F"/>
    <w:rsid w:val="00D638A9"/>
    <w:rsid w:val="00D71E2E"/>
    <w:rsid w:val="00D86147"/>
    <w:rsid w:val="00DA172E"/>
    <w:rsid w:val="00DA6B16"/>
    <w:rsid w:val="00DB0A83"/>
    <w:rsid w:val="00DB3C96"/>
    <w:rsid w:val="00DC24BD"/>
    <w:rsid w:val="00DC2C05"/>
    <w:rsid w:val="00DC5728"/>
    <w:rsid w:val="00DC6840"/>
    <w:rsid w:val="00DD0B33"/>
    <w:rsid w:val="00DD1799"/>
    <w:rsid w:val="00DD5566"/>
    <w:rsid w:val="00DD6394"/>
    <w:rsid w:val="00DD747E"/>
    <w:rsid w:val="00DF6379"/>
    <w:rsid w:val="00E04D6A"/>
    <w:rsid w:val="00E16961"/>
    <w:rsid w:val="00E22B09"/>
    <w:rsid w:val="00E26193"/>
    <w:rsid w:val="00E33AA2"/>
    <w:rsid w:val="00E351A8"/>
    <w:rsid w:val="00E35499"/>
    <w:rsid w:val="00E35810"/>
    <w:rsid w:val="00E44FD3"/>
    <w:rsid w:val="00E535BC"/>
    <w:rsid w:val="00E55FA2"/>
    <w:rsid w:val="00E71059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69EE"/>
    <w:rsid w:val="00EC7F2F"/>
    <w:rsid w:val="00ED14C3"/>
    <w:rsid w:val="00ED41B4"/>
    <w:rsid w:val="00ED795E"/>
    <w:rsid w:val="00EE3B11"/>
    <w:rsid w:val="00EF1D42"/>
    <w:rsid w:val="00EF2BD4"/>
    <w:rsid w:val="00EF4B51"/>
    <w:rsid w:val="00F02E46"/>
    <w:rsid w:val="00F0302F"/>
    <w:rsid w:val="00F04F04"/>
    <w:rsid w:val="00F055DB"/>
    <w:rsid w:val="00F119D4"/>
    <w:rsid w:val="00F12F0D"/>
    <w:rsid w:val="00F154C7"/>
    <w:rsid w:val="00F17481"/>
    <w:rsid w:val="00F23F0D"/>
    <w:rsid w:val="00F32941"/>
    <w:rsid w:val="00F3572C"/>
    <w:rsid w:val="00F40AB8"/>
    <w:rsid w:val="00F432B6"/>
    <w:rsid w:val="00F43E67"/>
    <w:rsid w:val="00F513CB"/>
    <w:rsid w:val="00F5279A"/>
    <w:rsid w:val="00F54600"/>
    <w:rsid w:val="00F54708"/>
    <w:rsid w:val="00F62504"/>
    <w:rsid w:val="00F6274F"/>
    <w:rsid w:val="00F64EAA"/>
    <w:rsid w:val="00F66E04"/>
    <w:rsid w:val="00F7021E"/>
    <w:rsid w:val="00F733E8"/>
    <w:rsid w:val="00FA312F"/>
    <w:rsid w:val="00FB5656"/>
    <w:rsid w:val="00FC7677"/>
    <w:rsid w:val="00FE26C4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aliases w:val="Bullet Number,lp1,Bullet List,FooterText,List Paragraph1,List Paragraph11,List Bullet (DT),lp11,Use Case List Paragraph,Odrážky,Odstavec_muj,Nad,Barevný seznam – zvýraznění 11,A-Odrážky1,_Odstavec se seznamem,Odstavec_muj1,Nad1,Nad2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aliases w:val="Bullet Number Char,lp1 Char,Bullet List Char,FooterText Char,List Paragraph1 Char,List Paragraph11 Char,List Bullet (DT) Char,lp11 Char,Use Case List Paragraph Char,Odrážky Char,Odstavec_muj Char,Nad Char,A-Odrážky1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D7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hyperlink" Target="mailto:jolana.skorepova@anec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el.svitil@mpsv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88A72-25AA-4FB3-B7B1-BDA602C4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2184</Words>
  <Characters>12889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Piskořová Veronika Mgr. (MPSV)</cp:lastModifiedBy>
  <cp:revision>4</cp:revision>
  <cp:lastPrinted>2023-10-09T07:13:00Z</cp:lastPrinted>
  <dcterms:created xsi:type="dcterms:W3CDTF">2026-03-04T18:09:00Z</dcterms:created>
  <dcterms:modified xsi:type="dcterms:W3CDTF">2026-03-16T10:42:00Z</dcterms:modified>
</cp:coreProperties>
</file>