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5E1D" w14:textId="77777777" w:rsidR="0051193E" w:rsidRPr="00B0790F" w:rsidRDefault="0051193E" w:rsidP="00256FB9">
      <w:pPr>
        <w:rPr>
          <w:b/>
          <w:bCs/>
          <w:sz w:val="32"/>
          <w:szCs w:val="32"/>
        </w:rPr>
      </w:pPr>
      <w:r w:rsidRPr="00B0790F">
        <w:rPr>
          <w:b/>
          <w:bCs/>
          <w:sz w:val="32"/>
          <w:szCs w:val="32"/>
        </w:rPr>
        <w:t>Dodatek č. 1 ke smlouvě o dílo – změna rozsahu plnění a ceny</w:t>
      </w:r>
    </w:p>
    <w:p w14:paraId="0A4A4486" w14:textId="77777777" w:rsidR="0051193E" w:rsidRPr="0051193E" w:rsidRDefault="0051193E" w:rsidP="0051193E">
      <w:r w:rsidRPr="0051193E">
        <w:t>uzavřený mezi</w:t>
      </w:r>
    </w:p>
    <w:p w14:paraId="5E336ED1" w14:textId="54C33271" w:rsidR="0051193E" w:rsidRPr="0051193E" w:rsidRDefault="0051193E" w:rsidP="0051193E">
      <w:r w:rsidRPr="0051193E">
        <w:rPr>
          <w:b/>
          <w:bCs/>
        </w:rPr>
        <w:t>České vysoké učení technické v Praze</w:t>
      </w:r>
      <w:r w:rsidRPr="0051193E">
        <w:br/>
        <w:t>Fakulta elektrotechnická</w:t>
      </w:r>
      <w:r w:rsidRPr="0051193E">
        <w:br/>
        <w:t>se sídlem Jugoslávských partyzánů 1580/3, 160 00 Praha 6 – Dejvice</w:t>
      </w:r>
      <w:r w:rsidRPr="0051193E">
        <w:br/>
        <w:t>IČO: 68407700</w:t>
      </w:r>
      <w:r w:rsidRPr="0051193E">
        <w:br/>
        <w:t xml:space="preserve">zastoupené </w:t>
      </w:r>
      <w:r w:rsidR="00044CDC">
        <w:t>XXX</w:t>
      </w:r>
    </w:p>
    <w:p w14:paraId="762F3338" w14:textId="77777777" w:rsidR="0051193E" w:rsidRPr="0051193E" w:rsidRDefault="0051193E" w:rsidP="0051193E">
      <w:r w:rsidRPr="0051193E">
        <w:t>(dále jen „objednatel“)</w:t>
      </w:r>
    </w:p>
    <w:p w14:paraId="0BCCEFBF" w14:textId="77777777" w:rsidR="0051193E" w:rsidRPr="0051193E" w:rsidRDefault="0051193E" w:rsidP="0051193E">
      <w:r w:rsidRPr="0051193E">
        <w:t>a</w:t>
      </w:r>
    </w:p>
    <w:p w14:paraId="5016245D" w14:textId="53706EBA" w:rsidR="0051193E" w:rsidRPr="0051193E" w:rsidRDefault="0051193E" w:rsidP="0051193E">
      <w:proofErr w:type="spellStart"/>
      <w:r w:rsidRPr="0051193E">
        <w:rPr>
          <w:b/>
          <w:bCs/>
        </w:rPr>
        <w:t>Vertical</w:t>
      </w:r>
      <w:proofErr w:type="spellEnd"/>
      <w:r w:rsidRPr="0051193E">
        <w:rPr>
          <w:b/>
          <w:bCs/>
        </w:rPr>
        <w:t xml:space="preserve"> </w:t>
      </w:r>
      <w:proofErr w:type="spellStart"/>
      <w:r w:rsidRPr="0051193E">
        <w:rPr>
          <w:b/>
          <w:bCs/>
        </w:rPr>
        <w:t>production</w:t>
      </w:r>
      <w:proofErr w:type="spellEnd"/>
      <w:r w:rsidRPr="0051193E">
        <w:rPr>
          <w:b/>
          <w:bCs/>
        </w:rPr>
        <w:t xml:space="preserve"> s.r.o.</w:t>
      </w:r>
      <w:r w:rsidRPr="0051193E">
        <w:br/>
        <w:t>se sídlem Preslova 72/25, 150 00 Praha</w:t>
      </w:r>
      <w:r w:rsidRPr="0051193E">
        <w:br/>
        <w:t>IČO: 09693432</w:t>
      </w:r>
      <w:r w:rsidRPr="0051193E">
        <w:br/>
        <w:t xml:space="preserve">zastoupená jednatelem </w:t>
      </w:r>
      <w:r w:rsidR="00BA5659">
        <w:t>Davidem Řehořkou</w:t>
      </w:r>
    </w:p>
    <w:p w14:paraId="7C7DE38A" w14:textId="77777777" w:rsidR="0051193E" w:rsidRPr="0051193E" w:rsidRDefault="0051193E" w:rsidP="0051193E">
      <w:r w:rsidRPr="0051193E">
        <w:t>(dále jen „zhotovitel“)</w:t>
      </w:r>
    </w:p>
    <w:p w14:paraId="048F2A96" w14:textId="77777777" w:rsidR="0051193E" w:rsidRPr="0051193E" w:rsidRDefault="0051193E" w:rsidP="0051193E">
      <w:r w:rsidRPr="0051193E">
        <w:t>(společně jen „smluvní strany“)</w:t>
      </w:r>
    </w:p>
    <w:p w14:paraId="7748E5A2" w14:textId="1BBC7B31" w:rsidR="004074B2" w:rsidRPr="00B0790F" w:rsidRDefault="0051193E" w:rsidP="0051193E">
      <w:pPr>
        <w:rPr>
          <w:b/>
          <w:bCs/>
        </w:rPr>
      </w:pPr>
      <w:r w:rsidRPr="0051193E">
        <w:t xml:space="preserve">ke </w:t>
      </w:r>
      <w:r w:rsidRPr="0051193E">
        <w:rPr>
          <w:b/>
          <w:bCs/>
        </w:rPr>
        <w:t>Smlouvě o dílo uzavřené dne 7. 8. 2025</w:t>
      </w:r>
    </w:p>
    <w:p w14:paraId="5D765D6D" w14:textId="0BB35A7B" w:rsidR="00FB5829" w:rsidRDefault="00FB5829" w:rsidP="00B0790F">
      <w:pPr>
        <w:spacing w:before="240" w:line="276" w:lineRule="auto"/>
        <w:jc w:val="center"/>
      </w:pPr>
      <w:r w:rsidRPr="0051193E">
        <w:rPr>
          <w:b/>
          <w:bCs/>
        </w:rPr>
        <w:t>Článek I</w:t>
      </w:r>
      <w:r>
        <w:rPr>
          <w:b/>
          <w:bCs/>
        </w:rPr>
        <w:t xml:space="preserve"> – Důvod uzavření dodatku</w:t>
      </w:r>
    </w:p>
    <w:p w14:paraId="55B55425" w14:textId="28CECAD6" w:rsidR="004074B2" w:rsidRPr="00B0790F" w:rsidRDefault="00FB5829" w:rsidP="00B0790F">
      <w:pPr>
        <w:spacing w:line="276" w:lineRule="auto"/>
        <w:jc w:val="both"/>
        <w:rPr>
          <w:b/>
          <w:bCs/>
        </w:rPr>
      </w:pPr>
      <w:r>
        <w:t xml:space="preserve">1. </w:t>
      </w:r>
      <w:r w:rsidR="0051193E" w:rsidRPr="0051193E">
        <w:t xml:space="preserve">Smluvní strany se dohodly na uzavření tohoto dodatku </w:t>
      </w:r>
      <w:r w:rsidR="0051193E" w:rsidRPr="0051193E">
        <w:rPr>
          <w:b/>
          <w:bCs/>
        </w:rPr>
        <w:t>z důvodu úpravy rozsahu poskytovaného plnění a odpovídající úpravy ceny na základě dohody smluvních stran.</w:t>
      </w:r>
    </w:p>
    <w:p w14:paraId="7F314F31" w14:textId="38131769" w:rsidR="006A26EB" w:rsidRPr="0051193E" w:rsidRDefault="0051193E" w:rsidP="00B0790F">
      <w:pPr>
        <w:spacing w:line="276" w:lineRule="auto"/>
        <w:jc w:val="center"/>
        <w:rPr>
          <w:b/>
          <w:bCs/>
        </w:rPr>
      </w:pPr>
      <w:r w:rsidRPr="0051193E">
        <w:rPr>
          <w:b/>
          <w:bCs/>
        </w:rPr>
        <w:t xml:space="preserve">Článek </w:t>
      </w:r>
      <w:r w:rsidR="00FB5829">
        <w:rPr>
          <w:b/>
          <w:bCs/>
        </w:rPr>
        <w:t>I</w:t>
      </w:r>
      <w:r w:rsidRPr="0051193E">
        <w:rPr>
          <w:b/>
          <w:bCs/>
        </w:rPr>
        <w:t>I</w:t>
      </w:r>
      <w:r w:rsidR="00F77541">
        <w:rPr>
          <w:b/>
          <w:bCs/>
        </w:rPr>
        <w:t xml:space="preserve"> – Změna předmětu smlouv</w:t>
      </w:r>
      <w:r w:rsidR="006A26EB">
        <w:rPr>
          <w:b/>
          <w:bCs/>
        </w:rPr>
        <w:t>y</w:t>
      </w:r>
    </w:p>
    <w:p w14:paraId="49E45B5D" w14:textId="2C0ACF67" w:rsidR="0051193E" w:rsidRPr="0051193E" w:rsidRDefault="0051193E" w:rsidP="00B0790F">
      <w:pPr>
        <w:pStyle w:val="Odstavecseseznamem"/>
        <w:numPr>
          <w:ilvl w:val="0"/>
          <w:numId w:val="10"/>
        </w:numPr>
        <w:spacing w:line="360" w:lineRule="auto"/>
        <w:ind w:left="426"/>
        <w:jc w:val="both"/>
      </w:pPr>
      <w:r w:rsidRPr="0051193E">
        <w:t xml:space="preserve">Smluvní strany se dohodly, že </w:t>
      </w:r>
      <w:r w:rsidR="004F6103">
        <w:t xml:space="preserve">znění </w:t>
      </w:r>
      <w:r w:rsidRPr="0051193E">
        <w:t xml:space="preserve">ustanovení </w:t>
      </w:r>
      <w:r w:rsidRPr="00B0790F">
        <w:rPr>
          <w:b/>
          <w:bCs/>
        </w:rPr>
        <w:t>čl. 1</w:t>
      </w:r>
      <w:r w:rsidR="004F6103" w:rsidRPr="00B0790F">
        <w:rPr>
          <w:b/>
          <w:bCs/>
        </w:rPr>
        <w:t xml:space="preserve"> odst</w:t>
      </w:r>
      <w:r w:rsidRPr="00B0790F">
        <w:rPr>
          <w:b/>
          <w:bCs/>
        </w:rPr>
        <w:t>.1 smlouvy</w:t>
      </w:r>
      <w:r w:rsidRPr="0051193E">
        <w:t xml:space="preserve"> se mění takto:</w:t>
      </w:r>
    </w:p>
    <w:p w14:paraId="2730C91A" w14:textId="51B12E32" w:rsidR="00AF1380" w:rsidRPr="00050B19" w:rsidRDefault="00AF1380" w:rsidP="00B0790F">
      <w:pPr>
        <w:pStyle w:val="Odstavecseseznamem"/>
        <w:numPr>
          <w:ilvl w:val="1"/>
          <w:numId w:val="2"/>
        </w:numPr>
        <w:spacing w:line="276" w:lineRule="auto"/>
        <w:ind w:left="840"/>
        <w:jc w:val="both"/>
      </w:pPr>
      <w:r w:rsidRPr="00050B19">
        <w:t>Tato smlouva trvá od 7. 8. 2025 do 31. 7. 2026.</w:t>
      </w:r>
    </w:p>
    <w:p w14:paraId="5CB378D8" w14:textId="092D3AAE" w:rsidR="004F6103" w:rsidRPr="00050B19" w:rsidRDefault="004F6103" w:rsidP="00B0790F">
      <w:pPr>
        <w:pStyle w:val="Odstavecseseznamem"/>
        <w:numPr>
          <w:ilvl w:val="1"/>
          <w:numId w:val="2"/>
        </w:numPr>
        <w:spacing w:line="276" w:lineRule="auto"/>
        <w:ind w:left="840"/>
        <w:jc w:val="both"/>
      </w:pPr>
      <w:r w:rsidRPr="00050B19">
        <w:t>Na základě této smlouvy se zhotovitel zavazuje:</w:t>
      </w:r>
    </w:p>
    <w:p w14:paraId="05279616" w14:textId="1C09AA7E" w:rsidR="00AF1380" w:rsidRPr="00050B19" w:rsidRDefault="00AF1380" w:rsidP="00EF04E5">
      <w:pPr>
        <w:pStyle w:val="Odstavecseseznamem"/>
        <w:numPr>
          <w:ilvl w:val="0"/>
          <w:numId w:val="3"/>
        </w:numPr>
        <w:spacing w:line="276" w:lineRule="auto"/>
        <w:ind w:left="1200"/>
        <w:jc w:val="both"/>
      </w:pPr>
      <w:r w:rsidRPr="00050B19">
        <w:t xml:space="preserve">Vytvořit dílo ve formě celkem </w:t>
      </w:r>
      <w:r w:rsidRPr="00050B19">
        <w:rPr>
          <w:b/>
          <w:bCs/>
        </w:rPr>
        <w:t>4 videí za každý kalendářní měsíc</w:t>
      </w:r>
      <w:r w:rsidRPr="00050B19">
        <w:t xml:space="preserve"> po dobu od 7. 8. 2025 do 28. 2. 2026 ve formátu specifikovaném v odst. 1.2 této smlouvy. Zhotovitel zároveň vytvoří ke každému videu textové podklady ke zveřejnění na sociálních sítích.</w:t>
      </w:r>
    </w:p>
    <w:p w14:paraId="5891D03B" w14:textId="771F5C84" w:rsidR="0051193E" w:rsidRPr="00050B19" w:rsidRDefault="00AF1380" w:rsidP="00B0790F">
      <w:pPr>
        <w:pStyle w:val="Odstavecseseznamem"/>
        <w:numPr>
          <w:ilvl w:val="0"/>
          <w:numId w:val="3"/>
        </w:numPr>
        <w:spacing w:line="276" w:lineRule="auto"/>
        <w:ind w:left="1200"/>
        <w:jc w:val="both"/>
      </w:pPr>
      <w:r w:rsidRPr="00050B19">
        <w:t>V</w:t>
      </w:r>
      <w:r w:rsidR="0051193E" w:rsidRPr="00050B19">
        <w:t xml:space="preserve">ytvořit dílo ve formě celkem </w:t>
      </w:r>
      <w:r w:rsidR="0051193E" w:rsidRPr="00050B19">
        <w:rPr>
          <w:b/>
          <w:bCs/>
        </w:rPr>
        <w:t>3 videí za každý kalendářní měsíc</w:t>
      </w:r>
      <w:r w:rsidR="0051193E" w:rsidRPr="00050B19">
        <w:t xml:space="preserve"> po dobu </w:t>
      </w:r>
      <w:r w:rsidR="00F77541" w:rsidRPr="00050B19">
        <w:t xml:space="preserve">od </w:t>
      </w:r>
      <w:r w:rsidRPr="00050B19">
        <w:t>1</w:t>
      </w:r>
      <w:r w:rsidR="00F77541" w:rsidRPr="00050B19">
        <w:t xml:space="preserve">. </w:t>
      </w:r>
      <w:r w:rsidRPr="00050B19">
        <w:t>3</w:t>
      </w:r>
      <w:r w:rsidR="00F77541" w:rsidRPr="00050B19">
        <w:t>. 202</w:t>
      </w:r>
      <w:r w:rsidRPr="00050B19">
        <w:t>6</w:t>
      </w:r>
      <w:r w:rsidR="00F77541" w:rsidRPr="00050B19">
        <w:t xml:space="preserve"> do 31. 7. 2026</w:t>
      </w:r>
      <w:r w:rsidR="00E16EA0" w:rsidRPr="00050B19">
        <w:t xml:space="preserve"> </w:t>
      </w:r>
      <w:r w:rsidR="0051193E" w:rsidRPr="00050B19">
        <w:t>ve formátu specifikovaném v odst. 1.2 této smlouvy. Zhotovitel zároveň vytvoří ke každému videu textové podklady ke zveřejnění na sociálních sítích.</w:t>
      </w:r>
    </w:p>
    <w:p w14:paraId="1797CDD0" w14:textId="6B54EA3A" w:rsidR="004F6103" w:rsidRPr="0051193E" w:rsidRDefault="004F6103" w:rsidP="00B0790F">
      <w:pPr>
        <w:pStyle w:val="Odstavecseseznamem"/>
        <w:numPr>
          <w:ilvl w:val="0"/>
          <w:numId w:val="3"/>
        </w:numPr>
        <w:spacing w:line="276" w:lineRule="auto"/>
        <w:ind w:left="1200"/>
        <w:jc w:val="both"/>
      </w:pPr>
      <w:r>
        <w:t>Poskytnout užívací práva (licenci) zhotovitele k užití díla v rozsahu, způsobem a za podmínek stanovených smlouvou.</w:t>
      </w:r>
    </w:p>
    <w:p w14:paraId="70DAE0B3" w14:textId="254EDF5B" w:rsidR="00F77541" w:rsidRDefault="00F77541" w:rsidP="00B0790F">
      <w:pPr>
        <w:pStyle w:val="Odstavecseseznamem"/>
        <w:numPr>
          <w:ilvl w:val="0"/>
          <w:numId w:val="10"/>
        </w:numPr>
        <w:spacing w:before="240" w:line="360" w:lineRule="auto"/>
        <w:ind w:left="426"/>
        <w:jc w:val="both"/>
      </w:pPr>
      <w:r>
        <w:t xml:space="preserve">Smluvní strany se dohodly, že znění ustanovení </w:t>
      </w:r>
      <w:r w:rsidRPr="00B0790F">
        <w:rPr>
          <w:b/>
          <w:bCs/>
        </w:rPr>
        <w:t>čl. 1 odst. 2</w:t>
      </w:r>
      <w:r>
        <w:t xml:space="preserve"> se mění takto:</w:t>
      </w:r>
    </w:p>
    <w:p w14:paraId="659A9128" w14:textId="117A40DD" w:rsidR="00B0790F" w:rsidRDefault="00B0790F" w:rsidP="001621F4">
      <w:pPr>
        <w:pStyle w:val="Odstavecseseznamem"/>
        <w:numPr>
          <w:ilvl w:val="1"/>
          <w:numId w:val="12"/>
        </w:numPr>
        <w:spacing w:line="276" w:lineRule="auto"/>
        <w:ind w:left="851"/>
        <w:jc w:val="both"/>
      </w:pPr>
      <w:r>
        <w:lastRenderedPageBreak/>
        <w:t xml:space="preserve">Pro </w:t>
      </w:r>
      <w:r w:rsidRPr="00F77541">
        <w:t xml:space="preserve">účely této smlouvy se dílem rozumí soubor </w:t>
      </w:r>
      <w:r w:rsidR="00EF04E5" w:rsidRPr="00050B19">
        <w:rPr>
          <w:b/>
          <w:bCs/>
        </w:rPr>
        <w:t>čtyř,</w:t>
      </w:r>
      <w:r w:rsidR="00EF04E5" w:rsidRPr="00050B19">
        <w:t xml:space="preserve"> resp. </w:t>
      </w:r>
      <w:r w:rsidRPr="00050B19">
        <w:rPr>
          <w:b/>
          <w:bCs/>
        </w:rPr>
        <w:t>tří</w:t>
      </w:r>
      <w:r w:rsidRPr="00F77541">
        <w:t xml:space="preserve"> samostatných videí vytvořených zhotovitelem za příslušný kalendářní měsíc. Videa budou zhotovena v rozsahu 45 až 90 vteřin, ve formátu vhodném pro Instagram </w:t>
      </w:r>
      <w:proofErr w:type="spellStart"/>
      <w:r w:rsidRPr="00F77541">
        <w:t>reels</w:t>
      </w:r>
      <w:proofErr w:type="spellEnd"/>
      <w:r w:rsidRPr="00F77541">
        <w:t xml:space="preserve">, Facebook a YouTube </w:t>
      </w:r>
      <w:proofErr w:type="spellStart"/>
      <w:r w:rsidRPr="00F77541">
        <w:t>Shorts</w:t>
      </w:r>
      <w:proofErr w:type="spellEnd"/>
      <w:r w:rsidRPr="00F77541">
        <w:t xml:space="preserve">. Videa budou zhotovena na výšku (poměr stran 9:16), v rozlišení 1080 x 1920 </w:t>
      </w:r>
      <w:proofErr w:type="spellStart"/>
      <w:r w:rsidRPr="00F77541">
        <w:t>px</w:t>
      </w:r>
      <w:proofErr w:type="spellEnd"/>
      <w:r w:rsidRPr="00F77541">
        <w:t>, ve formátu .mp4 (kodek H.264, zvuk AAC) a se stereo zvukem. Ke každému videu také zhotovitel vytvoří titulky odpovídající zvukové stopě, které budou napevno vloženy do videa tak, aby byly dobře čitelné a srozumitelné i bez zapnutého zvuku. Před předáním díla je zhotovitel povinen zajistit jazykovou korekturu titulků osobou s výbornou znalostí českého jazyka na odborné úrovni.</w:t>
      </w:r>
    </w:p>
    <w:p w14:paraId="0149EACA" w14:textId="0D5BC4B0" w:rsidR="004074B2" w:rsidRDefault="00F77541" w:rsidP="001873A7">
      <w:pPr>
        <w:pStyle w:val="Odstavecseseznamem"/>
        <w:numPr>
          <w:ilvl w:val="0"/>
          <w:numId w:val="11"/>
        </w:numPr>
        <w:spacing w:before="240" w:line="276" w:lineRule="auto"/>
        <w:ind w:left="426"/>
        <w:jc w:val="both"/>
      </w:pPr>
      <w:r w:rsidRPr="0051193E">
        <w:t xml:space="preserve">Ostatní ustanovení článku </w:t>
      </w:r>
      <w:r>
        <w:t>1</w:t>
      </w:r>
      <w:r w:rsidRPr="0051193E">
        <w:t xml:space="preserve"> smlouvy zůstávají beze změny.</w:t>
      </w:r>
    </w:p>
    <w:p w14:paraId="1CC06018" w14:textId="0B0C5C4F" w:rsidR="0051193E" w:rsidRPr="0051193E" w:rsidRDefault="0051193E" w:rsidP="00B0790F">
      <w:pPr>
        <w:spacing w:before="240" w:line="276" w:lineRule="auto"/>
        <w:jc w:val="center"/>
        <w:rPr>
          <w:b/>
          <w:bCs/>
        </w:rPr>
      </w:pPr>
      <w:r w:rsidRPr="0051193E">
        <w:rPr>
          <w:b/>
          <w:bCs/>
        </w:rPr>
        <w:t xml:space="preserve">Článek </w:t>
      </w:r>
      <w:r w:rsidR="00FB5829">
        <w:rPr>
          <w:b/>
          <w:bCs/>
        </w:rPr>
        <w:t>I</w:t>
      </w:r>
      <w:r w:rsidRPr="0051193E">
        <w:rPr>
          <w:b/>
          <w:bCs/>
        </w:rPr>
        <w:t>II</w:t>
      </w:r>
      <w:r w:rsidR="00F77541">
        <w:rPr>
          <w:b/>
          <w:bCs/>
        </w:rPr>
        <w:t xml:space="preserve"> – Změna ceny za dílo</w:t>
      </w:r>
    </w:p>
    <w:p w14:paraId="15C02580" w14:textId="12E53CFA" w:rsidR="0051193E" w:rsidRPr="0051193E" w:rsidRDefault="0051193E" w:rsidP="001873A7">
      <w:pPr>
        <w:pStyle w:val="Odstavecseseznamem"/>
        <w:numPr>
          <w:ilvl w:val="1"/>
          <w:numId w:val="3"/>
        </w:numPr>
        <w:spacing w:line="360" w:lineRule="auto"/>
        <w:ind w:left="284"/>
        <w:jc w:val="both"/>
      </w:pPr>
      <w:r w:rsidRPr="0051193E">
        <w:t xml:space="preserve">Smluvní strany se dohodly, že </w:t>
      </w:r>
      <w:r w:rsidR="00F77541">
        <w:t xml:space="preserve">znění </w:t>
      </w:r>
      <w:r w:rsidRPr="0051193E">
        <w:t xml:space="preserve">ustanovení </w:t>
      </w:r>
      <w:r w:rsidRPr="00B0790F">
        <w:rPr>
          <w:b/>
          <w:bCs/>
        </w:rPr>
        <w:t>čl. 4</w:t>
      </w:r>
      <w:r w:rsidR="00F77541" w:rsidRPr="00B0790F">
        <w:rPr>
          <w:b/>
          <w:bCs/>
        </w:rPr>
        <w:t xml:space="preserve"> odst</w:t>
      </w:r>
      <w:r w:rsidRPr="00B0790F">
        <w:rPr>
          <w:b/>
          <w:bCs/>
        </w:rPr>
        <w:t>.1 smlouvy</w:t>
      </w:r>
      <w:r w:rsidRPr="0051193E">
        <w:t xml:space="preserve"> se mění takto:</w:t>
      </w:r>
    </w:p>
    <w:p w14:paraId="06BF6899" w14:textId="77777777" w:rsidR="00B0790F" w:rsidRPr="00B0790F" w:rsidRDefault="00B0790F" w:rsidP="00B0790F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</w:rPr>
      </w:pPr>
    </w:p>
    <w:p w14:paraId="76308806" w14:textId="77777777" w:rsidR="00B0790F" w:rsidRPr="00B0790F" w:rsidRDefault="00B0790F" w:rsidP="00B0790F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</w:rPr>
      </w:pPr>
    </w:p>
    <w:p w14:paraId="13AD06F1" w14:textId="77777777" w:rsidR="00B0790F" w:rsidRPr="00B0790F" w:rsidRDefault="00B0790F" w:rsidP="00B0790F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</w:rPr>
      </w:pPr>
    </w:p>
    <w:p w14:paraId="691F72C9" w14:textId="77777777" w:rsidR="00B0790F" w:rsidRPr="00B0790F" w:rsidRDefault="00B0790F" w:rsidP="00B0790F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</w:rPr>
      </w:pPr>
    </w:p>
    <w:p w14:paraId="4FD952BF" w14:textId="66467BF7" w:rsidR="00EF04E5" w:rsidRDefault="00B0790F" w:rsidP="00EF04E5">
      <w:pPr>
        <w:pStyle w:val="Odstavecseseznamem"/>
        <w:numPr>
          <w:ilvl w:val="1"/>
          <w:numId w:val="7"/>
        </w:numPr>
        <w:spacing w:line="276" w:lineRule="auto"/>
        <w:ind w:left="993"/>
        <w:jc w:val="both"/>
      </w:pPr>
      <w:r>
        <w:t>S</w:t>
      </w:r>
      <w:r w:rsidRPr="0051193E">
        <w:t>mluvní strany se dohodly, že</w:t>
      </w:r>
      <w:r w:rsidR="00EF04E5">
        <w:t>:</w:t>
      </w:r>
    </w:p>
    <w:p w14:paraId="36B9F8EB" w14:textId="7F7C183F" w:rsidR="00EF04E5" w:rsidRDefault="00EF04E5" w:rsidP="00EF04E5">
      <w:pPr>
        <w:pStyle w:val="Odstavecseseznamem"/>
        <w:numPr>
          <w:ilvl w:val="2"/>
          <w:numId w:val="7"/>
        </w:numPr>
        <w:spacing w:line="276" w:lineRule="auto"/>
        <w:ind w:left="1418"/>
        <w:jc w:val="both"/>
      </w:pPr>
      <w:r>
        <w:t xml:space="preserve">Zhotoviteli za jedno dílo v období od 7. 8. 2025 do 28. 2. 2026, tedy za </w:t>
      </w:r>
      <w:r w:rsidRPr="00EF04E5">
        <w:rPr>
          <w:b/>
          <w:bCs/>
        </w:rPr>
        <w:t>čtyři videa</w:t>
      </w:r>
      <w:r>
        <w:t xml:space="preserve"> </w:t>
      </w:r>
      <w:r w:rsidRPr="0051193E">
        <w:rPr>
          <w:b/>
          <w:bCs/>
        </w:rPr>
        <w:t>zhotovená za jeden kalendářní měsíc</w:t>
      </w:r>
      <w:r w:rsidRPr="0051193E">
        <w:t>, náleží měsíční odměna v maximální výši</w:t>
      </w:r>
      <w:r>
        <w:t xml:space="preserve"> </w:t>
      </w:r>
      <w:r w:rsidRPr="00EF04E5">
        <w:rPr>
          <w:b/>
          <w:bCs/>
        </w:rPr>
        <w:t>36 500,- Kč bez DPH</w:t>
      </w:r>
      <w:r>
        <w:t xml:space="preserve"> (</w:t>
      </w:r>
      <w:r w:rsidRPr="0051193E">
        <w:t>dále jako „maximální výše odměny“).</w:t>
      </w:r>
    </w:p>
    <w:p w14:paraId="5E396A29" w14:textId="17C87A81" w:rsidR="00B0790F" w:rsidRDefault="00EF04E5" w:rsidP="00EF04E5">
      <w:pPr>
        <w:pStyle w:val="Odstavecseseznamem"/>
        <w:numPr>
          <w:ilvl w:val="2"/>
          <w:numId w:val="7"/>
        </w:numPr>
        <w:spacing w:line="276" w:lineRule="auto"/>
        <w:ind w:left="1418"/>
        <w:jc w:val="both"/>
      </w:pPr>
      <w:r>
        <w:t xml:space="preserve">Zhotoviteli za jedno dílo v období od </w:t>
      </w:r>
      <w:r w:rsidR="00050B19">
        <w:t>1</w:t>
      </w:r>
      <w:r>
        <w:t xml:space="preserve">. </w:t>
      </w:r>
      <w:r w:rsidR="00050B19">
        <w:t>3</w:t>
      </w:r>
      <w:r>
        <w:t>. 2026 do 31. 7. 2026</w:t>
      </w:r>
      <w:r w:rsidR="00B0790F" w:rsidRPr="0051193E">
        <w:t>,</w:t>
      </w:r>
      <w:r>
        <w:t xml:space="preserve"> tedy za</w:t>
      </w:r>
      <w:r w:rsidR="00B0790F" w:rsidRPr="0051193E">
        <w:t xml:space="preserve"> </w:t>
      </w:r>
      <w:r w:rsidR="00B0790F" w:rsidRPr="0051193E">
        <w:rPr>
          <w:b/>
          <w:bCs/>
        </w:rPr>
        <w:t>tři videa zhotovená za jeden kalendářní měsíc</w:t>
      </w:r>
      <w:r w:rsidR="00B0790F" w:rsidRPr="0051193E">
        <w:t xml:space="preserve">, náleží měsíční odměna v maximální výši </w:t>
      </w:r>
      <w:r w:rsidR="00B0790F" w:rsidRPr="0051193E">
        <w:rPr>
          <w:b/>
          <w:bCs/>
        </w:rPr>
        <w:t>27</w:t>
      </w:r>
      <w:r w:rsidR="00B0790F">
        <w:rPr>
          <w:b/>
          <w:bCs/>
        </w:rPr>
        <w:t> </w:t>
      </w:r>
      <w:r w:rsidR="00B0790F" w:rsidRPr="0051193E">
        <w:rPr>
          <w:b/>
          <w:bCs/>
        </w:rPr>
        <w:t>375</w:t>
      </w:r>
      <w:r w:rsidR="00B0790F">
        <w:rPr>
          <w:b/>
          <w:bCs/>
        </w:rPr>
        <w:t>,-</w:t>
      </w:r>
      <w:r w:rsidR="00B0790F" w:rsidRPr="0051193E">
        <w:rPr>
          <w:b/>
          <w:bCs/>
        </w:rPr>
        <w:t xml:space="preserve"> Kč bez DPH</w:t>
      </w:r>
      <w:r w:rsidR="00B0790F" w:rsidRPr="0051193E">
        <w:t xml:space="preserve"> (dále jako „maximální výše odměny“).</w:t>
      </w:r>
    </w:p>
    <w:p w14:paraId="6BC2D2FF" w14:textId="37BFEB14" w:rsidR="00F77541" w:rsidRDefault="00F77541" w:rsidP="001873A7">
      <w:pPr>
        <w:pStyle w:val="Odstavecseseznamem"/>
        <w:numPr>
          <w:ilvl w:val="1"/>
          <w:numId w:val="3"/>
        </w:numPr>
        <w:spacing w:line="360" w:lineRule="auto"/>
        <w:ind w:left="284"/>
        <w:jc w:val="both"/>
      </w:pPr>
      <w:r>
        <w:t>Smluvní strany se dohodly, že znění ustanovení čl. 4 odst. 2 smlouvy se mění takto:</w:t>
      </w:r>
    </w:p>
    <w:p w14:paraId="60EDF6E9" w14:textId="77777777" w:rsidR="00B0790F" w:rsidRPr="00B0790F" w:rsidRDefault="00B0790F" w:rsidP="00B0790F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</w:rPr>
      </w:pPr>
    </w:p>
    <w:p w14:paraId="6647DDBE" w14:textId="77777777" w:rsidR="00B0790F" w:rsidRPr="00B0790F" w:rsidRDefault="00B0790F" w:rsidP="00B0790F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</w:rPr>
      </w:pPr>
    </w:p>
    <w:p w14:paraId="5DEBFCAF" w14:textId="77777777" w:rsidR="00B0790F" w:rsidRPr="00B0790F" w:rsidRDefault="00B0790F" w:rsidP="00B0790F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</w:rPr>
      </w:pPr>
    </w:p>
    <w:p w14:paraId="4377D485" w14:textId="77777777" w:rsidR="00B0790F" w:rsidRPr="00B0790F" w:rsidRDefault="00B0790F" w:rsidP="00B0790F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</w:rPr>
      </w:pPr>
    </w:p>
    <w:p w14:paraId="716A1F02" w14:textId="77777777" w:rsidR="00B0790F" w:rsidRPr="00B0790F" w:rsidRDefault="00B0790F" w:rsidP="00B0790F">
      <w:pPr>
        <w:pStyle w:val="Odstavecseseznamem"/>
        <w:numPr>
          <w:ilvl w:val="1"/>
          <w:numId w:val="8"/>
        </w:numPr>
        <w:spacing w:line="276" w:lineRule="auto"/>
        <w:jc w:val="both"/>
        <w:rPr>
          <w:vanish/>
        </w:rPr>
      </w:pPr>
    </w:p>
    <w:p w14:paraId="025A23C1" w14:textId="77777777" w:rsidR="00EF04E5" w:rsidRDefault="00B0790F" w:rsidP="00B0790F">
      <w:pPr>
        <w:pStyle w:val="Odstavecseseznamem"/>
        <w:numPr>
          <w:ilvl w:val="1"/>
          <w:numId w:val="8"/>
        </w:numPr>
        <w:spacing w:before="240" w:line="276" w:lineRule="auto"/>
        <w:ind w:left="993"/>
        <w:jc w:val="both"/>
      </w:pPr>
      <w:r>
        <w:t>S</w:t>
      </w:r>
      <w:r w:rsidRPr="0051193E">
        <w:t xml:space="preserve">mluvní strany </w:t>
      </w:r>
      <w:r>
        <w:t>j</w:t>
      </w:r>
      <w:r w:rsidRPr="00F77541">
        <w:t>sou povinny</w:t>
      </w:r>
      <w:r w:rsidR="00EF04E5">
        <w:t>:</w:t>
      </w:r>
    </w:p>
    <w:p w14:paraId="2561DFB7" w14:textId="3A7AFD1B" w:rsidR="00050B19" w:rsidRDefault="00050B19" w:rsidP="00050B19">
      <w:pPr>
        <w:pStyle w:val="Odstavecseseznamem"/>
        <w:numPr>
          <w:ilvl w:val="2"/>
          <w:numId w:val="8"/>
        </w:numPr>
        <w:spacing w:before="240" w:line="276" w:lineRule="auto"/>
        <w:ind w:left="1418"/>
        <w:jc w:val="both"/>
      </w:pPr>
      <w:r>
        <w:t>Se v období od 7. 8. 2025 do 28. 2. 2026</w:t>
      </w:r>
      <w:r w:rsidRPr="00F77541">
        <w:t xml:space="preserve"> na zadávání jednotlivých děl, tedy zhotovení </w:t>
      </w:r>
      <w:r>
        <w:t>čtyř</w:t>
      </w:r>
      <w:r w:rsidRPr="00F77541">
        <w:t xml:space="preserve"> videí za jeden kalendářní měsíc, dohodnout tak, aby cena zadaného díla za jeden kalendářní měsíc nepřesáhla maximální výši odměny, tzn. </w:t>
      </w:r>
      <w:r>
        <w:rPr>
          <w:b/>
          <w:bCs/>
        </w:rPr>
        <w:t>36</w:t>
      </w:r>
      <w:r w:rsidRPr="00B0790F">
        <w:rPr>
          <w:b/>
          <w:bCs/>
        </w:rPr>
        <w:t xml:space="preserve"> </w:t>
      </w:r>
      <w:r>
        <w:rPr>
          <w:b/>
          <w:bCs/>
        </w:rPr>
        <w:t>500</w:t>
      </w:r>
      <w:r w:rsidRPr="00B0790F">
        <w:rPr>
          <w:b/>
          <w:bCs/>
        </w:rPr>
        <w:t>,- Kč bez DPH</w:t>
      </w:r>
      <w:r w:rsidRPr="00F77541">
        <w:t>.</w:t>
      </w:r>
    </w:p>
    <w:p w14:paraId="600A260A" w14:textId="5CFD0E91" w:rsidR="00EF04E5" w:rsidRDefault="00EF04E5" w:rsidP="00050B19">
      <w:pPr>
        <w:pStyle w:val="Odstavecseseznamem"/>
        <w:numPr>
          <w:ilvl w:val="2"/>
          <w:numId w:val="8"/>
        </w:numPr>
        <w:spacing w:before="240" w:line="276" w:lineRule="auto"/>
        <w:ind w:left="1418"/>
        <w:jc w:val="both"/>
      </w:pPr>
      <w:r>
        <w:t>S</w:t>
      </w:r>
      <w:r w:rsidR="00050B19">
        <w:t>e v období od 1. 3. 2026 do 31. 7. 2026</w:t>
      </w:r>
      <w:r w:rsidR="00B0790F" w:rsidRPr="00F77541">
        <w:t xml:space="preserve"> na zadávání jednotlivých děl, tedy zhotovení </w:t>
      </w:r>
      <w:r w:rsidR="00050B19">
        <w:t>tří</w:t>
      </w:r>
      <w:r w:rsidR="00B0790F" w:rsidRPr="00F77541">
        <w:t xml:space="preserve"> videí za jeden kalendářní měsíc, dohodnout tak, aby cena zadaného díla za jeden kalendářní měsíc nepřesáhla maximální výši odměny, tzn. </w:t>
      </w:r>
      <w:r w:rsidR="00B0790F" w:rsidRPr="00B0790F">
        <w:rPr>
          <w:b/>
          <w:bCs/>
        </w:rPr>
        <w:t>27 375,- Kč bez DPH</w:t>
      </w:r>
      <w:r w:rsidR="00B0790F" w:rsidRPr="00F77541">
        <w:t>.</w:t>
      </w:r>
    </w:p>
    <w:p w14:paraId="06E2EA66" w14:textId="1E627BE1" w:rsidR="004074B2" w:rsidRPr="0051193E" w:rsidRDefault="0051193E" w:rsidP="00B0790F">
      <w:pPr>
        <w:pStyle w:val="Odstavecseseznamem"/>
        <w:numPr>
          <w:ilvl w:val="1"/>
          <w:numId w:val="3"/>
        </w:numPr>
        <w:spacing w:line="276" w:lineRule="auto"/>
        <w:ind w:left="284"/>
        <w:jc w:val="both"/>
      </w:pPr>
      <w:r w:rsidRPr="0051193E">
        <w:t>Ostatní ustanovení článku 4 smlouvy zůstávají beze změny.</w:t>
      </w:r>
    </w:p>
    <w:p w14:paraId="37BF65B6" w14:textId="339C7985" w:rsidR="0051193E" w:rsidRPr="0051193E" w:rsidRDefault="0051193E" w:rsidP="00B0790F">
      <w:pPr>
        <w:spacing w:before="240" w:line="276" w:lineRule="auto"/>
        <w:jc w:val="center"/>
        <w:rPr>
          <w:b/>
          <w:bCs/>
        </w:rPr>
      </w:pPr>
      <w:r w:rsidRPr="0051193E">
        <w:rPr>
          <w:b/>
          <w:bCs/>
        </w:rPr>
        <w:t>Článek I</w:t>
      </w:r>
      <w:r w:rsidR="00FB5829">
        <w:rPr>
          <w:b/>
          <w:bCs/>
        </w:rPr>
        <w:t>V</w:t>
      </w:r>
      <w:r w:rsidR="00F77541">
        <w:rPr>
          <w:b/>
          <w:bCs/>
        </w:rPr>
        <w:t xml:space="preserve"> – Účinnost změny</w:t>
      </w:r>
    </w:p>
    <w:p w14:paraId="20A0E904" w14:textId="613451A2" w:rsidR="004074B2" w:rsidRPr="009A3F25" w:rsidRDefault="001621F4" w:rsidP="00B0790F">
      <w:pPr>
        <w:pStyle w:val="Odstavecseseznamem"/>
        <w:numPr>
          <w:ilvl w:val="0"/>
          <w:numId w:val="9"/>
        </w:numPr>
        <w:spacing w:line="276" w:lineRule="auto"/>
        <w:ind w:left="284"/>
        <w:jc w:val="both"/>
      </w:pPr>
      <w:r w:rsidRPr="009A3F25">
        <w:t xml:space="preserve">Strany se dohodly, že práva a povinnosti vyplývající ze smlouvy od 1. 3. 2026 do dne nabytí účinnosti dodatku se řídí jeho ustanoveními a dosud poskytnutá plnění od 1. 3. 2026 se považují za plnění podle tohoto dodatku. </w:t>
      </w:r>
    </w:p>
    <w:p w14:paraId="665D0C96" w14:textId="21A86993" w:rsidR="0051193E" w:rsidRPr="0051193E" w:rsidRDefault="0051193E" w:rsidP="00B0790F">
      <w:pPr>
        <w:spacing w:before="240" w:line="276" w:lineRule="auto"/>
        <w:jc w:val="center"/>
        <w:rPr>
          <w:b/>
          <w:bCs/>
        </w:rPr>
      </w:pPr>
      <w:r w:rsidRPr="0051193E">
        <w:rPr>
          <w:b/>
          <w:bCs/>
        </w:rPr>
        <w:t>Článek V</w:t>
      </w:r>
      <w:r w:rsidR="00F77541">
        <w:rPr>
          <w:b/>
          <w:bCs/>
        </w:rPr>
        <w:t xml:space="preserve"> – Závěrečná ustanovení</w:t>
      </w:r>
    </w:p>
    <w:p w14:paraId="3CF7E008" w14:textId="77777777" w:rsidR="0051193E" w:rsidRPr="0051193E" w:rsidRDefault="0051193E" w:rsidP="001621F4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</w:pPr>
      <w:r w:rsidRPr="0051193E">
        <w:t>Ostatní ustanovení smlouvy zůstávají tímto dodatkem nedotčena.</w:t>
      </w:r>
    </w:p>
    <w:p w14:paraId="0C5A5ED0" w14:textId="0A65FD4E" w:rsidR="0051193E" w:rsidRPr="009A3F25" w:rsidRDefault="001621F4" w:rsidP="001873A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</w:pPr>
      <w:r w:rsidRPr="009A3F25">
        <w:lastRenderedPageBreak/>
        <w:t>Tento dodatek nabývá platnosti dnem podpisu oběma smluvními stranami a účinnosti dnem jeho zveřejnění v registru smluv. Strany v této souvislosti výslovně souhlasí se zveřejněním tohoto dodatku v registru smluv podle zákona č. 340/2015 Sb., o registru smluv, které zajistí ČVUT v Praze. Pokud jedna ze stran považuje některé informace uvedené v dodatku za osobní údaje nebo obchodní tajemství, které nemohou být zveřejněny podle zákona, musí být tyto informace výslovně označeny během uzavírání dodatku</w:t>
      </w:r>
      <w:r w:rsidR="0051193E" w:rsidRPr="009A3F25">
        <w:t>.</w:t>
      </w:r>
    </w:p>
    <w:p w14:paraId="579BA7C4" w14:textId="1C2EE0DA" w:rsidR="00B0790F" w:rsidRDefault="0051193E" w:rsidP="001873A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jc w:val="both"/>
      </w:pPr>
      <w:r w:rsidRPr="0051193E">
        <w:t>Dodatek je vyhotoven ve dvou stejnopisech, z nichž každá smluvní strana obdrží jeden.</w:t>
      </w:r>
    </w:p>
    <w:p w14:paraId="1669D421" w14:textId="77777777" w:rsidR="00B0790F" w:rsidRPr="0051193E" w:rsidRDefault="00B0790F" w:rsidP="00B0790F">
      <w:pPr>
        <w:spacing w:line="276" w:lineRule="auto"/>
        <w:ind w:left="66"/>
        <w:jc w:val="both"/>
      </w:pPr>
    </w:p>
    <w:tbl>
      <w:tblPr>
        <w:tblW w:w="10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851"/>
        <w:gridCol w:w="5161"/>
      </w:tblGrid>
      <w:tr w:rsidR="00F77541" w14:paraId="38966260" w14:textId="77777777" w:rsidTr="007857CF">
        <w:trPr>
          <w:trHeight w:val="87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D848E49" w14:textId="77777777" w:rsidR="00F77541" w:rsidRPr="004074B2" w:rsidRDefault="00F77541" w:rsidP="0078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</w:tabs>
              <w:jc w:val="both"/>
              <w:rPr>
                <w:rFonts w:eastAsia="Arial" w:cs="Arial"/>
                <w:color w:val="000000"/>
                <w:highlight w:val="white"/>
              </w:rPr>
            </w:pPr>
            <w:r w:rsidRPr="004074B2">
              <w:rPr>
                <w:rFonts w:eastAsia="Arial" w:cs="Arial"/>
                <w:color w:val="000000"/>
              </w:rPr>
              <w:t>V Praze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535677" w14:textId="77777777" w:rsidR="00F77541" w:rsidRPr="004074B2" w:rsidRDefault="00F77541" w:rsidP="007857CF">
            <w:pPr>
              <w:jc w:val="center"/>
              <w:rPr>
                <w:rFonts w:eastAsia="Arial" w:cs="Arial"/>
                <w:b/>
                <w:sz w:val="36"/>
                <w:szCs w:val="36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14:paraId="25290C2B" w14:textId="77777777" w:rsidR="00F77541" w:rsidRPr="004074B2" w:rsidRDefault="00F77541" w:rsidP="0078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</w:tabs>
              <w:jc w:val="both"/>
              <w:rPr>
                <w:rFonts w:eastAsia="Arial" w:cs="Arial"/>
                <w:color w:val="000000"/>
              </w:rPr>
            </w:pPr>
            <w:r w:rsidRPr="004074B2">
              <w:rPr>
                <w:rFonts w:eastAsia="Arial" w:cs="Arial"/>
                <w:color w:val="000000"/>
              </w:rPr>
              <w:t>V Praze dne __________</w:t>
            </w:r>
          </w:p>
          <w:p w14:paraId="32C487B1" w14:textId="77777777" w:rsidR="00F77541" w:rsidRPr="004074B2" w:rsidRDefault="00F77541" w:rsidP="007857CF">
            <w:pPr>
              <w:rPr>
                <w:rFonts w:eastAsia="Arial" w:cs="Arial"/>
              </w:rPr>
            </w:pPr>
          </w:p>
        </w:tc>
      </w:tr>
      <w:tr w:rsidR="00F77541" w14:paraId="273AD4EB" w14:textId="77777777" w:rsidTr="007857CF">
        <w:trPr>
          <w:trHeight w:val="555"/>
        </w:trPr>
        <w:tc>
          <w:tcPr>
            <w:tcW w:w="4077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7C48C4E1" w14:textId="77777777" w:rsidR="00F77541" w:rsidRPr="004074B2" w:rsidRDefault="00F77541" w:rsidP="007857CF">
            <w:pPr>
              <w:rPr>
                <w:rFonts w:eastAsia="Arial" w:cs="Arial"/>
                <w:b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B5DAEF" w14:textId="77777777" w:rsidR="00F77541" w:rsidRPr="004074B2" w:rsidRDefault="00F77541" w:rsidP="007857CF">
            <w:pPr>
              <w:jc w:val="center"/>
              <w:rPr>
                <w:rFonts w:eastAsia="Arial" w:cs="Arial"/>
                <w:b/>
                <w:sz w:val="36"/>
                <w:szCs w:val="36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719CCB94" w14:textId="77777777" w:rsidR="00F77541" w:rsidRPr="004074B2" w:rsidRDefault="00F77541" w:rsidP="007857CF">
            <w:pPr>
              <w:jc w:val="center"/>
              <w:rPr>
                <w:rFonts w:eastAsia="Arial" w:cs="Arial"/>
                <w:b/>
                <w:sz w:val="36"/>
                <w:szCs w:val="36"/>
              </w:rPr>
            </w:pPr>
          </w:p>
        </w:tc>
      </w:tr>
      <w:tr w:rsidR="00F77541" w14:paraId="77786B97" w14:textId="77777777" w:rsidTr="007857CF">
        <w:trPr>
          <w:trHeight w:val="1186"/>
        </w:trPr>
        <w:tc>
          <w:tcPr>
            <w:tcW w:w="407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07016F" w14:textId="77777777" w:rsidR="00F77541" w:rsidRPr="004074B2" w:rsidRDefault="00F77541" w:rsidP="004074B2">
            <w:pPr>
              <w:spacing w:after="0" w:line="240" w:lineRule="auto"/>
              <w:jc w:val="center"/>
              <w:rPr>
                <w:rFonts w:eastAsia="Arial" w:cs="Arial"/>
              </w:rPr>
            </w:pPr>
          </w:p>
          <w:p w14:paraId="02CEAC6F" w14:textId="2F987339" w:rsidR="00F77541" w:rsidRPr="004074B2" w:rsidRDefault="00F77541" w:rsidP="004074B2">
            <w:pPr>
              <w:spacing w:after="0" w:line="240" w:lineRule="auto"/>
              <w:jc w:val="center"/>
              <w:rPr>
                <w:rFonts w:eastAsia="Arial" w:cs="Arial"/>
              </w:rPr>
            </w:pPr>
            <w:r w:rsidRPr="004074B2">
              <w:rPr>
                <w:rFonts w:eastAsia="Arial" w:cs="Arial"/>
              </w:rPr>
              <w:t>Da</w:t>
            </w:r>
            <w:r w:rsidR="00BA5659">
              <w:rPr>
                <w:rFonts w:eastAsia="Arial" w:cs="Arial"/>
              </w:rPr>
              <w:t>vid Řehořka</w:t>
            </w:r>
            <w:r w:rsidRPr="004074B2">
              <w:rPr>
                <w:rFonts w:eastAsia="Arial" w:cs="Arial"/>
              </w:rPr>
              <w:br/>
              <w:t>jednatel</w:t>
            </w:r>
          </w:p>
          <w:p w14:paraId="4DB9DF23" w14:textId="77777777" w:rsidR="00F77541" w:rsidRPr="004074B2" w:rsidRDefault="00F77541" w:rsidP="004074B2">
            <w:pPr>
              <w:spacing w:after="0" w:line="240" w:lineRule="auto"/>
              <w:jc w:val="center"/>
              <w:rPr>
                <w:rFonts w:eastAsia="Arial" w:cs="Arial"/>
                <w:b/>
              </w:rPr>
            </w:pPr>
            <w:proofErr w:type="spellStart"/>
            <w:r w:rsidRPr="004074B2">
              <w:rPr>
                <w:rFonts w:eastAsia="Arial" w:cs="Arial"/>
              </w:rPr>
              <w:t>Vertical</w:t>
            </w:r>
            <w:proofErr w:type="spellEnd"/>
            <w:r w:rsidRPr="004074B2">
              <w:rPr>
                <w:rFonts w:eastAsia="Arial" w:cs="Arial"/>
              </w:rPr>
              <w:t xml:space="preserve"> </w:t>
            </w:r>
            <w:proofErr w:type="spellStart"/>
            <w:r w:rsidRPr="004074B2">
              <w:rPr>
                <w:rFonts w:eastAsia="Arial" w:cs="Arial"/>
              </w:rPr>
              <w:t>production</w:t>
            </w:r>
            <w:proofErr w:type="spellEnd"/>
            <w:r w:rsidRPr="004074B2">
              <w:rPr>
                <w:rFonts w:eastAsia="Arial" w:cs="Arial"/>
              </w:rPr>
              <w:t xml:space="preserve"> s.r.o.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B22020" w14:textId="77777777" w:rsidR="00F77541" w:rsidRPr="004074B2" w:rsidRDefault="00F77541" w:rsidP="007857CF">
            <w:pPr>
              <w:jc w:val="center"/>
              <w:rPr>
                <w:rFonts w:eastAsia="Arial" w:cs="Arial"/>
                <w:b/>
                <w:sz w:val="36"/>
                <w:szCs w:val="36"/>
              </w:rPr>
            </w:pPr>
          </w:p>
        </w:tc>
        <w:tc>
          <w:tcPr>
            <w:tcW w:w="516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287575F" w14:textId="77777777" w:rsidR="00F77541" w:rsidRPr="004074B2" w:rsidRDefault="00F77541" w:rsidP="004074B2">
            <w:pPr>
              <w:spacing w:after="0"/>
              <w:jc w:val="center"/>
              <w:rPr>
                <w:rFonts w:eastAsia="Arial" w:cs="Arial"/>
              </w:rPr>
            </w:pPr>
          </w:p>
          <w:p w14:paraId="0ADE8DEC" w14:textId="72F77328" w:rsidR="00F77541" w:rsidRPr="004074B2" w:rsidRDefault="00044CDC" w:rsidP="004074B2">
            <w:pPr>
              <w:spacing w:after="0"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XXX</w:t>
            </w:r>
          </w:p>
          <w:p w14:paraId="16F7432B" w14:textId="77777777" w:rsidR="00F77541" w:rsidRPr="004074B2" w:rsidRDefault="00F77541" w:rsidP="004074B2">
            <w:pPr>
              <w:spacing w:after="0" w:line="240" w:lineRule="auto"/>
              <w:ind w:left="2160" w:hanging="2160"/>
              <w:jc w:val="center"/>
              <w:rPr>
                <w:rFonts w:eastAsia="Arial" w:cs="Arial"/>
                <w:color w:val="000000"/>
              </w:rPr>
            </w:pPr>
            <w:r w:rsidRPr="004074B2">
              <w:rPr>
                <w:rFonts w:eastAsia="Arial" w:cs="Arial"/>
                <w:color w:val="000000"/>
              </w:rPr>
              <w:t>České vysoké učení technické v Praze</w:t>
            </w:r>
          </w:p>
          <w:p w14:paraId="5E36CD8C" w14:textId="5CB47FDB" w:rsidR="00F77541" w:rsidRPr="00256FB9" w:rsidRDefault="00F77541" w:rsidP="00256FB9">
            <w:pPr>
              <w:spacing w:after="0" w:line="240" w:lineRule="auto"/>
              <w:ind w:left="2160" w:hanging="2160"/>
              <w:jc w:val="center"/>
            </w:pPr>
            <w:r w:rsidRPr="004074B2">
              <w:rPr>
                <w:rFonts w:eastAsia="Arial" w:cs="Arial"/>
                <w:color w:val="000000"/>
              </w:rPr>
              <w:t>Fakulta elektrotechnická</w:t>
            </w:r>
          </w:p>
        </w:tc>
      </w:tr>
    </w:tbl>
    <w:p w14:paraId="11676494" w14:textId="77777777" w:rsidR="00423ED2" w:rsidRDefault="00423ED2"/>
    <w:sectPr w:rsidR="0042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D08"/>
    <w:multiLevelType w:val="multilevel"/>
    <w:tmpl w:val="5BD8D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0274B4"/>
    <w:multiLevelType w:val="hybridMultilevel"/>
    <w:tmpl w:val="25CC8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20831"/>
    <w:multiLevelType w:val="multilevel"/>
    <w:tmpl w:val="BBB0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93892"/>
    <w:multiLevelType w:val="hybridMultilevel"/>
    <w:tmpl w:val="77FED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44B0"/>
    <w:multiLevelType w:val="multilevel"/>
    <w:tmpl w:val="C7FA60B4"/>
    <w:lvl w:ilvl="0">
      <w:start w:val="1"/>
      <w:numFmt w:val="decimal"/>
      <w:lvlText w:val="%1."/>
      <w:lvlJc w:val="left"/>
      <w:pPr>
        <w:ind w:left="850" w:hanging="850"/>
      </w:pPr>
      <w:rPr>
        <w:rFonts w:ascii="Arial" w:eastAsia="Arial" w:hAnsi="Arial" w:cs="Arial"/>
        <w:b/>
        <w:color w:val="000000"/>
        <w:sz w:val="32"/>
        <w:szCs w:val="32"/>
      </w:rPr>
    </w:lvl>
    <w:lvl w:ilvl="1">
      <w:start w:val="1"/>
      <w:numFmt w:val="decimal"/>
      <w:lvlText w:val="%1.%2"/>
      <w:lvlJc w:val="left"/>
      <w:pPr>
        <w:ind w:left="850" w:hanging="85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50" w:hanging="850"/>
      </w:pPr>
      <w:rPr>
        <w:rFonts w:ascii="Arial" w:eastAsia="Arial" w:hAnsi="Arial" w:cs="Arial"/>
        <w:b w:val="0"/>
      </w:rPr>
    </w:lvl>
    <w:lvl w:ilvl="3">
      <w:start w:val="1"/>
      <w:numFmt w:val="lowerLetter"/>
      <w:lvlText w:val="%4"/>
      <w:lvlJc w:val="left"/>
      <w:pPr>
        <w:ind w:left="850" w:hanging="850"/>
      </w:pPr>
    </w:lvl>
    <w:lvl w:ilvl="4">
      <w:numFmt w:val="bullet"/>
      <w:lvlText w:val="●"/>
      <w:lvlJc w:val="left"/>
      <w:pPr>
        <w:ind w:left="850" w:hanging="85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F4470CE"/>
    <w:multiLevelType w:val="hybridMultilevel"/>
    <w:tmpl w:val="1ECCD91A"/>
    <w:lvl w:ilvl="0" w:tplc="BF62C88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6B7E4E48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0A97D82"/>
    <w:multiLevelType w:val="multilevel"/>
    <w:tmpl w:val="650E3D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C10469"/>
    <w:multiLevelType w:val="multilevel"/>
    <w:tmpl w:val="0A3E2E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E0779"/>
    <w:multiLevelType w:val="multilevel"/>
    <w:tmpl w:val="AB66D7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AC7A90"/>
    <w:multiLevelType w:val="multilevel"/>
    <w:tmpl w:val="6A0266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63225F"/>
    <w:multiLevelType w:val="multilevel"/>
    <w:tmpl w:val="EB28DE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CA6161"/>
    <w:multiLevelType w:val="hybridMultilevel"/>
    <w:tmpl w:val="3D74DB1C"/>
    <w:lvl w:ilvl="0" w:tplc="6B7E4E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6945">
    <w:abstractNumId w:val="2"/>
  </w:num>
  <w:num w:numId="2" w16cid:durableId="805052958">
    <w:abstractNumId w:val="0"/>
  </w:num>
  <w:num w:numId="3" w16cid:durableId="1390767400">
    <w:abstractNumId w:val="5"/>
  </w:num>
  <w:num w:numId="4" w16cid:durableId="820468116">
    <w:abstractNumId w:val="4"/>
  </w:num>
  <w:num w:numId="5" w16cid:durableId="1400589190">
    <w:abstractNumId w:val="1"/>
  </w:num>
  <w:num w:numId="6" w16cid:durableId="1605842920">
    <w:abstractNumId w:val="10"/>
  </w:num>
  <w:num w:numId="7" w16cid:durableId="647318891">
    <w:abstractNumId w:val="9"/>
  </w:num>
  <w:num w:numId="8" w16cid:durableId="1537697096">
    <w:abstractNumId w:val="8"/>
  </w:num>
  <w:num w:numId="9" w16cid:durableId="542206365">
    <w:abstractNumId w:val="11"/>
  </w:num>
  <w:num w:numId="10" w16cid:durableId="1999966203">
    <w:abstractNumId w:val="3"/>
  </w:num>
  <w:num w:numId="11" w16cid:durableId="1615599479">
    <w:abstractNumId w:val="6"/>
  </w:num>
  <w:num w:numId="12" w16cid:durableId="51053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3E"/>
    <w:rsid w:val="00044CDC"/>
    <w:rsid w:val="00050B19"/>
    <w:rsid w:val="0008085B"/>
    <w:rsid w:val="001621F4"/>
    <w:rsid w:val="001873A7"/>
    <w:rsid w:val="0021401C"/>
    <w:rsid w:val="002478AA"/>
    <w:rsid w:val="00256FB9"/>
    <w:rsid w:val="004074B2"/>
    <w:rsid w:val="00423ED2"/>
    <w:rsid w:val="004572DF"/>
    <w:rsid w:val="004F6103"/>
    <w:rsid w:val="0051193E"/>
    <w:rsid w:val="00653331"/>
    <w:rsid w:val="006A26EB"/>
    <w:rsid w:val="00831C10"/>
    <w:rsid w:val="009136B1"/>
    <w:rsid w:val="0099497F"/>
    <w:rsid w:val="009A3F25"/>
    <w:rsid w:val="009D53DE"/>
    <w:rsid w:val="00A32366"/>
    <w:rsid w:val="00A7424B"/>
    <w:rsid w:val="00AF1380"/>
    <w:rsid w:val="00B0790F"/>
    <w:rsid w:val="00BA5659"/>
    <w:rsid w:val="00CA3A97"/>
    <w:rsid w:val="00E16EA0"/>
    <w:rsid w:val="00E46061"/>
    <w:rsid w:val="00EF04E5"/>
    <w:rsid w:val="00F77541"/>
    <w:rsid w:val="00FA7C69"/>
    <w:rsid w:val="00FB0C07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ACE8"/>
  <w15:chartTrackingRefBased/>
  <w15:docId w15:val="{13549E90-822E-47F4-A6D9-02F7DB58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9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9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9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9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9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9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9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9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9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9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93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F6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Suk, Radovan</dc:creator>
  <cp:keywords/>
  <dc:description/>
  <cp:lastModifiedBy>Pospisilikova, Hana</cp:lastModifiedBy>
  <cp:revision>3</cp:revision>
  <dcterms:created xsi:type="dcterms:W3CDTF">2026-03-30T13:38:00Z</dcterms:created>
  <dcterms:modified xsi:type="dcterms:W3CDTF">2026-04-16T06:11:00Z</dcterms:modified>
</cp:coreProperties>
</file>