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8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</w:t>
        <w:br/>
        <w:t>ke Smlouvě o nájmu nebytových prostor</w:t>
        <w:br/>
        <w:t>Uzavřené dne 1. 7. 2010 podle zákona č. 116/1990 Sb., o nájmu a podnájmu nebytových prostor</w:t>
        <w:br/>
        <w:t>a podle ust. § 720 Občanského zákoníku</w:t>
        <w:br/>
        <w:t>mezi smluvními stranami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 - EKO Pardubice s. r. o.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 25283979, DIČ : CZ25283979,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Pardubice, Semtín č. p. 134, průmyslová zóna Synthesia a. s., PSČ 533 53 zápis v obchodním rejstříku Krajského soudu v Hradci Králové, oddíl C., vložka 12876 jednající: Jan Kafka a Václav Novotný, jednatelé společnosti,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Jakožto pronajímatelem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 - městská policie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 00274046, DIČ : CZ00274046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Pardubice, Zelené předměstí, Pemerova 443, PSČ 530 02,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jednající: Bc. Rostislav Hubl, ředitel městské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8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Jakožto nájemcem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831" w:val="left"/>
        </w:tabs>
        <w:bidi w:val="0"/>
        <w:spacing w:before="0" w:line="288" w:lineRule="auto"/>
        <w:ind w:left="4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Obecná ustanovení: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4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Nájemce, na základě Smlouvy o nájmu nebytových prostor ze dne 1. 7. 2010 dále jen „Smlouva“, dosud užívá nebytová prostory v budově č. p. 443 v části obce zelené Předměstí, na pozemku č. 6750 zapsané na listu vlastnictví č. 60771 pro katastrální území Pardubice, obec Pardubice.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Ujednání dodatku: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4" w:val="left"/>
        </w:tabs>
        <w:bidi w:val="0"/>
        <w:spacing w:before="0" w:line="2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stávající text ustanovení článku 1. odst. 1.2 písmeno a) Smlouvy nahrazuje tímto textem: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„1.2 Předmětem nájmu jsou: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nebytové prostory ve shora uvedené budově č.p. 443, a sice:</w:t>
      </w:r>
    </w:p>
    <w:tbl>
      <w:tblPr>
        <w:tblOverlap w:val="never"/>
        <w:jc w:val="center"/>
        <w:tblLayout w:type="fixed"/>
      </w:tblPr>
      <w:tblGrid>
        <w:gridCol w:w="2779"/>
        <w:gridCol w:w="3754"/>
        <w:gridCol w:w="3259"/>
      </w:tblGrid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podlaží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výměra nr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bližší určení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l.PPaž4.NP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632,0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kancelářské prostory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l.PPaž4.NP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213,7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skladové prostory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l.PP až 4.NP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142,0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šatny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l.PPaž4.NP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sociální zařízení</w:t>
            </w:r>
          </w:p>
        </w:tc>
      </w:tr>
      <w:tr>
        <w:trPr>
          <w:trHeight w:val="274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l.PPaž4.NP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177,8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2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cs-CZ" w:eastAsia="cs-CZ" w:bidi="cs-CZ"/>
              </w:rPr>
              <w:t>chodby</w:t>
            </w:r>
          </w:p>
        </w:tc>
      </w:tr>
    </w:tbl>
    <w:p>
      <w:pPr>
        <w:pStyle w:val="Style6"/>
        <w:keepNext w:val="0"/>
        <w:keepLines w:val="0"/>
        <w:widowControl w:val="0"/>
        <w:shd w:val="clear" w:color="auto" w:fill="auto"/>
        <w:tabs>
          <w:tab w:pos="4258" w:val="left"/>
        </w:tabs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  <w:tab/>
        <w:t>1 237,6</w:t>
      </w:r>
    </w:p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Půdorysy jednotlivých podlaží budovy č.p. 443 s nově vyznačeným předmětem nájmu jsou nedílnou součástí tohoto dodatku.“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04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Účastníci se na základě Analýzy návrhu tržní ceny - Stanovení obvyklého nájemného v budově č.p. </w:t>
      </w: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443, vypracované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Realitní kanceláří JOKR spol. s. r. o. a platných předpisů o smluvních cenách dohodli takto: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aktuální roční nájemné za nebytové prostory ve shora uvedené budově č.p. 443, které činí 1 158 024 Kč, bude počínaje datem účinnosti tohoto dodatku zvýšeno o cenu nájemného: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68,9 m2 kancelářských prostor ve 4.NP, které činí 1619,- Kč za m2/rok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59,2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kancelářských prostor v 1 .NP, které činí 2 200,- Kč za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/rok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9,7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sociálního zařízení a kuchyňky v 1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4.NP, které činí za 650,- Kč za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/rok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4,3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skladových prostor ve 4.NP, které činí 650,- Kč za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/rok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8" w:val="left"/>
        </w:tabs>
        <w:bidi w:val="0"/>
        <w:spacing w:before="0" w:after="32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28,0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chodeb ve 4.NP, které činí 600,- Kč za 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/rok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52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souvislosti s ujednáním odst. 2.2 článku 2 tohoto dodatku se upravuje ujednání článku 4 odst. 4.1 smlouvy o nájmu tak, že nově zní: 4.1 Smluvní strany se dohodly, že počínaje 1. 4. 2015 bude roční nájemné činit 1 425 713 Kč tj. 356 428 Kč čtvrtletně. Nájem nebytových prostor je osvobozen od daně. Plátce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rozhodl, že u nájmu nebytových prostor jiným plátcům pro účely uskutečňování jejich ekonomických činností se daň z přidané hodnoty neuplatňuje (viz § 56 a odst. 3 zák. č. 235/2004 Sb., o dani z přidané hodnoty, v platném znění).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52" w:val="left"/>
        </w:tabs>
        <w:bidi w:val="0"/>
        <w:spacing w:before="0" w:after="32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o nájmu nebytových prostor ze dne 1.7. 2010 zůstávají ujednáním tohoto dodatku nedotčena.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52" w:val="left"/>
        </w:tabs>
        <w:bidi w:val="0"/>
        <w:spacing w:before="0" w:after="3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účinnosti ke dni 1.4. 2015.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94" w:val="left"/>
        </w:tabs>
        <w:bidi w:val="0"/>
        <w:spacing w:before="0" w:after="320" w:line="252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ustanovení: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52" w:val="left"/>
        </w:tabs>
        <w:bidi w:val="0"/>
        <w:spacing w:before="0" w:after="3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prohlašují, že se seznámili s textem tohoto dodatku, a že byl sepsán dle jejich pravé a svobodné vůle.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52" w:val="left"/>
        </w:tabs>
        <w:bidi w:val="0"/>
        <w:spacing w:before="0" w:after="5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se vyhotovuje ve 2 stejnopisech, z nichž 1 obdrží pronajímatel a 1 nájemce.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636" w:right="496" w:bottom="846" w:left="873" w:header="208" w:footer="41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Podepsáno v Pardubicích dne.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0" w:right="0" w:bottom="62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950" w:h="274" w:wrap="none" w:vAnchor="text" w:hAnchor="page" w:x="6509" w:y="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Nájemce:</w:t>
      </w:r>
    </w:p>
    <w:p>
      <w:pPr>
        <w:pStyle w:val="Style13"/>
        <w:keepNext w:val="0"/>
        <w:keepLines w:val="0"/>
        <w:framePr w:w="1330" w:h="278" w:wrap="none" w:vAnchor="text" w:hAnchor="page" w:x="8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Pronajímatel:</w:t>
      </w:r>
    </w:p>
    <w:p>
      <w:pPr>
        <w:widowControl w:val="0"/>
        <w:spacing w:line="360" w:lineRule="exact"/>
      </w:pPr>
      <w:r>
        <w:drawing>
          <wp:anchor distT="250190" distB="0" distL="0" distR="0" simplePos="0" relativeHeight="62914690" behindDoc="1" locked="0" layoutInCell="1" allowOverlap="1">
            <wp:simplePos x="0" y="0"/>
            <wp:positionH relativeFrom="page">
              <wp:posOffset>334645</wp:posOffset>
            </wp:positionH>
            <wp:positionV relativeFrom="paragraph">
              <wp:posOffset>262890</wp:posOffset>
            </wp:positionV>
            <wp:extent cx="2602865" cy="17005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02865" cy="1700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4138930</wp:posOffset>
            </wp:positionH>
            <wp:positionV relativeFrom="paragraph">
              <wp:posOffset>981710</wp:posOffset>
            </wp:positionV>
            <wp:extent cx="1962785" cy="86550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962785" cy="8655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20" w:right="530" w:bottom="620" w:left="49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Titulek tabulky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Jiné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Titulek obrázku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60" w:line="28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line="264" w:lineRule="auto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6">
    <w:name w:val="Titulek tabulky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auto"/>
      <w:spacing w:after="260" w:line="28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Titulek obrázku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