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9 ke Smlouvě o nájmu nebytových prostor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: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Výměrový list zálohových plateb energií a paušálních služeb k budově č.p. 443 ulice</w:t>
        <w:br/>
        <w:t>Pernerova v Pardubicích od 1.1.2014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: SK - EKO Pardubice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12700</wp:posOffset>
                </wp:positionV>
                <wp:extent cx="572770" cy="19177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8.150000000000006pt;margin-top:1.pt;width:45.100000000000001pt;height:15.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Nájemce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 Statutární město Pardubice - Městská policie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pronajatá plocha celkem: prostory v nemovitosti ve výše uvedené budově č.p. 443:</w:t>
      </w:r>
    </w:p>
    <w:tbl>
      <w:tblPr>
        <w:tblOverlap w:val="never"/>
        <w:jc w:val="left"/>
        <w:tblLayout w:type="fixed"/>
      </w:tblPr>
      <w:tblGrid>
        <w:gridCol w:w="2626"/>
        <w:gridCol w:w="2544"/>
        <w:gridCol w:w="2554"/>
      </w:tblGrid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nadzemní podlaží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výměra 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bližší určení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 PPaž4.NP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503.9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kancelářské prostory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 PPaž 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209.4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skladové prostory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1. PP až 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142.1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šatny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l.PP až4.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62.3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sociální zařízení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l.PP až 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149.8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chodby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1067.5 m2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Čtvrtletní platba : 261.841,-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22" w:val="left"/>
        </w:tabs>
        <w:bidi w:val="0"/>
        <w:spacing w:before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2</w:t>
        <w:tab/>
        <w:t>: 23.999,- Kč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180"/>
        <w:jc w:val="left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cs-CZ" w:eastAsia="cs-CZ" w:bidi="cs-CZ"/>
        </w:rPr>
        <w:t>Celkem čtvrtletní platba : 285.840,- Kč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Čtvrtletní zálohové platby na energie a služby spojené s provozem celého objektu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/>
        <w:jc w:val="left"/>
      </w:pPr>
      <w:r>
        <mc:AlternateContent>
          <mc:Choice Requires="wps">
            <w:drawing>
              <wp:anchor distT="0" distB="347345" distL="166370" distR="113665" simplePos="0" relativeHeight="125829380" behindDoc="0" locked="0" layoutInCell="1" allowOverlap="1">
                <wp:simplePos x="0" y="0"/>
                <wp:positionH relativeFrom="page">
                  <wp:posOffset>4705350</wp:posOffset>
                </wp:positionH>
                <wp:positionV relativeFrom="paragraph">
                  <wp:posOffset>12700</wp:posOffset>
                </wp:positionV>
                <wp:extent cx="1146175" cy="71310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713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25.000.-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58.000.-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8.500.- Kč/ čtvrt.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10.200,- Kč/ čtvrt.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70.5pt;margin-top:1.pt;width:90.25pt;height:56.149999999999999pt;z-index:-125829373;mso-wrap-distance-left:13.1pt;mso-wrap-distance-right:8.9500000000000011pt;mso-wrap-distance-bottom:27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25.000.-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58.000.-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8.500.- Kč/ čtvrt.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10.200,- Kč/ čtvrt.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871855" distB="0" distL="114300" distR="144780" simplePos="0" relativeHeight="125829382" behindDoc="0" locked="0" layoutInCell="1" allowOverlap="1">
                <wp:simplePos x="0" y="0"/>
                <wp:positionH relativeFrom="page">
                  <wp:posOffset>4653280</wp:posOffset>
                </wp:positionH>
                <wp:positionV relativeFrom="paragraph">
                  <wp:posOffset>884555</wp:posOffset>
                </wp:positionV>
                <wp:extent cx="1167130" cy="18923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713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101.700,- Kč/čtvrt.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6.40000000000003pt;margin-top:69.650000000000006pt;width:91.900000000000006pt;height:14.9pt;z-index:-125829371;mso-wrap-distance-left:9.pt;mso-wrap-distance-top:68.650000000000006pt;mso-wrap-distance-right:11.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101.700,- Kč/čtvrt.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Elektrická energie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Teplo a teplá voda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Vodné a stočné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Náklady na služby spojené s provozem objektu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zálohové platby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180" w:right="0" w:firstLine="2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čtvrtletní úhrada za nájemné a zálohové platby : 387 540,- Kč.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18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služby, zálohy a paušální poplatky může být během roku jednostranně zvýšena v závislosti na zvýšení cen dodavatelů a jiných nákladů.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je povinen skutečné náklady spojené s provozem předmětu nájmu nájemci každoročně vyúčtovat a provést vyrovnání případných přeplatků či nedoplatků.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8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souhlasí s tím, že v těch případech kdy není spotřeba energií měřena nainstalovanými měřidly, bude vyúčtována náhradním způsobem podle plochy s přihlédnutím k počtu osob.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se zavazuje platit měsíční poplatky a zálohy na úhradu služeb ve výši uvedené ve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| Výměru stanoveném pronajímatelem, a to v pravidelných čtvrtletních splátkách.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Vyúčtování dodávaných služeb podle této smlouvy, bude provedeno s odečtením zálohových plateb jednou ročně po obdržení konečných faktur od dodavatelů.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opakovaném neplacení měsíční úhrady stanovené ve Výměrovém listu bere nájemce na vědomí, že dodávka služeb bude přerušena a dlužná částka bude vymáhána soudní cestou. Za opakované neplacení se považuje dluh za jedno čtvrtletí.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Podepsáno v Pardubicích dne 17.1.2014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00" w:after="820" w:line="230" w:lineRule="auto"/>
        <w:ind w:left="1440" w:right="0"/>
        <w:jc w:val="left"/>
      </w:pPr>
      <w:r>
        <w:drawing>
          <wp:anchor distT="262255" distB="2245995" distL="251460" distR="501650" simplePos="0" relativeHeight="125829384" behindDoc="0" locked="0" layoutInCell="1" allowOverlap="1">
            <wp:simplePos x="0" y="0"/>
            <wp:positionH relativeFrom="page">
              <wp:posOffset>572135</wp:posOffset>
            </wp:positionH>
            <wp:positionV relativeFrom="margin">
              <wp:posOffset>2365375</wp:posOffset>
            </wp:positionV>
            <wp:extent cx="2042160" cy="1249680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42160" cy="12496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919480</wp:posOffset>
                </wp:positionH>
                <wp:positionV relativeFrom="margin">
                  <wp:posOffset>2103120</wp:posOffset>
                </wp:positionV>
                <wp:extent cx="844550" cy="18923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455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Pronajímatel: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2.400000000000006pt;margin-top:165.59999999999999pt;width:66.5pt;height:14.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Pronajímatel: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2486660" distB="0" distL="114300" distR="114300" simplePos="0" relativeHeight="125829385" behindDoc="0" locked="0" layoutInCell="1" allowOverlap="1">
            <wp:simplePos x="0" y="0"/>
            <wp:positionH relativeFrom="page">
              <wp:posOffset>434975</wp:posOffset>
            </wp:positionH>
            <wp:positionV relativeFrom="margin">
              <wp:posOffset>4589780</wp:posOffset>
            </wp:positionV>
            <wp:extent cx="2566670" cy="127381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566670" cy="12738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861695</wp:posOffset>
                </wp:positionH>
                <wp:positionV relativeFrom="margin">
                  <wp:posOffset>4199890</wp:posOffset>
                </wp:positionV>
                <wp:extent cx="1246505" cy="36893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6505" cy="368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Václav Novotný jednatel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7.849999999999994pt;margin-top:330.69999999999999pt;width:98.150000000000006pt;height:29.0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Václav Novotný jednatel společnosti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295910" distB="0" distL="114300" distR="114300" simplePos="0" relativeHeight="125829386" behindDoc="0" locked="0" layoutInCell="1" allowOverlap="1">
            <wp:simplePos x="0" y="0"/>
            <wp:positionH relativeFrom="page">
              <wp:posOffset>4050030</wp:posOffset>
            </wp:positionH>
            <wp:positionV relativeFrom="margin">
              <wp:posOffset>2441575</wp:posOffset>
            </wp:positionV>
            <wp:extent cx="1639570" cy="87757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639570" cy="8775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4065270</wp:posOffset>
                </wp:positionH>
                <wp:positionV relativeFrom="margin">
                  <wp:posOffset>2145665</wp:posOffset>
                </wp:positionV>
                <wp:extent cx="615950" cy="18923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595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Nájemce: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20.10000000000002pt;margin-top:168.95000000000002pt;width:48.5pt;height:14.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Nájemce: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Statutární město Pardubice - Městská policie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/>
        <w:jc w:val="left"/>
      </w:pPr>
      <w:r>
        <w:drawing>
          <wp:anchor distT="0" distB="0" distL="114300" distR="114300" simplePos="0" relativeHeight="125829387" behindDoc="0" locked="0" layoutInCell="1" allowOverlap="1">
            <wp:simplePos x="0" y="0"/>
            <wp:positionH relativeFrom="page">
              <wp:posOffset>3997960</wp:posOffset>
            </wp:positionH>
            <wp:positionV relativeFrom="margin">
              <wp:posOffset>4709160</wp:posOffset>
            </wp:positionV>
            <wp:extent cx="2310130" cy="1268095"/>
            <wp:wrapTopAndBottom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310130" cy="12680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Bc. Rostislav Hiibl ředitel Městské policie</w:t>
      </w:r>
    </w:p>
    <w:sectPr>
      <w:footnotePr>
        <w:pos w:val="pageBottom"/>
        <w:numFmt w:val="decimal"/>
        <w:numRestart w:val="continuous"/>
      </w:footnotePr>
      <w:pgSz w:w="11900" w:h="16840"/>
      <w:pgMar w:top="1372" w:right="1265" w:bottom="1981" w:left="1357" w:header="944" w:footer="15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Nadpis #1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CharStyle10">
    <w:name w:val="Titulek tabulky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Jiné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Nadpis #2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60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auto"/>
      <w:spacing w:after="26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auto"/>
      <w:spacing w:after="260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auto"/>
      <w:spacing w:after="260"/>
      <w:ind w:left="90" w:firstLine="10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