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č.2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nájmu nebytových prostor</w:t>
        <w:br/>
        <w:t>uzavřené dne 1.7.2010 podle zákona č. 116/1990 Sb., o nájmu a podnájmu nebytových prostor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podle ust § 720 Občanského zákoníku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 - EKO Pardubice s.r.o.,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25283979, DIČ: CZ25283979,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Pardubice, Semtín č.p. 134, průmyslová zóna Synthesia a.$., PSČ 53353,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 Krajského soudu v Hradci Králové, oddíl C., vložka 12876, jednající: Jan Kafka a Václav Novotný, jednatelé společnosti,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jakožto pronajímatelem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00274046, DIČ; CZ00274046,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Pardubice, Zelené Předměstí, Pemerova 443, PSČ 53002,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jednající: Bc. Rostislav Htlbl, ředitel Městské policie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jakožto nájemcem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Obecná ustanovení: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39" w:val="left"/>
        </w:tabs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Nájemce, na základě Smlouvy o nájmu nebytových prostor ze dne 1.7.2010 dále jen „Smlouva“), dosud užívá nebytové prostory v budově č.p.443 v části obce Zelené Předměstí , na pozemku č.6750 zapsané na listu vlastnictví č.60771 pro katastrální úderní Pardubice, obec Pardubice.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2, Ujednání dodatku: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stávající text ustanovení 1.2 písmeno a) Smlouvy nahrazuje tímto textem: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58775" distB="0" distL="0" distR="0" simplePos="0" relativeHeight="125829378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358775</wp:posOffset>
                </wp:positionV>
                <wp:extent cx="3298190" cy="12458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98190" cy="12458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087"/>
                              <w:gridCol w:w="3108"/>
                            </w:tblGrid>
                            <w:tr>
                              <w:trPr>
                                <w:tblHeader/>
                                <w:trHeight w:val="250" w:hRule="exact"/>
                              </w:trPr>
                              <w:tc>
                                <w:tcPr>
                                  <w:gridSpan w:val="2"/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a/ nebytové prostory ve shora uvedené budově č.p. 443, a sice;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podlaží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výměra m2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l.PPaž.4. NP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503,9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l.PPaž4.NP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209,4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l.PPaž4.NP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142,1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LPPaž4.NP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1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62,3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LPPaž4.NP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149,8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9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1 067,5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600000000000001pt;margin-top:28.25pt;width:259.69999999999999pt;height:98.100000000000009pt;z-index:-125829375;mso-wrap-distance-left:0;mso-wrap-distance-top:28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087"/>
                        <w:gridCol w:w="3108"/>
                      </w:tblGrid>
                      <w:tr>
                        <w:trPr>
                          <w:tblHeader/>
                          <w:trHeight w:val="250" w:hRule="exact"/>
                        </w:trPr>
                        <w:tc>
                          <w:tcPr>
                            <w:gridSpan w:val="2"/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a/ nebytové prostory ve shora uvedené budově č.p. 443, a sice;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podlaží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výměra m2</w:t>
                            </w:r>
                          </w:p>
                        </w:tc>
                      </w:tr>
                      <w:tr>
                        <w:trPr>
                          <w:trHeight w:val="220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l.PPaž.4. NP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503,9</w:t>
                            </w:r>
                          </w:p>
                        </w:tc>
                      </w:tr>
                      <w:tr>
                        <w:trPr>
                          <w:trHeight w:val="24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l.PPaž4.NP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209,4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l.PPaž4.NP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142,1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LPPaž4.NP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62,3</w:t>
                            </w:r>
                          </w:p>
                        </w:tc>
                      </w:tr>
                      <w:tr>
                        <w:trPr>
                          <w:trHeight w:val="27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LPPaž4.NP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149,8</w:t>
                            </w:r>
                          </w:p>
                        </w:tc>
                      </w:tr>
                      <w:tr>
                        <w:trPr>
                          <w:trHeight w:val="27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1 067,5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50800</wp:posOffset>
                </wp:positionV>
                <wp:extent cx="1525270" cy="1727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5270" cy="172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■J .2 Předmětem nájmu jsou: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.600000000000001pt;margin-top:4.pt;width:120.10000000000001pt;height:13.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■J .2 Předmětem nájmu jsou: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12445" distB="159385" distL="0" distR="0" simplePos="0" relativeHeight="125829380" behindDoc="0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512445</wp:posOffset>
                </wp:positionV>
                <wp:extent cx="1143000" cy="9328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932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bližší určení kancelářské prostory skladové prostory šatny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17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sociální zařízení chodby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2.65000000000003pt;margin-top:40.350000000000001pt;width:90.pt;height:73.450000000000003pt;z-index:-125829373;mso-wrap-distance-left:0;mso-wrap-distance-top:40.350000000000001pt;mso-wrap-distance-right:0;mso-wrap-distance-bottom:12.5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bližší určení kancelářské prostory skladové prostory šatny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173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sociální zařízení chodby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Půdorysy jednotlivých podlaží budovy č.p. 443 s nově vyznačeným předmětem nájmu jsou nedílnou součástí tohoto dodatku.“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se na základě Analýzy návrhu tržní ceny - Stanovení obvyklého nájemného v budově č.p. 443, vypracované Realitní kanceláří JORK spoi. s r.o. a platných předpisů o smluvních cenách dohodli takte: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aktuální roční nájemné za nebytové prostory ve shora uvedené budově č.p. 443 bude počínaje datem účinností tohoto dodatku zvýšeno o cenu nájemného za 60,6 m2 kancelářských prostor, které Činí 1.598,- Kč za 1 m2/ rok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aktuální roční nájemné za nebytové prostory vc shora uvedené budově č.p. 443 bude počínaje datem účinnosti tohoto dodatku sníženo o cenu nájemného za 1,3 m2 skladových prostor, které Činí 650,- Kč za 1 m2Z rok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73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ustanoveni Smlouvy o nájmu nebytových prostor ze dne 1.7.2010 zůstávají ujednáním tohoto dodatku nedotčena.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7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ke dni 01.01.2014.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3. Závěrečná ustanovení:</w:t>
      </w:r>
    </w:p>
    <w:p>
      <w:pPr>
        <w:pStyle w:val="Style6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01" w:val="left"/>
        </w:tabs>
        <w:bidi w:val="0"/>
        <w:spacing w:before="0" w:after="220" w:line="4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prohlašují, že se seznámili s textem tohoto dodatku, a že byl sepsán dle jejich pravé a svobodné vůle, 3.2. Tento dodatek se vyhotovuje ve 2 stejnopisech, z nichž 1 obdrží pronajímatel a 1 nájemce.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51" w:right="925" w:bottom="537" w:left="990" w:header="423" w:footer="10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Podepsúno v Pardubicích dne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9" w:right="0" w:bottom="124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117" w:h="250" w:wrap="none" w:vAnchor="text" w:hAnchor="page" w:x="102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</w:p>
    <w:p>
      <w:pPr>
        <w:pStyle w:val="Style6"/>
        <w:keepNext w:val="0"/>
        <w:keepLines w:val="0"/>
        <w:framePr w:w="1800" w:h="735" w:wrap="none" w:vAnchor="text" w:hAnchor="page" w:x="977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</w:t>
      </w:r>
    </w:p>
    <w:p>
      <w:pPr>
        <w:pStyle w:val="Style6"/>
        <w:keepNext w:val="0"/>
        <w:keepLines w:val="0"/>
        <w:framePr w:w="1800" w:h="735" w:wrap="none" w:vAnchor="text" w:hAnchor="page" w:x="977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Václav No jednatelé společnosti</w:t>
      </w:r>
    </w:p>
    <w:p>
      <w:pPr>
        <w:pStyle w:val="Style6"/>
        <w:keepNext w:val="0"/>
        <w:keepLines w:val="0"/>
        <w:framePr w:w="845" w:h="265" w:wrap="none" w:vAnchor="text" w:hAnchor="page" w:x="6068" w:y="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</w:r>
    </w:p>
    <w:p>
      <w:pPr>
        <w:pStyle w:val="Style6"/>
        <w:keepNext w:val="0"/>
        <w:keepLines w:val="0"/>
        <w:framePr w:w="3769" w:h="992" w:wrap="none" w:vAnchor="text" w:hAnchor="page" w:x="6083" w:y="169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6"/>
        <w:keepNext w:val="0"/>
        <w:keepLines w:val="0"/>
        <w:framePr w:w="3769" w:h="992" w:wrap="none" w:vAnchor="text" w:hAnchor="page" w:x="6083" w:y="1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Rostislav HObJ ředitel Městské policie</w:t>
      </w:r>
    </w:p>
    <w:p>
      <w:pPr>
        <w:widowControl w:val="0"/>
        <w:spacing w:line="360" w:lineRule="exact"/>
      </w:pPr>
      <w:r>
        <w:drawing>
          <wp:anchor distT="125730" distB="0" distL="0" distR="0" simplePos="0" relativeHeight="62914690" behindDoc="1" locked="0" layoutInCell="1" allowOverlap="1">
            <wp:simplePos x="0" y="0"/>
            <wp:positionH relativeFrom="page">
              <wp:posOffset>638175</wp:posOffset>
            </wp:positionH>
            <wp:positionV relativeFrom="paragraph">
              <wp:posOffset>138430</wp:posOffset>
            </wp:positionV>
            <wp:extent cx="2060575" cy="15303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60575" cy="1530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49" w:right="932" w:bottom="1249" w:left="81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3"/>
      <w:numFmt w:val="decimal"/>
      <w:lvlText w:val="%1,"/>
    </w:lvl>
    <w:lvl w:ilvl="1">
      <w:start w:val="1"/>
      <w:numFmt w:val="decimal"/>
      <w:lvlText w:val="%1.%2,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Titulek tabulky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Titulek obrázku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  <w:spacing w:after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Titulek tabulky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after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spacing w:line="22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Fotografie na celou stránku</dc:title>
  <dc:subject/>
  <dc:creator>dorazilovai</dc:creator>
  <cp:keywords/>
</cp:coreProperties>
</file>