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5628C1" w:rsidRPr="005628C1" w:rsidRDefault="005628C1" w:rsidP="005628C1"/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r w:rsidRPr="00880353">
        <w:rPr>
          <w:rFonts w:ascii="Times New Roman" w:eastAsia="Times New Roman" w:hAnsi="Times New Roman" w:cs="Times New Roman"/>
          <w:b/>
          <w:color w:val="auto"/>
          <w:szCs w:val="32"/>
        </w:rPr>
        <w:t xml:space="preserve">č. </w:t>
      </w:r>
      <w:r w:rsidR="00945EEC">
        <w:rPr>
          <w:rFonts w:ascii="Times New Roman" w:eastAsia="Times New Roman" w:hAnsi="Times New Roman" w:cs="Times New Roman"/>
          <w:b/>
          <w:color w:val="auto"/>
          <w:szCs w:val="32"/>
        </w:rPr>
        <w:t>1/01/038/17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5628C1" w:rsidRPr="005628C1" w:rsidRDefault="005628C1" w:rsidP="005628C1"/>
    <w:p w:rsidR="003E5D65" w:rsidRDefault="00DD616B" w:rsidP="007424C0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KOBIT, spol. s r. o</w:t>
      </w:r>
      <w:r w:rsidR="00871660">
        <w:rPr>
          <w:b/>
          <w:bCs/>
          <w:sz w:val="22"/>
          <w:szCs w:val="22"/>
        </w:rPr>
        <w:t>.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DD616B">
        <w:rPr>
          <w:sz w:val="22"/>
          <w:szCs w:val="22"/>
        </w:rPr>
        <w:t xml:space="preserve">                          Rozvojová 269, 165 00 Praha 6</w:t>
      </w:r>
      <w:r w:rsidRPr="007A4CDF">
        <w:rPr>
          <w:sz w:val="22"/>
          <w:szCs w:val="22"/>
        </w:rPr>
        <w:tab/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</w:t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="00DD616B">
        <w:rPr>
          <w:sz w:val="22"/>
          <w:szCs w:val="22"/>
        </w:rPr>
        <w:t>44792247</w:t>
      </w:r>
      <w:r>
        <w:rPr>
          <w:sz w:val="22"/>
          <w:szCs w:val="22"/>
        </w:rPr>
        <w:t xml:space="preserve">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</w:t>
      </w:r>
      <w:r w:rsidR="007424C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="00DD616B">
        <w:rPr>
          <w:sz w:val="22"/>
          <w:szCs w:val="22"/>
        </w:rPr>
        <w:t>CZ44792247</w:t>
      </w:r>
      <w:r>
        <w:rPr>
          <w:sz w:val="22"/>
          <w:szCs w:val="22"/>
        </w:rPr>
        <w:t xml:space="preserve"> </w:t>
      </w:r>
      <w:r w:rsidR="00DD616B">
        <w:rPr>
          <w:sz w:val="22"/>
          <w:szCs w:val="22"/>
        </w:rPr>
        <w:t xml:space="preserve"> </w:t>
      </w:r>
    </w:p>
    <w:p w:rsidR="00963A45" w:rsidRDefault="00963A45" w:rsidP="007424C0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5628C1">
        <w:rPr>
          <w:sz w:val="22"/>
          <w:szCs w:val="22"/>
        </w:rPr>
        <w:t xml:space="preserve">         </w:t>
      </w:r>
      <w:r w:rsidR="007424C0">
        <w:rPr>
          <w:sz w:val="22"/>
          <w:szCs w:val="22"/>
        </w:rPr>
        <w:t xml:space="preserve">              </w:t>
      </w:r>
      <w:r w:rsidR="005628C1">
        <w:rPr>
          <w:sz w:val="22"/>
          <w:szCs w:val="22"/>
        </w:rPr>
        <w:t xml:space="preserve">  </w:t>
      </w:r>
      <w:r w:rsidR="00DD616B">
        <w:rPr>
          <w:sz w:val="22"/>
          <w:szCs w:val="22"/>
        </w:rPr>
        <w:t>MS v Praze, oddíl C, vložka 5528</w:t>
      </w:r>
      <w:r w:rsidR="005628C1">
        <w:rPr>
          <w:sz w:val="22"/>
          <w:szCs w:val="22"/>
        </w:rPr>
        <w:t xml:space="preserve"> </w:t>
      </w:r>
    </w:p>
    <w:p w:rsidR="003E5D65" w:rsidRDefault="00FC362D" w:rsidP="007424C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  <w:proofErr w:type="spellStart"/>
      <w:r w:rsidR="00945EEC">
        <w:rPr>
          <w:sz w:val="22"/>
          <w:szCs w:val="22"/>
        </w:rPr>
        <w:t>xxxxxxxxxxx</w:t>
      </w:r>
      <w:proofErr w:type="spellEnd"/>
      <w:r w:rsidR="00DD616B">
        <w:rPr>
          <w:sz w:val="22"/>
          <w:szCs w:val="22"/>
        </w:rPr>
        <w:t>, jednatelem</w:t>
      </w:r>
    </w:p>
    <w:p w:rsidR="007424C0" w:rsidRDefault="007424C0" w:rsidP="007424C0">
      <w:pPr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proofErr w:type="spellStart"/>
      <w:r w:rsidR="00945EEC">
        <w:rPr>
          <w:sz w:val="22"/>
          <w:szCs w:val="22"/>
        </w:rPr>
        <w:t>xxxxxxxxxxx</w:t>
      </w:r>
      <w:proofErr w:type="spellEnd"/>
      <w:r w:rsidR="00880353">
        <w:rPr>
          <w:sz w:val="22"/>
          <w:szCs w:val="22"/>
        </w:rPr>
        <w:t>, předseda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945EEC" w:rsidP="003E5D65">
      <w:pPr>
        <w:ind w:left="2836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="00880353">
        <w:rPr>
          <w:sz w:val="22"/>
          <w:szCs w:val="22"/>
        </w:rPr>
        <w:t xml:space="preserve">, </w:t>
      </w:r>
      <w:r w:rsidR="00871660">
        <w:rPr>
          <w:sz w:val="22"/>
          <w:szCs w:val="22"/>
        </w:rPr>
        <w:t>člen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2545E7" w:rsidRPr="002545E7">
        <w:rPr>
          <w:b/>
          <w:sz w:val="22"/>
          <w:szCs w:val="22"/>
        </w:rPr>
        <w:t>„</w:t>
      </w:r>
      <w:proofErr w:type="spellStart"/>
      <w:r w:rsidR="00335908">
        <w:rPr>
          <w:b/>
          <w:sz w:val="22"/>
          <w:szCs w:val="22"/>
        </w:rPr>
        <w:t>Termonádoba</w:t>
      </w:r>
      <w:proofErr w:type="spellEnd"/>
      <w:r w:rsidR="00335908">
        <w:rPr>
          <w:b/>
          <w:sz w:val="22"/>
          <w:szCs w:val="22"/>
        </w:rPr>
        <w:t xml:space="preserve"> + sypač</w:t>
      </w:r>
      <w:r w:rsidR="002545E7" w:rsidRPr="002545E7">
        <w:rPr>
          <w:b/>
          <w:sz w:val="22"/>
          <w:szCs w:val="22"/>
        </w:rPr>
        <w:t>“</w:t>
      </w:r>
      <w:r w:rsidR="002545E7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35908" w:rsidRDefault="003E5D65" w:rsidP="002545E7">
      <w:pPr>
        <w:pStyle w:val="Nadpis2"/>
        <w:rPr>
          <w:sz w:val="22"/>
          <w:szCs w:val="22"/>
        </w:rPr>
      </w:pPr>
      <w:r w:rsidRPr="00335908">
        <w:rPr>
          <w:sz w:val="22"/>
          <w:szCs w:val="22"/>
        </w:rPr>
        <w:t>Předmětem této smlouvy je závazek prodávajícího dodat kupujícímu a převést na kupujícího vlastnické právo k</w:t>
      </w:r>
      <w:r w:rsidR="002545E7" w:rsidRPr="00335908">
        <w:rPr>
          <w:sz w:val="22"/>
          <w:szCs w:val="22"/>
        </w:rPr>
        <w:t xml:space="preserve"> </w:t>
      </w:r>
      <w:proofErr w:type="spellStart"/>
      <w:r w:rsidR="00335908" w:rsidRPr="00335908">
        <w:rPr>
          <w:b/>
          <w:sz w:val="22"/>
          <w:szCs w:val="22"/>
        </w:rPr>
        <w:t>termonádobě</w:t>
      </w:r>
      <w:proofErr w:type="spellEnd"/>
      <w:r w:rsidR="002545E7" w:rsidRPr="00335908">
        <w:rPr>
          <w:b/>
          <w:sz w:val="22"/>
          <w:szCs w:val="22"/>
        </w:rPr>
        <w:t xml:space="preserve"> + </w:t>
      </w:r>
      <w:r w:rsidR="00335908" w:rsidRPr="00335908">
        <w:rPr>
          <w:b/>
          <w:sz w:val="22"/>
          <w:szCs w:val="22"/>
        </w:rPr>
        <w:t>sypači</w:t>
      </w:r>
      <w:r w:rsidR="00335908" w:rsidRPr="00335908">
        <w:rPr>
          <w:sz w:val="22"/>
          <w:szCs w:val="22"/>
        </w:rPr>
        <w:t xml:space="preserve"> </w:t>
      </w:r>
      <w:r w:rsidR="002545E7" w:rsidRPr="00335908">
        <w:rPr>
          <w:sz w:val="22"/>
          <w:szCs w:val="22"/>
        </w:rPr>
        <w:t xml:space="preserve"> (</w:t>
      </w:r>
      <w:r w:rsidR="00000D22" w:rsidRPr="00335908">
        <w:rPr>
          <w:sz w:val="22"/>
          <w:szCs w:val="22"/>
        </w:rPr>
        <w:t>dále jen „</w:t>
      </w:r>
      <w:r w:rsidRPr="00335908">
        <w:rPr>
          <w:b/>
          <w:i/>
          <w:sz w:val="22"/>
          <w:szCs w:val="22"/>
        </w:rPr>
        <w:t>zboží</w:t>
      </w:r>
      <w:r w:rsidR="00000D22" w:rsidRPr="00335908">
        <w:rPr>
          <w:sz w:val="22"/>
          <w:szCs w:val="22"/>
        </w:rPr>
        <w:t>“), které bylo objednáno na základě krycího listu, je</w:t>
      </w:r>
      <w:r w:rsidR="00DC1C64" w:rsidRPr="00335908">
        <w:rPr>
          <w:sz w:val="22"/>
          <w:szCs w:val="22"/>
        </w:rPr>
        <w:t>n</w:t>
      </w:r>
      <w:r w:rsidR="00000D22" w:rsidRPr="00335908">
        <w:rPr>
          <w:sz w:val="22"/>
          <w:szCs w:val="22"/>
        </w:rPr>
        <w:t xml:space="preserve">ž tvoří Přílohu č. </w:t>
      </w:r>
      <w:r w:rsidR="00B517DE" w:rsidRPr="00335908">
        <w:rPr>
          <w:sz w:val="22"/>
          <w:szCs w:val="22"/>
        </w:rPr>
        <w:t>2</w:t>
      </w:r>
      <w:r w:rsidR="00000D22" w:rsidRPr="00335908">
        <w:rPr>
          <w:sz w:val="22"/>
          <w:szCs w:val="22"/>
        </w:rPr>
        <w:t xml:space="preserve"> této smlouvy (dále jen „krycí list“),</w:t>
      </w:r>
      <w:r w:rsidRPr="00335908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35908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35908">
        <w:rPr>
          <w:sz w:val="22"/>
          <w:szCs w:val="22"/>
        </w:rPr>
        <w:t>Vlastnické právo přechází na kupujícího v okamžiku plného uhrazení kupní ceny a to znamená připsání ceny na účet prodávajícího.</w:t>
      </w: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5628C1" w:rsidRPr="003C3A16" w:rsidRDefault="005628C1" w:rsidP="00963A45">
      <w:pPr>
        <w:rPr>
          <w:sz w:val="22"/>
          <w:szCs w:val="22"/>
        </w:rPr>
      </w:pPr>
    </w:p>
    <w:p w:rsidR="00963A45" w:rsidRPr="00E34BC1" w:rsidRDefault="00DD616B" w:rsidP="00871660">
      <w:pPr>
        <w:tabs>
          <w:tab w:val="left" w:pos="284"/>
        </w:tabs>
        <w:rPr>
          <w:sz w:val="22"/>
          <w:szCs w:val="22"/>
        </w:rPr>
      </w:pPr>
      <w:r w:rsidRPr="00E34BC1">
        <w:rPr>
          <w:sz w:val="22"/>
          <w:szCs w:val="22"/>
        </w:rPr>
        <w:t xml:space="preserve">       </w:t>
      </w:r>
      <w:r w:rsidR="005628C1" w:rsidRPr="00E34BC1">
        <w:rPr>
          <w:sz w:val="22"/>
          <w:szCs w:val="22"/>
        </w:rPr>
        <w:t xml:space="preserve">     </w:t>
      </w:r>
      <w:proofErr w:type="spellStart"/>
      <w:r w:rsidRPr="00E34BC1">
        <w:rPr>
          <w:sz w:val="22"/>
          <w:szCs w:val="22"/>
        </w:rPr>
        <w:t>Termonádoba</w:t>
      </w:r>
      <w:proofErr w:type="spellEnd"/>
      <w:r w:rsidRPr="00E34BC1">
        <w:rPr>
          <w:sz w:val="22"/>
          <w:szCs w:val="22"/>
        </w:rPr>
        <w:t xml:space="preserve"> + sypač</w:t>
      </w:r>
      <w:r w:rsidR="00E34BC1">
        <w:rPr>
          <w:sz w:val="22"/>
          <w:szCs w:val="22"/>
        </w:rPr>
        <w:t>, cena</w:t>
      </w:r>
      <w:r w:rsidRPr="00E34BC1">
        <w:rPr>
          <w:sz w:val="22"/>
          <w:szCs w:val="22"/>
        </w:rPr>
        <w:t xml:space="preserve">  </w:t>
      </w:r>
      <w:r w:rsidR="00E34BC1" w:rsidRPr="00E34BC1">
        <w:rPr>
          <w:sz w:val="22"/>
          <w:szCs w:val="22"/>
        </w:rPr>
        <w:t>bez DPH</w:t>
      </w:r>
      <w:r w:rsidRPr="00E34BC1">
        <w:rPr>
          <w:sz w:val="22"/>
          <w:szCs w:val="22"/>
        </w:rPr>
        <w:t xml:space="preserve">                                                      918 000 Kč  </w:t>
      </w:r>
    </w:p>
    <w:p w:rsidR="005628C1" w:rsidRPr="00E34BC1" w:rsidRDefault="00DD616B" w:rsidP="00963A4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  <w:r w:rsidR="00E34BC1" w:rsidRPr="00E34BC1">
        <w:rPr>
          <w:sz w:val="22"/>
          <w:szCs w:val="22"/>
          <w:u w:val="single"/>
        </w:rPr>
        <w:t>P</w:t>
      </w:r>
      <w:r w:rsidRPr="00E34BC1">
        <w:rPr>
          <w:sz w:val="22"/>
          <w:szCs w:val="22"/>
          <w:u w:val="single"/>
        </w:rPr>
        <w:t>říplatkov</w:t>
      </w:r>
      <w:r w:rsidR="00E34BC1" w:rsidRPr="00E34BC1">
        <w:rPr>
          <w:sz w:val="22"/>
          <w:szCs w:val="22"/>
          <w:u w:val="single"/>
        </w:rPr>
        <w:t>á</w:t>
      </w:r>
      <w:r w:rsidRPr="00E34BC1">
        <w:rPr>
          <w:sz w:val="22"/>
          <w:szCs w:val="22"/>
          <w:u w:val="single"/>
        </w:rPr>
        <w:t xml:space="preserve"> výbav</w:t>
      </w:r>
      <w:r w:rsidR="00E34BC1" w:rsidRPr="00E34BC1">
        <w:rPr>
          <w:sz w:val="22"/>
          <w:szCs w:val="22"/>
          <w:u w:val="single"/>
        </w:rPr>
        <w:t>a, cena  bez DPH</w:t>
      </w:r>
      <w:r w:rsidRPr="00E34BC1">
        <w:rPr>
          <w:sz w:val="22"/>
          <w:szCs w:val="22"/>
          <w:u w:val="single"/>
        </w:rPr>
        <w:t xml:space="preserve"> </w:t>
      </w:r>
      <w:r w:rsidR="00E34BC1" w:rsidRPr="00E34BC1">
        <w:rPr>
          <w:sz w:val="22"/>
          <w:szCs w:val="22"/>
          <w:u w:val="single"/>
        </w:rPr>
        <w:t xml:space="preserve">                                                            41 400 Kč</w:t>
      </w:r>
    </w:p>
    <w:p w:rsidR="00E34BC1" w:rsidRDefault="00DD616B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34BC1">
        <w:rPr>
          <w:sz w:val="22"/>
          <w:szCs w:val="22"/>
        </w:rPr>
        <w:t>Cena celkem bez DPH                                                                                959 400 Kč</w:t>
      </w:r>
    </w:p>
    <w:p w:rsidR="00E34BC1" w:rsidRPr="00E34BC1" w:rsidRDefault="00E34BC1" w:rsidP="00963A4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  <w:r w:rsidRPr="00E34BC1">
        <w:rPr>
          <w:sz w:val="22"/>
          <w:szCs w:val="22"/>
          <w:u w:val="single"/>
        </w:rPr>
        <w:t>DPH 21%                                                                                                     201 474 Kč</w:t>
      </w:r>
    </w:p>
    <w:p w:rsidR="005628C1" w:rsidRDefault="00E34BC1" w:rsidP="00963A4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E34BC1">
        <w:rPr>
          <w:b/>
          <w:sz w:val="22"/>
          <w:szCs w:val="22"/>
        </w:rPr>
        <w:t xml:space="preserve">Cena celkem včetně DPH                                                                       1 160 874 Kč   </w:t>
      </w:r>
      <w:r w:rsidR="00DD616B" w:rsidRPr="00E34BC1">
        <w:rPr>
          <w:b/>
          <w:sz w:val="22"/>
          <w:szCs w:val="22"/>
        </w:rPr>
        <w:t xml:space="preserve"> </w:t>
      </w:r>
    </w:p>
    <w:p w:rsidR="00E34BC1" w:rsidRDefault="00E34BC1" w:rsidP="00963A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E34BC1" w:rsidRPr="00E34BC1" w:rsidRDefault="00E34BC1" w:rsidP="00963A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E34BC1">
        <w:rPr>
          <w:sz w:val="22"/>
          <w:szCs w:val="22"/>
        </w:rPr>
        <w:t>Specifikace příplatkové výbavy: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E34BC1">
        <w:rPr>
          <w:sz w:val="22"/>
          <w:szCs w:val="22"/>
        </w:rPr>
        <w:t>chranná síta v korbě 100/100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34BC1">
        <w:rPr>
          <w:sz w:val="22"/>
          <w:szCs w:val="22"/>
        </w:rPr>
        <w:t>adní zástěra za kola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E34BC1">
        <w:rPr>
          <w:sz w:val="22"/>
          <w:szCs w:val="22"/>
        </w:rPr>
        <w:t>světlení korby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E34BC1">
        <w:rPr>
          <w:sz w:val="22"/>
          <w:szCs w:val="22"/>
        </w:rPr>
        <w:t>dkládací prostor na ruční nářadí na boku korby(dle zástavby)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E34BC1">
        <w:rPr>
          <w:sz w:val="22"/>
          <w:szCs w:val="22"/>
        </w:rPr>
        <w:t>chránka nářadí uzavíratelná na boku korby (dle zástavby)</w:t>
      </w:r>
    </w:p>
    <w:p w:rsidR="00E34BC1" w:rsidRPr="00E34BC1" w:rsidRDefault="00E34BC1" w:rsidP="00E34BC1">
      <w:pPr>
        <w:pStyle w:val="Odstavecseseznamem"/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E34BC1">
        <w:rPr>
          <w:sz w:val="22"/>
          <w:szCs w:val="22"/>
        </w:rPr>
        <w:t>ádrž na vodu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BA2A48" w:rsidRDefault="00BA2A48" w:rsidP="00963A45">
      <w:pPr>
        <w:pStyle w:val="Nadpis1"/>
      </w:pPr>
      <w:r>
        <w:lastRenderedPageBreak/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871660">
        <w:rPr>
          <w:sz w:val="22"/>
          <w:szCs w:val="22"/>
        </w:rPr>
        <w:t xml:space="preserve">Na Vlečce 177, </w:t>
      </w:r>
      <w:r w:rsidRPr="003E5D65">
        <w:rPr>
          <w:sz w:val="22"/>
          <w:szCs w:val="22"/>
        </w:rPr>
        <w:t>36</w:t>
      </w:r>
      <w:r w:rsidR="00871660">
        <w:rPr>
          <w:sz w:val="22"/>
          <w:szCs w:val="22"/>
        </w:rPr>
        <w:t>0 01 Otovice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187DAE">
        <w:rPr>
          <w:sz w:val="22"/>
          <w:szCs w:val="22"/>
        </w:rPr>
        <w:t xml:space="preserve">do </w:t>
      </w:r>
      <w:r w:rsidR="00AD5D5A" w:rsidRPr="00E34BC1">
        <w:rPr>
          <w:b/>
          <w:sz w:val="22"/>
          <w:szCs w:val="22"/>
        </w:rPr>
        <w:t>31.12.2017</w:t>
      </w:r>
      <w:r w:rsidR="00871660">
        <w:rPr>
          <w:sz w:val="22"/>
          <w:szCs w:val="22"/>
        </w:rPr>
        <w:t>.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>čl. 10 odst. 10</w:t>
      </w:r>
      <w:r w:rsidRPr="003E5D65">
        <w:rPr>
          <w:sz w:val="22"/>
          <w:szCs w:val="22"/>
        </w:rPr>
        <w:t xml:space="preserve">.1. této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</w:t>
      </w:r>
      <w:r w:rsidRPr="003E5D65">
        <w:rPr>
          <w:sz w:val="22"/>
          <w:szCs w:val="22"/>
        </w:rPr>
        <w:lastRenderedPageBreak/>
        <w:t>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1D770E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Prodávající má právo vystavit fakturu </w:t>
      </w:r>
      <w:r w:rsidR="00BF4DB1" w:rsidRPr="001D770E">
        <w:rPr>
          <w:sz w:val="22"/>
          <w:szCs w:val="22"/>
        </w:rPr>
        <w:t>v den</w:t>
      </w:r>
      <w:r w:rsidRPr="001D770E">
        <w:rPr>
          <w:sz w:val="22"/>
          <w:szCs w:val="22"/>
        </w:rPr>
        <w:t xml:space="preserve">, co bylo objednané zboží předáno kupujícímu. </w:t>
      </w:r>
      <w:r w:rsidR="008B6E71" w:rsidRPr="001D770E">
        <w:rPr>
          <w:sz w:val="22"/>
          <w:szCs w:val="22"/>
        </w:rPr>
        <w:t>S</w:t>
      </w:r>
      <w:r w:rsidR="00000D22" w:rsidRPr="001D770E">
        <w:rPr>
          <w:sz w:val="22"/>
          <w:szCs w:val="22"/>
        </w:rPr>
        <w:t>platnost</w:t>
      </w:r>
      <w:r w:rsidR="001B21E4" w:rsidRPr="001D770E">
        <w:rPr>
          <w:sz w:val="22"/>
          <w:szCs w:val="22"/>
        </w:rPr>
        <w:t>i</w:t>
      </w:r>
      <w:r w:rsidR="00000D22" w:rsidRPr="001D770E">
        <w:rPr>
          <w:sz w:val="22"/>
          <w:szCs w:val="22"/>
        </w:rPr>
        <w:t xml:space="preserve"> vystavené </w:t>
      </w:r>
      <w:r w:rsidR="00414B25" w:rsidRPr="001D770E">
        <w:rPr>
          <w:sz w:val="22"/>
          <w:szCs w:val="22"/>
        </w:rPr>
        <w:t xml:space="preserve">faktury </w:t>
      </w:r>
      <w:r w:rsidR="008B6E71" w:rsidRPr="001D770E">
        <w:rPr>
          <w:sz w:val="22"/>
          <w:szCs w:val="22"/>
        </w:rPr>
        <w:t>bude ihned od</w:t>
      </w:r>
      <w:r w:rsidR="00414B25" w:rsidRPr="001D770E">
        <w:rPr>
          <w:sz w:val="22"/>
          <w:szCs w:val="22"/>
        </w:rPr>
        <w:t xml:space="preserve"> data jejího doručení kupujícímu</w:t>
      </w:r>
      <w:r w:rsidR="008B6E71" w:rsidRPr="001D770E">
        <w:rPr>
          <w:sz w:val="22"/>
          <w:szCs w:val="22"/>
        </w:rPr>
        <w:t>, maximálně 1 pracovní den po doručení faktury</w:t>
      </w:r>
      <w:r w:rsidR="00414B25" w:rsidRPr="001D770E">
        <w:rPr>
          <w:sz w:val="22"/>
          <w:szCs w:val="22"/>
        </w:rPr>
        <w:t xml:space="preserve">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</w:t>
      </w:r>
      <w:r w:rsidRPr="003E5D65">
        <w:rPr>
          <w:sz w:val="22"/>
          <w:szCs w:val="22"/>
        </w:rPr>
        <w:lastRenderedPageBreak/>
        <w:t xml:space="preserve">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1D770E" w:rsidRDefault="00963A45" w:rsidP="003E5D65">
      <w:pPr>
        <w:pStyle w:val="Nadpis1"/>
        <w:rPr>
          <w:sz w:val="22"/>
          <w:szCs w:val="22"/>
        </w:rPr>
      </w:pPr>
      <w:r w:rsidRPr="001D770E">
        <w:t xml:space="preserve">Záruka za jakost a </w:t>
      </w:r>
      <w:r w:rsidR="00CF4694" w:rsidRPr="001D770E">
        <w:t>nároky z vadného plnění</w:t>
      </w:r>
    </w:p>
    <w:p w:rsidR="003E5D65" w:rsidRPr="001D770E" w:rsidRDefault="0082424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Odpovědnost za vady na vozidle je 1 rok od převzetí výrobku, na rám a díly </w:t>
      </w:r>
      <w:r w:rsidR="00084C25" w:rsidRPr="001D770E">
        <w:rPr>
          <w:sz w:val="22"/>
          <w:szCs w:val="22"/>
        </w:rPr>
        <w:t xml:space="preserve">výrobku </w:t>
      </w:r>
      <w:r w:rsidRPr="001D770E">
        <w:rPr>
          <w:sz w:val="22"/>
          <w:szCs w:val="22"/>
        </w:rPr>
        <w:t>je 2 roky. Odpovědnost za vady se nevztahuje na případy</w:t>
      </w:r>
      <w:r w:rsidR="00084C25" w:rsidRPr="001D770E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 xml:space="preserve"> uvedené lhůtě se zavazuje reklamaci prověřit, diagnostikovat </w:t>
      </w:r>
      <w:r w:rsidRPr="003E5D65">
        <w:rPr>
          <w:sz w:val="22"/>
          <w:szCs w:val="22"/>
        </w:rPr>
        <w:lastRenderedPageBreak/>
        <w:t>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 xml:space="preserve">.6.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kupujícím. Za podstatné porušení smlouvy se považuje nezaplacení kupní ceny plnění </w:t>
      </w:r>
      <w:r w:rsidRPr="003E5D65">
        <w:rPr>
          <w:sz w:val="22"/>
          <w:szCs w:val="22"/>
        </w:rPr>
        <w:lastRenderedPageBreak/>
        <w:t>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Default="00FC2CBA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5628C1" w:rsidRDefault="005628C1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lastRenderedPageBreak/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Default="003E5D65" w:rsidP="00963A45">
      <w:pPr>
        <w:contextualSpacing/>
        <w:jc w:val="both"/>
        <w:rPr>
          <w:bCs/>
          <w:iCs/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F609C3" w:rsidRPr="00B517DE" w:rsidRDefault="00F609C3" w:rsidP="00963A45">
      <w:pPr>
        <w:contextualSpacing/>
        <w:jc w:val="both"/>
        <w:rPr>
          <w:sz w:val="22"/>
          <w:szCs w:val="22"/>
        </w:rPr>
      </w:pPr>
      <w:r w:rsidRPr="00F609C3">
        <w:rPr>
          <w:b/>
          <w:bCs/>
          <w:iCs/>
          <w:sz w:val="22"/>
          <w:szCs w:val="22"/>
        </w:rPr>
        <w:t xml:space="preserve">Příloha č. 3 </w:t>
      </w:r>
      <w:r>
        <w:rPr>
          <w:bCs/>
          <w:iCs/>
          <w:sz w:val="22"/>
          <w:szCs w:val="22"/>
        </w:rPr>
        <w:t>– Příplatková výbava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Otovicích  dne</w:t>
      </w:r>
      <w:r w:rsidRPr="001D770E">
        <w:rPr>
          <w:sz w:val="22"/>
          <w:szCs w:val="22"/>
        </w:rPr>
        <w:t>:</w:t>
      </w:r>
      <w:r w:rsidR="00E34BC1">
        <w:rPr>
          <w:sz w:val="22"/>
          <w:szCs w:val="22"/>
        </w:rPr>
        <w:t xml:space="preserve"> ……………</w:t>
      </w:r>
      <w:r w:rsidR="00871660">
        <w:rPr>
          <w:sz w:val="22"/>
          <w:szCs w:val="22"/>
        </w:rPr>
        <w:t xml:space="preserve">                                        </w:t>
      </w:r>
      <w:r w:rsidR="00B517DE" w:rsidRPr="001D770E">
        <w:rPr>
          <w:sz w:val="22"/>
          <w:szCs w:val="22"/>
        </w:rPr>
        <w:tab/>
      </w:r>
      <w:r w:rsidRPr="001D770E">
        <w:rPr>
          <w:sz w:val="22"/>
          <w:szCs w:val="22"/>
        </w:rPr>
        <w:t>V</w:t>
      </w:r>
      <w:r w:rsidR="00E34BC1">
        <w:rPr>
          <w:sz w:val="22"/>
          <w:szCs w:val="22"/>
        </w:rPr>
        <w:t xml:space="preserve"> Jičíně</w:t>
      </w:r>
      <w:r w:rsidRPr="001D770E">
        <w:rPr>
          <w:sz w:val="22"/>
          <w:szCs w:val="22"/>
        </w:rPr>
        <w:t xml:space="preserve">   dne …………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Default="00141260" w:rsidP="00963A45">
      <w:pPr>
        <w:rPr>
          <w:sz w:val="22"/>
          <w:szCs w:val="22"/>
        </w:rPr>
      </w:pPr>
    </w:p>
    <w:p w:rsidR="00D27E6E" w:rsidRDefault="00D27E6E" w:rsidP="00963A45">
      <w:pPr>
        <w:rPr>
          <w:sz w:val="22"/>
          <w:szCs w:val="22"/>
        </w:rPr>
      </w:pPr>
    </w:p>
    <w:p w:rsidR="00D27E6E" w:rsidRDefault="00D27E6E" w:rsidP="00963A45">
      <w:pPr>
        <w:rPr>
          <w:sz w:val="22"/>
          <w:szCs w:val="22"/>
        </w:rPr>
      </w:pPr>
    </w:p>
    <w:p w:rsidR="00D27E6E" w:rsidRPr="007A4CDF" w:rsidRDefault="00D27E6E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E34BC1" w:rsidRDefault="00945EEC" w:rsidP="00963A45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xxxxxxxxxxxxx</w:t>
      </w:r>
      <w:proofErr w:type="spellEnd"/>
      <w:r w:rsidR="00963A45">
        <w:rPr>
          <w:sz w:val="22"/>
          <w:szCs w:val="22"/>
        </w:rPr>
        <w:t xml:space="preserve">      </w:t>
      </w:r>
      <w:r w:rsidR="00E34BC1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</w:t>
      </w:r>
      <w:r w:rsidR="00E34BC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</w:t>
      </w:r>
      <w:proofErr w:type="spellEnd"/>
      <w:proofErr w:type="gramEnd"/>
      <w:r w:rsidR="00E34BC1">
        <w:rPr>
          <w:sz w:val="22"/>
          <w:szCs w:val="22"/>
        </w:rPr>
        <w:t xml:space="preserve">  </w:t>
      </w:r>
      <w:r w:rsidR="00E34BC1">
        <w:rPr>
          <w:sz w:val="22"/>
          <w:szCs w:val="22"/>
        </w:rPr>
        <w:tab/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D27E6E">
        <w:rPr>
          <w:sz w:val="22"/>
          <w:szCs w:val="22"/>
        </w:rPr>
        <w:t>jednatel společnosti</w:t>
      </w:r>
      <w:r>
        <w:rPr>
          <w:sz w:val="22"/>
          <w:szCs w:val="22"/>
        </w:rPr>
        <w:t xml:space="preserve">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="00D27E6E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</w:t>
      </w:r>
      <w:r w:rsidR="00D27E6E">
        <w:rPr>
          <w:rFonts w:eastAsia="Arial Unicode MS"/>
          <w:sz w:val="22"/>
          <w:szCs w:val="22"/>
        </w:rPr>
        <w:t>KOBIT, spol. s r.o.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945EEC" w:rsidP="00963A45">
      <w:pPr>
        <w:rPr>
          <w:rFonts w:eastAsia="Arial Unicode MS"/>
          <w:sz w:val="22"/>
          <w:szCs w:val="22"/>
        </w:rPr>
      </w:pPr>
      <w:proofErr w:type="spellStart"/>
      <w:r>
        <w:rPr>
          <w:rFonts w:eastAsia="Arial Unicode MS"/>
          <w:sz w:val="22"/>
          <w:szCs w:val="22"/>
        </w:rPr>
        <w:t>xxxxxxxxxxxxxxxxxx</w:t>
      </w:r>
      <w:proofErr w:type="spellEnd"/>
    </w:p>
    <w:p w:rsidR="00963A45" w:rsidRPr="007A4CDF" w:rsidRDefault="007E56F9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</w:t>
      </w:r>
      <w:r w:rsidR="00871660">
        <w:rPr>
          <w:rFonts w:eastAsia="Arial Unicode MS"/>
          <w:sz w:val="22"/>
          <w:szCs w:val="22"/>
        </w:rPr>
        <w:t>len představens</w:t>
      </w:r>
      <w:r w:rsidR="00963A45" w:rsidRPr="007A4CDF">
        <w:rPr>
          <w:rFonts w:eastAsia="Arial Unicode MS"/>
          <w:sz w:val="22"/>
          <w:szCs w:val="22"/>
        </w:rPr>
        <w:t>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>
      <w:bookmarkStart w:id="0" w:name="_GoBack"/>
      <w:bookmarkEnd w:id="0"/>
    </w:p>
    <w:sectPr w:rsidR="003E5D65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B8" w:rsidRDefault="00B11CB8">
      <w:r>
        <w:separator/>
      </w:r>
    </w:p>
  </w:endnote>
  <w:endnote w:type="continuationSeparator" w:id="0">
    <w:p w:rsidR="00B11CB8" w:rsidRDefault="00B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1C1448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D503E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45EEC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B8" w:rsidRDefault="00B11CB8">
      <w:r>
        <w:separator/>
      </w:r>
    </w:p>
  </w:footnote>
  <w:footnote w:type="continuationSeparator" w:id="0">
    <w:p w:rsidR="00B11CB8" w:rsidRDefault="00B1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FE2956"/>
    <w:multiLevelType w:val="hybridMultilevel"/>
    <w:tmpl w:val="C862F020"/>
    <w:lvl w:ilvl="0" w:tplc="53F2D00A">
      <w:start w:val="91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9"/>
  </w:num>
  <w:num w:numId="18">
    <w:abstractNumId w:val="37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6"/>
  </w:num>
  <w:num w:numId="26">
    <w:abstractNumId w:val="35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8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 w:numId="69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87DAE"/>
    <w:rsid w:val="001973BE"/>
    <w:rsid w:val="001B21E4"/>
    <w:rsid w:val="001C1448"/>
    <w:rsid w:val="001D44B9"/>
    <w:rsid w:val="001D5A62"/>
    <w:rsid w:val="001D6419"/>
    <w:rsid w:val="001D770E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45E7"/>
    <w:rsid w:val="00257B53"/>
    <w:rsid w:val="00261FDE"/>
    <w:rsid w:val="002650DC"/>
    <w:rsid w:val="00266A93"/>
    <w:rsid w:val="00273176"/>
    <w:rsid w:val="00274753"/>
    <w:rsid w:val="00294664"/>
    <w:rsid w:val="002A2B24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5908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E7AC5"/>
    <w:rsid w:val="004F23AE"/>
    <w:rsid w:val="00503DD0"/>
    <w:rsid w:val="00515DE7"/>
    <w:rsid w:val="005262B2"/>
    <w:rsid w:val="00550BAE"/>
    <w:rsid w:val="005628C1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1CA3"/>
    <w:rsid w:val="005E7670"/>
    <w:rsid w:val="005F78D4"/>
    <w:rsid w:val="0060385E"/>
    <w:rsid w:val="0060508B"/>
    <w:rsid w:val="0060528F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424C0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D0A13"/>
    <w:rsid w:val="007E56F9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71660"/>
    <w:rsid w:val="00873FA7"/>
    <w:rsid w:val="00880353"/>
    <w:rsid w:val="00885890"/>
    <w:rsid w:val="00897288"/>
    <w:rsid w:val="00897781"/>
    <w:rsid w:val="008B0BCE"/>
    <w:rsid w:val="008B1A1B"/>
    <w:rsid w:val="008B6E71"/>
    <w:rsid w:val="008E44E9"/>
    <w:rsid w:val="008F0271"/>
    <w:rsid w:val="008F24E4"/>
    <w:rsid w:val="008F76A1"/>
    <w:rsid w:val="009001AB"/>
    <w:rsid w:val="00902188"/>
    <w:rsid w:val="009120C4"/>
    <w:rsid w:val="00917194"/>
    <w:rsid w:val="00923CE1"/>
    <w:rsid w:val="009270CC"/>
    <w:rsid w:val="00945EEC"/>
    <w:rsid w:val="0096047B"/>
    <w:rsid w:val="00963A45"/>
    <w:rsid w:val="009730FD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1A0"/>
    <w:rsid w:val="00A12AAE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AD5D5A"/>
    <w:rsid w:val="00B11CB8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D10614"/>
    <w:rsid w:val="00D10F2C"/>
    <w:rsid w:val="00D255F3"/>
    <w:rsid w:val="00D27E6E"/>
    <w:rsid w:val="00D41E2A"/>
    <w:rsid w:val="00D43304"/>
    <w:rsid w:val="00D43B78"/>
    <w:rsid w:val="00D45DDB"/>
    <w:rsid w:val="00D47747"/>
    <w:rsid w:val="00D50097"/>
    <w:rsid w:val="00D503E7"/>
    <w:rsid w:val="00D66F89"/>
    <w:rsid w:val="00D73BDE"/>
    <w:rsid w:val="00D817FF"/>
    <w:rsid w:val="00D84F61"/>
    <w:rsid w:val="00D91604"/>
    <w:rsid w:val="00D922A1"/>
    <w:rsid w:val="00D93E60"/>
    <w:rsid w:val="00DA7D60"/>
    <w:rsid w:val="00DB0617"/>
    <w:rsid w:val="00DB4725"/>
    <w:rsid w:val="00DB522B"/>
    <w:rsid w:val="00DC137C"/>
    <w:rsid w:val="00DC1A1C"/>
    <w:rsid w:val="00DC1C64"/>
    <w:rsid w:val="00DC2981"/>
    <w:rsid w:val="00DD616B"/>
    <w:rsid w:val="00DE47B8"/>
    <w:rsid w:val="00E018C5"/>
    <w:rsid w:val="00E07237"/>
    <w:rsid w:val="00E10FD4"/>
    <w:rsid w:val="00E11807"/>
    <w:rsid w:val="00E12574"/>
    <w:rsid w:val="00E23498"/>
    <w:rsid w:val="00E2600C"/>
    <w:rsid w:val="00E34BC1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609C3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2CBA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75DF0E-0BE8-4FD7-A8D4-62D8DC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4</TotalTime>
  <Pages>1</Pages>
  <Words>2386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4</cp:revision>
  <cp:lastPrinted>2017-09-12T10:17:00Z</cp:lastPrinted>
  <dcterms:created xsi:type="dcterms:W3CDTF">2017-09-26T07:10:00Z</dcterms:created>
  <dcterms:modified xsi:type="dcterms:W3CDTF">2017-09-26T07:13:00Z</dcterms:modified>
</cp:coreProperties>
</file>