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4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0" w:name="bookmark0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Příloha č. 6 ke Smlouvě o nájmu nebytových prostor</w:t>
      </w:r>
      <w:r>
        <w:rPr>
          <w:color w:val="000000"/>
          <w:spacing w:val="0"/>
          <w:w w:val="100"/>
          <w:position w:val="0"/>
          <w:u w:val="none"/>
          <w:shd w:val="clear" w:color="auto" w:fill="auto"/>
          <w:lang w:val="cs-CZ" w:eastAsia="cs-CZ" w:bidi="cs-CZ"/>
        </w:rPr>
        <w:t>:</w:t>
      </w:r>
      <w:bookmarkEnd w:id="0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59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Výmětový list zálohových plateb energií a paušálních služeb k budově č.p, 443 ulice</w:t>
        <w:br/>
        <w:t>Pemerova v Pardubicích od 1.1.2011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59" w:lineRule="auto"/>
        <w:ind w:left="0" w:right="0" w:firstLine="16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Pronajímatel : SK - EKO Pardubice s.r.o.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2364" w:val="left"/>
        </w:tabs>
        <w:bidi w:val="0"/>
        <w:spacing w:before="0" w:line="259" w:lineRule="auto"/>
        <w:ind w:left="0" w:right="0" w:firstLine="16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Nájemce</w:t>
        <w:tab/>
        <w:t>: Statutární město Pardubice - Městská policie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pronajatá plocha celkem: prostory v nemovitosti ve výše uvedené budově č.p. 443:</w:t>
      </w:r>
    </w:p>
    <w:tbl>
      <w:tblPr>
        <w:tblOverlap w:val="never"/>
        <w:jc w:val="left"/>
        <w:tblLayout w:type="fixed"/>
      </w:tblPr>
      <w:tblGrid>
        <w:gridCol w:w="2713"/>
        <w:gridCol w:w="2620"/>
        <w:gridCol w:w="2645"/>
      </w:tblGrid>
      <w:tr>
        <w:trPr>
          <w:trHeight w:val="279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cs-CZ" w:eastAsia="cs-CZ" w:bidi="cs-CZ"/>
              </w:rPr>
              <w:t>nadzemní podlaží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cs-CZ" w:eastAsia="cs-CZ" w:bidi="cs-CZ"/>
              </w:rPr>
              <w:t>výměra m2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cs-CZ" w:eastAsia="cs-CZ" w:bidi="cs-CZ"/>
              </w:rPr>
              <w:t>bližší určení</w:t>
            </w:r>
          </w:p>
        </w:tc>
      </w:tr>
      <w:tr>
        <w:trPr>
          <w:trHeight w:val="28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cs-CZ" w:eastAsia="cs-CZ" w:bidi="cs-CZ"/>
              </w:rPr>
              <w:t>1. PPaž4. NP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cs-CZ" w:eastAsia="cs-CZ" w:bidi="cs-CZ"/>
              </w:rPr>
              <w:t>443,3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cs-CZ" w:eastAsia="cs-CZ" w:bidi="cs-CZ"/>
              </w:rPr>
              <w:t>kancelářské prostory</w:t>
            </w:r>
          </w:p>
        </w:tc>
      </w:tr>
      <w:tr>
        <w:trPr>
          <w:trHeight w:val="28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cs-CZ" w:eastAsia="cs-CZ" w:bidi="cs-CZ"/>
              </w:rPr>
              <w:t>1. PPaž4. NP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cs-CZ" w:eastAsia="cs-CZ" w:bidi="cs-CZ"/>
              </w:rPr>
              <w:t>210,7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cs-CZ" w:eastAsia="cs-CZ" w:bidi="cs-CZ"/>
              </w:rPr>
              <w:t>skladové prostory</w:t>
            </w:r>
          </w:p>
        </w:tc>
      </w:tr>
      <w:tr>
        <w:trPr>
          <w:trHeight w:val="27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cs-CZ" w:eastAsia="cs-CZ" w:bidi="cs-CZ"/>
              </w:rPr>
              <w:t>1. PP až 4. NP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cs-CZ" w:eastAsia="cs-CZ" w:bidi="cs-CZ"/>
              </w:rPr>
              <w:t>142,1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cs-CZ" w:eastAsia="cs-CZ" w:bidi="cs-CZ"/>
              </w:rPr>
              <w:t>šatny</w:t>
            </w:r>
          </w:p>
        </w:tc>
      </w:tr>
      <w:tr>
        <w:trPr>
          <w:trHeight w:val="269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cs-CZ" w:eastAsia="cs-CZ" w:bidi="cs-CZ"/>
              </w:rPr>
              <w:t>1. PPaž4. NP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cs-CZ" w:eastAsia="cs-CZ" w:bidi="cs-CZ"/>
              </w:rPr>
              <w:t>62,3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cs-CZ" w:eastAsia="cs-CZ" w:bidi="cs-CZ"/>
              </w:rPr>
              <w:t>sociální zařízení</w:t>
            </w:r>
          </w:p>
        </w:tc>
      </w:tr>
      <w:tr>
        <w:trPr>
          <w:trHeight w:val="446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cs-CZ" w:eastAsia="cs-CZ" w:bidi="cs-CZ"/>
              </w:rPr>
              <w:t>1. PP až 4. NP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cs-CZ" w:eastAsia="cs-CZ" w:bidi="cs-CZ"/>
              </w:rPr>
              <w:t>149,8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cs-CZ" w:eastAsia="cs-CZ" w:bidi="cs-CZ"/>
              </w:rPr>
              <w:t>chodby</w:t>
            </w:r>
          </w:p>
        </w:tc>
      </w:tr>
      <w:tr>
        <w:trPr>
          <w:trHeight w:val="416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cs-CZ" w:eastAsia="cs-CZ" w:bidi="cs-CZ"/>
              </w:rPr>
              <w:t>Celkem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cs-CZ" w:eastAsia="cs-CZ" w:bidi="cs-CZ"/>
              </w:rPr>
              <w:t>1008,2m2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25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16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Roční nájemné : 995.000,- Kč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16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Čtvrtletní platba : 248.750,- Kč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16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Čtvrtletní zálohové platby na energie a služby spojené s provozem celého objektu 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160"/>
        <w:jc w:val="both"/>
      </w:pPr>
      <w:r>
        <mc:AlternateContent>
          <mc:Choice Requires="wps">
            <w:drawing>
              <wp:anchor distT="0" distB="360680" distL="135890" distR="123825" simplePos="0" relativeHeight="125829378" behindDoc="0" locked="0" layoutInCell="1" allowOverlap="1">
                <wp:simplePos x="0" y="0"/>
                <wp:positionH relativeFrom="page">
                  <wp:posOffset>4620260</wp:posOffset>
                </wp:positionH>
                <wp:positionV relativeFrom="paragraph">
                  <wp:posOffset>12700</wp:posOffset>
                </wp:positionV>
                <wp:extent cx="1188085" cy="724535"/>
                <wp:wrapSquare wrapText="left"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88085" cy="7245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cs-CZ" w:eastAsia="cs-CZ" w:bidi="cs-CZ"/>
                              </w:rPr>
                              <w:t>25.000,- Kč/ čtvrt.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cs-CZ" w:eastAsia="cs-CZ" w:bidi="cs-CZ"/>
                              </w:rPr>
                              <w:t>58.000,- Kč/ čtvrt.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14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cs-CZ" w:eastAsia="cs-CZ" w:bidi="cs-CZ"/>
                              </w:rPr>
                              <w:t>8.500,- Kč/ Čtvrt.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cs-CZ" w:eastAsia="cs-CZ" w:bidi="cs-CZ"/>
                              </w:rPr>
                              <w:t>10.200,- Kč/ čtvrt.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63.80000000000001pt;margin-top:1.pt;width:93.549999999999997pt;height:57.050000000000004pt;z-index:-125829375;mso-wrap-distance-left:10.700000000000001pt;mso-wrap-distance-right:9.75pt;mso-wrap-distance-bottom:28.400000000000002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cs-CZ" w:eastAsia="cs-CZ" w:bidi="cs-CZ"/>
                        </w:rPr>
                        <w:t>25.000,- Kč/ čtvrt.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cs-CZ" w:eastAsia="cs-CZ" w:bidi="cs-CZ"/>
                        </w:rPr>
                        <w:t>58.000,- Kč/ čtvrt.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14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cs-CZ" w:eastAsia="cs-CZ" w:bidi="cs-CZ"/>
                        </w:rPr>
                        <w:t>8.500,- Kč/ Čtvrt.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cs-CZ" w:eastAsia="cs-CZ" w:bidi="cs-CZ"/>
                        </w:rPr>
                        <w:t>10.200,- Kč/ čtvrt.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mc:AlternateContent>
          <mc:Choice Requires="wps">
            <w:drawing>
              <wp:anchor distT="895985" distB="0" distL="114300" distR="114300" simplePos="0" relativeHeight="125829380" behindDoc="0" locked="0" layoutInCell="1" allowOverlap="1">
                <wp:simplePos x="0" y="0"/>
                <wp:positionH relativeFrom="page">
                  <wp:posOffset>4598670</wp:posOffset>
                </wp:positionH>
                <wp:positionV relativeFrom="paragraph">
                  <wp:posOffset>908685</wp:posOffset>
                </wp:positionV>
                <wp:extent cx="1219200" cy="189865"/>
                <wp:wrapSquare wrapText="left"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19200" cy="18986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cs-CZ" w:eastAsia="cs-CZ" w:bidi="cs-CZ"/>
                              </w:rPr>
                              <w:t>101.700,- Kč/čtvrt.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362.10000000000002pt;margin-top:71.549999999999997pt;width:96.pt;height:14.950000000000001pt;z-index:-125829373;mso-wrap-distance-left:9.pt;mso-wrap-distance-top:70.549999999999997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cs-CZ" w:eastAsia="cs-CZ" w:bidi="cs-CZ"/>
                        </w:rPr>
                        <w:t>101.700,- Kč/čtvrt.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Elektrická energie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16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Teplo a teplá voda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16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Vodné a stočné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16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Náklady na služby spojené s provozem objektu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16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Celkem zálohové platby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160" w:right="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cs-CZ" w:eastAsia="cs-CZ" w:bidi="cs-CZ"/>
        </w:rPr>
        <w:t>Celkem čtvrtletní úhrada za nájemné a zálohové platby : 350 450,- Kč.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160" w:right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Cena za služby, zálohy a paušální poplatky může být během roku jednostranně zvýšena v závislosti na zvýšení cen dodavatelů a jiných nákladů.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160" w:right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Pronajímatel je povinen skutečné náklady spojené s provozem předmětu nájmu nájemci každoročně vyúčtovat a provést vyrovnání případných přeplatků či nedoplatků.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57" w:lineRule="auto"/>
        <w:ind w:left="160" w:right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Nájemce souhlasí s tím, že v těch případech kdy není spotřeba energií měřena nainstalovanými měřidly, bude vyúčtována náhradním způsobem podle plochy s přihlédnutím k počtu osob.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18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Nájemce se zavazuje platit měsíční poplatky a zálohy na úhradu služeb ve výši uvedené ve | Výměru stanoveném pronajímatelem, a to v pravidelných čtvrtletních splátkách.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160" w:right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Vyúčtování dodávaných služeb podle této smlouvy, bude provedeno s odečtením zálohových plateb jednou ročně po obdržení konečných faktur od dodavatelů.</w:t>
      </w:r>
      <w:r>
        <w:br w:type="page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5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Při opakovaném neplacení měsíční úhrady stanovené ve Výmětovém listu bere nájemce na vědomí, že dodávka služeb bude přerušena a dlužná částka bude vymáhána soudní cestou. Za opakované neplacení se považuje dluh za jedno Čtvrtletí.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sectPr>
          <w:footnotePr>
            <w:pos w:val="pageBottom"/>
            <w:numFmt w:val="decimal"/>
            <w:numRestart w:val="continuous"/>
          </w:footnotePr>
          <w:pgSz w:w="11900" w:h="16840"/>
          <w:pgMar w:top="1270" w:right="1278" w:bottom="1368" w:left="1055" w:header="842" w:footer="940" w:gutter="0"/>
          <w:pgNumType w:start="1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Podepsáno v Pardubicích dne 3.1. 2011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" w:after="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622" w:right="0" w:bottom="1622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12"/>
        <w:keepNext w:val="0"/>
        <w:keepLines w:val="0"/>
        <w:framePr w:w="1376" w:h="304" w:wrap="none" w:vAnchor="text" w:hAnchor="page" w:x="1189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Pronajímatel:</w:t>
      </w:r>
    </w:p>
    <w:p>
      <w:pPr>
        <w:pStyle w:val="Style12"/>
        <w:keepNext w:val="0"/>
        <w:keepLines w:val="0"/>
        <w:framePr w:w="2145" w:h="867" w:wrap="none" w:vAnchor="text" w:hAnchor="page" w:x="1150" w:y="314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 xml:space="preserve">Jan Kafka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vertAlign w:val="superscript"/>
          <w:lang w:val="cs-CZ" w:eastAsia="cs-CZ" w:bidi="cs-CZ"/>
        </w:rPr>
        <w:t xml:space="preserve">v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Václav Novotný jednatelé společnosti</w:t>
      </w:r>
    </w:p>
    <w:p>
      <w:pPr>
        <w:pStyle w:val="Style12"/>
        <w:keepNext w:val="0"/>
        <w:keepLines w:val="0"/>
        <w:framePr w:w="984" w:h="304" w:wrap="none" w:vAnchor="text" w:hAnchor="page" w:x="6297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Nájemce:</w:t>
      </w:r>
    </w:p>
    <w:p>
      <w:pPr>
        <w:pStyle w:val="Style12"/>
        <w:keepNext w:val="0"/>
        <w:keepLines w:val="0"/>
        <w:framePr w:w="2733" w:h="583" w:wrap="none" w:vAnchor="text" w:hAnchor="page" w:x="6283" w:y="199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Statutami město Pardubice - Městská policie</w:t>
      </w:r>
    </w:p>
    <w:p>
      <w:pPr>
        <w:pStyle w:val="Style2"/>
        <w:keepNext w:val="0"/>
        <w:keepLines w:val="0"/>
        <w:framePr w:w="1484" w:h="583" w:wrap="none" w:vAnchor="text" w:hAnchor="page" w:x="6282" w:y="31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Ing. Petr Kvaš ředitel</w:t>
      </w:r>
    </w:p>
    <w:p>
      <w:pPr>
        <w:widowControl w:val="0"/>
        <w:spacing w:line="360" w:lineRule="exact"/>
      </w:pPr>
      <w:r>
        <w:drawing>
          <wp:anchor distT="267335" distB="528955" distL="0" distR="0" simplePos="0" relativeHeight="62914690" behindDoc="1" locked="0" layoutInCell="1" allowOverlap="1">
            <wp:simplePos x="0" y="0"/>
            <wp:positionH relativeFrom="page">
              <wp:posOffset>207010</wp:posOffset>
            </wp:positionH>
            <wp:positionV relativeFrom="paragraph">
              <wp:posOffset>280035</wp:posOffset>
            </wp:positionV>
            <wp:extent cx="2633345" cy="1737360"/>
            <wp:wrapNone/>
            <wp:docPr id="5" name="Shap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2633345" cy="17373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267335" distB="332740" distL="0" distR="0" simplePos="0" relativeHeight="62914691" behindDoc="1" locked="0" layoutInCell="1" allowOverlap="1">
            <wp:simplePos x="0" y="0"/>
            <wp:positionH relativeFrom="page">
              <wp:posOffset>3522345</wp:posOffset>
            </wp:positionH>
            <wp:positionV relativeFrom="paragraph">
              <wp:posOffset>280035</wp:posOffset>
            </wp:positionV>
            <wp:extent cx="2926080" cy="1024255"/>
            <wp:wrapNone/>
            <wp:docPr id="7" name="Shap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2926080" cy="102425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386" w:line="1" w:lineRule="exact"/>
      </w:pPr>
    </w:p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type w:val="continuous"/>
      <w:pgSz w:w="11900" w:h="16840"/>
      <w:pgMar w:top="1622" w:right="1341" w:bottom="1622" w:left="387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cs-CZ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cs-CZ" w:eastAsia="cs-CZ" w:bidi="cs-CZ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cs-CZ" w:eastAsia="cs-CZ" w:bidi="cs-CZ"/>
    </w:rPr>
  </w:style>
  <w:style w:type="character" w:customStyle="1" w:styleId="CharStyle3">
    <w:name w:val="Základní text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5">
    <w:name w:val="Nadpis #1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single"/>
    </w:rPr>
  </w:style>
  <w:style w:type="character" w:customStyle="1" w:styleId="CharStyle8">
    <w:name w:val="Titulek tabulky_"/>
    <w:basedOn w:val="DefaultParagraphFont"/>
    <w:link w:val="Styl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10">
    <w:name w:val="Jiné_"/>
    <w:basedOn w:val="DefaultParagraphFont"/>
    <w:link w:val="Styl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13">
    <w:name w:val="Titulek obrázku_"/>
    <w:basedOn w:val="DefaultParagraphFont"/>
    <w:link w:val="Style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2">
    <w:name w:val="Základní text"/>
    <w:basedOn w:val="Normal"/>
    <w:link w:val="CharStyle3"/>
    <w:pPr>
      <w:widowControl w:val="0"/>
      <w:shd w:val="clear" w:color="auto" w:fill="auto"/>
      <w:spacing w:after="260"/>
      <w:ind w:firstLine="2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4">
    <w:name w:val="Nadpis #1"/>
    <w:basedOn w:val="Normal"/>
    <w:link w:val="CharStyle5"/>
    <w:pPr>
      <w:widowControl w:val="0"/>
      <w:shd w:val="clear" w:color="auto" w:fill="auto"/>
      <w:spacing w:after="260"/>
      <w:jc w:val="center"/>
      <w:outlineLvl w:val="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single"/>
    </w:rPr>
  </w:style>
  <w:style w:type="paragraph" w:customStyle="1" w:styleId="Style7">
    <w:name w:val="Titulek tabulky"/>
    <w:basedOn w:val="Normal"/>
    <w:link w:val="CharStyle8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9">
    <w:name w:val="Jiné"/>
    <w:basedOn w:val="Normal"/>
    <w:link w:val="CharStyle10"/>
    <w:pPr>
      <w:widowControl w:val="0"/>
      <w:shd w:val="clear" w:color="auto" w:fill="auto"/>
      <w:spacing w:after="260"/>
      <w:ind w:firstLine="2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12">
    <w:name w:val="Titulek obrázku"/>
    <w:basedOn w:val="Normal"/>
    <w:link w:val="CharStyle13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D_0214_00001_11_Smlouva_o_najmu_NP_Pernerova_dod_6</dc:title>
  <dc:subject/>
  <dc:creator>dorazilovai</dc:creator>
  <cp:keywords/>
</cp:coreProperties>
</file>