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19710" distL="114300" distR="114300" simplePos="0" relativeHeight="125829378" behindDoc="0" locked="0" layoutInCell="1" allowOverlap="1">
            <wp:simplePos x="0" y="0"/>
            <wp:positionH relativeFrom="page">
              <wp:posOffset>5604510</wp:posOffset>
            </wp:positionH>
            <wp:positionV relativeFrom="paragraph">
              <wp:posOffset>12700</wp:posOffset>
            </wp:positionV>
            <wp:extent cx="1487170" cy="40830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4083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5763260</wp:posOffset>
                </wp:positionH>
                <wp:positionV relativeFrom="paragraph">
                  <wp:posOffset>485140</wp:posOffset>
                </wp:positionV>
                <wp:extent cx="597535" cy="1524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2026002553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3.80000000000001pt;margin-top:38.200000000000003pt;width:47.050000000000004pt;height:12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2026002553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bookmark5"/>
      <w:r>
        <w:rPr>
          <w:rStyle w:val="CharStyle15"/>
          <w:b/>
          <w:bCs/>
        </w:rPr>
        <w:t>KUPNÍ SMLOUVA</w:t>
      </w:r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86" w:lineRule="auto"/>
        <w:ind w:left="0" w:right="0" w:firstLine="0"/>
        <w:jc w:val="center"/>
      </w:pPr>
      <w:r>
        <w:rPr>
          <w:rStyle w:val="CharStyle5"/>
        </w:rPr>
        <w:t>podle ustanovení § 2079 a násl. zákona č. 89/2012 Sb., občanský zákoník,</w:t>
        <w:br/>
        <w:t>uzavřená mezi</w:t>
      </w:r>
    </w:p>
    <w:tbl>
      <w:tblPr>
        <w:tblOverlap w:val="never"/>
        <w:jc w:val="center"/>
        <w:tblLayout w:type="fixed"/>
      </w:tblPr>
      <w:tblGrid>
        <w:gridCol w:w="2654"/>
        <w:gridCol w:w="6182"/>
      </w:tblGrid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Kamenice 798/1 d,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MUDr. Hana Albrechtová, ředitelka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3"/>
                <w:spacing w:val="1"/>
                <w:shd w:val="clear" w:color="auto" w:fill="000000"/>
              </w:rPr>
              <w:t>..</w:t>
            </w:r>
            <w:r>
              <w:rPr>
                <w:rStyle w:val="CharStyle23"/>
                <w:spacing w:val="2"/>
                <w:shd w:val="clear" w:color="auto" w:fill="000000"/>
              </w:rPr>
              <w:t>....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5"/>
                <w:shd w:val="clear" w:color="auto" w:fill="000000"/>
              </w:rPr>
              <w:t>......</w:t>
            </w:r>
            <w:r>
              <w:rPr>
                <w:rStyle w:val="CharStyle23"/>
                <w:spacing w:val="6"/>
                <w:shd w:val="clear" w:color="auto" w:fill="000000"/>
              </w:rPr>
              <w:t>..</w:t>
            </w:r>
            <w:r>
              <w:rPr>
                <w:rStyle w:val="CharStyle23"/>
                <w:shd w:val="clear" w:color="auto" w:fill="000000"/>
              </w:rPr>
              <w:t>​.</w:t>
            </w:r>
            <w:r>
              <w:rPr>
                <w:rStyle w:val="CharStyle23"/>
                <w:spacing w:val="1"/>
                <w:shd w:val="clear" w:color="auto" w:fill="000000"/>
              </w:rPr>
              <w:t>....................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3"/>
                <w:shd w:val="clear" w:color="auto" w:fill="000000"/>
              </w:rPr>
              <w:t>..</w:t>
            </w:r>
            <w:r>
              <w:rPr>
                <w:rStyle w:val="CharStyle23"/>
                <w:spacing w:val="4"/>
                <w:shd w:val="clear" w:color="auto" w:fill="000000"/>
              </w:rPr>
              <w:t>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3"/>
                <w:shd w:val="clear" w:color="auto" w:fill="000000"/>
              </w:rPr>
              <w:t>..</w:t>
            </w:r>
            <w:r>
              <w:rPr>
                <w:rStyle w:val="CharStyle23"/>
                <w:spacing w:val="4"/>
                <w:shd w:val="clear" w:color="auto" w:fill="000000"/>
              </w:rPr>
              <w:t>......</w:t>
            </w:r>
            <w:r>
              <w:rPr>
                <w:rStyle w:val="CharStyle23"/>
                <w:u w:val="single"/>
                <w:shd w:val="clear" w:color="auto" w:fill="000000"/>
              </w:rPr>
              <w:t>​.......................</w:t>
            </w:r>
            <w:r>
              <w:rPr>
                <w:rStyle w:val="CharStyle23"/>
                <w:spacing w:val="1"/>
                <w:u w:val="single"/>
                <w:shd w:val="clear" w:color="auto" w:fill="000000"/>
              </w:rPr>
              <w:t>...............</w:t>
            </w:r>
            <w:r>
              <w:rPr>
                <w:rStyle w:val="CharStyle23"/>
                <w:shd w:val="clear" w:color="auto" w:fill="000000"/>
              </w:rPr>
              <w:t>.</w:t>
            </w:r>
            <w:r>
              <w:rPr>
                <w:rStyle w:val="CharStyle23"/>
                <w:color w:val="7D9BD7"/>
              </w:rPr>
              <w:t xml:space="preserve"> 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7"/>
                <w:shd w:val="clear" w:color="auto" w:fill="000000"/>
              </w:rPr>
              <w:t>......</w:t>
            </w:r>
            <w:r>
              <w:rPr>
                <w:rStyle w:val="CharStyle23"/>
                <w:shd w:val="clear" w:color="auto" w:fill="000000"/>
              </w:rPr>
              <w:t>​....</w:t>
            </w:r>
            <w:r>
              <w:rPr>
                <w:rStyle w:val="CharStyle23"/>
                <w:spacing w:val="1"/>
                <w:shd w:val="clear" w:color="auto" w:fill="000000"/>
              </w:rPr>
              <w:t>.....</w:t>
            </w:r>
            <w:r>
              <w:rPr>
                <w:rStyle w:val="CharStyle23"/>
                <w:shd w:val="clear" w:color="auto" w:fill="000000"/>
              </w:rPr>
              <w:t>​.......​</w:t>
            </w:r>
            <w:r>
              <w:rPr>
                <w:rStyle w:val="CharStyle23"/>
                <w:spacing w:val="6"/>
                <w:shd w:val="clear" w:color="auto" w:fill="000000"/>
              </w:rPr>
              <w:t>...</w:t>
            </w:r>
            <w:r>
              <w:rPr>
                <w:rStyle w:val="CharStyle23"/>
                <w:spacing w:val="7"/>
                <w:shd w:val="clear" w:color="auto" w:fill="000000"/>
              </w:rPr>
              <w:t>...</w:t>
            </w:r>
            <w:r>
              <w:rPr>
                <w:rStyle w:val="CharStyle23"/>
                <w:shd w:val="clear" w:color="auto" w:fill="000000"/>
              </w:rPr>
              <w:t>​......</w:t>
            </w:r>
          </w:p>
        </w:tc>
      </w:tr>
      <w:tr>
        <w:trPr>
          <w:trHeight w:val="78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IČO: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DIČ: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Zápis v OR: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00346292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CZ00346292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Krajský soud v Brně sp. zn. Pr 1245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MONETA Money Bank, a.s., č. ú. 117203514/0600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 xml:space="preserve">(dále jen </w:t>
      </w:r>
      <w:r>
        <w:rPr>
          <w:rStyle w:val="CharStyle20"/>
          <w:b/>
          <w:bCs/>
          <w:i/>
          <w:iCs/>
        </w:rPr>
        <w:t>„kupující'</w:t>
      </w:r>
    </w:p>
    <w:p>
      <w:pPr>
        <w:widowControl w:val="0"/>
        <w:spacing w:after="3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6178"/>
      </w:tblGrid>
      <w:tr>
        <w:trPr>
          <w:trHeight w:val="61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  <w:color w:val="523B1F"/>
              </w:rPr>
              <w:t>OMS-MEDI s.r.o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color w:val="523B1F"/>
              </w:rPr>
              <w:t>č.p. 384, 739 36 Sedliště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color w:val="523B1F"/>
              </w:rPr>
              <w:t>Jana Bašová, jednatelka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spacing w:val="3"/>
                <w:shd w:val="clear" w:color="auto" w:fill="000000"/>
              </w:rPr>
              <w:t>.</w:t>
            </w:r>
            <w:r>
              <w:rPr>
                <w:rStyle w:val="CharStyle23"/>
                <w:spacing w:val="4"/>
                <w:shd w:val="clear" w:color="auto" w:fill="000000"/>
              </w:rPr>
              <w:t>.......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3"/>
                <w:shd w:val="clear" w:color="auto" w:fill="000000"/>
              </w:rPr>
              <w:t>.............</w:t>
            </w:r>
            <w:r>
              <w:rPr>
                <w:rStyle w:val="CharStyle23"/>
                <w:spacing w:val="4"/>
                <w:shd w:val="clear" w:color="auto" w:fill="000000"/>
              </w:rPr>
              <w:t>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color w:val="523B1F"/>
              </w:rPr>
              <w:t>46580379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color w:val="523B1F"/>
              </w:rPr>
              <w:t>CZ46580379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color w:val="523B1F"/>
              </w:rPr>
              <w:t>u Krajského soudu v Ostravě, oddíl C, vložka 3586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color w:val="523B1F"/>
              </w:rPr>
              <w:t>157374473/0300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20"/>
        </w:rPr>
        <w:t xml:space="preserve">(dále jen </w:t>
      </w:r>
      <w:r>
        <w:rPr>
          <w:rStyle w:val="CharStyle20"/>
          <w:b/>
          <w:bCs/>
          <w:i/>
          <w:iCs/>
        </w:rPr>
        <w:t>„prodávající )</w:t>
      </w:r>
    </w:p>
    <w:p>
      <w:pPr>
        <w:widowControl w:val="0"/>
        <w:spacing w:after="103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60" w:line="286" w:lineRule="auto"/>
        <w:ind w:left="420" w:right="0" w:hanging="420"/>
        <w:jc w:val="both"/>
      </w:pPr>
      <w:r>
        <w:rPr>
          <w:rStyle w:val="CharStyle5"/>
        </w:rPr>
        <w:t xml:space="preserve">Prodávající je oprávněn na základě svého vlastnického práva nakládat s tímto zbožím: </w:t>
      </w:r>
      <w:r>
        <w:rPr>
          <w:rStyle w:val="CharStyle5"/>
          <w:b/>
          <w:bCs/>
        </w:rPr>
        <w:t xml:space="preserve">100 ks taktických tlakových obvazů, </w:t>
      </w:r>
      <w:r>
        <w:rPr>
          <w:rStyle w:val="CharStyle5"/>
        </w:rPr>
        <w:t>jejichž bližší specifikace je uvedena v příloze č 1 této smlouvy, která je její nedílnou součástí.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00" w:line="283" w:lineRule="auto"/>
        <w:ind w:left="420" w:right="0" w:hanging="420"/>
        <w:jc w:val="both"/>
      </w:pPr>
      <w:r>
        <w:rPr>
          <w:rStyle w:val="CharStyle5"/>
        </w:rPr>
        <w:t>Součástí dodávky zboží dle čl. 1 této smlouvy je také dodání veškerých písemných dokladů, které jsou potřebné k používání tohoto zboží. Dodané zboží musí splňovat požadavky na jakost, neporušenost balení a řádné označení dle platných právních předpisů.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00" w:line="283" w:lineRule="auto"/>
        <w:ind w:left="420" w:right="0" w:hanging="420"/>
        <w:jc w:val="both"/>
      </w:pPr>
      <w:r>
        <w:rPr>
          <w:rStyle w:val="CharStyle5"/>
        </w:rPr>
        <w:t>Prodávající prodává zboží podle čl. 1 této smlouvy se všemi jeho součástmi a příslušenstvím kupujícímu, a kupující kupuje toto zboží do vlastnictví Jihomoravského kraje, jako svého zřizovatele, za kupní cenu podle čl. 6 této smlouvy. Místem plnění závazku prodávajícího je centrální sklad kupujícího v Brně, Kamenice 798/1 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300" w:line="288" w:lineRule="auto"/>
        <w:ind w:left="420" w:right="0" w:hanging="420"/>
        <w:jc w:val="both"/>
      </w:pPr>
      <w:r>
        <w:rPr>
          <w:rStyle w:val="CharStyle5"/>
        </w:rPr>
        <w:t xml:space="preserve">Prodávající se zavazuje splnit svůj závazek k dodání zboží podle čl. 1 této smlouvy nejpozději do </w:t>
      </w:r>
      <w:r>
        <w:rPr>
          <w:rStyle w:val="CharStyle5"/>
          <w:b/>
          <w:bCs/>
        </w:rPr>
        <w:t xml:space="preserve">10 dnů </w:t>
      </w:r>
      <w:r>
        <w:rPr>
          <w:rStyle w:val="CharStyle5"/>
        </w:rPr>
        <w:t>ode dne účinnosti této smlouvy. Závazek prodávajícího k dodání zboží podle čl. 1 této smlouvy se pak považuje za splněný dnem předání a převzetí tohoto zboží, prostého všech vad, formou písemného předávacího protokolu, podepsaného oběma stranami.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5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0" w:line="300" w:lineRule="auto"/>
        <w:ind w:left="400" w:right="0" w:hanging="400"/>
        <w:jc w:val="both"/>
      </w:pPr>
      <w:r>
        <w:rPr>
          <w:rStyle w:val="CharStyle5"/>
        </w:rPr>
        <w:t>Kupující se zavazuje zaplatit prodávajícímu za předmět koupě a prodeje podle čl. 1 této smlouvy kupní cenu ve výši: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r>
        <w:rPr>
          <w:rStyle w:val="CharStyle5"/>
          <w:b/>
          <w:bCs/>
        </w:rPr>
        <w:t xml:space="preserve">18.900,00 </w:t>
      </w:r>
      <w:r>
        <w:rPr>
          <w:rStyle w:val="CharStyle5"/>
        </w:rPr>
        <w:t xml:space="preserve">Kč bez DPH, tj. </w:t>
      </w:r>
      <w:r>
        <w:rPr>
          <w:rStyle w:val="CharStyle5"/>
          <w:b/>
          <w:bCs/>
        </w:rPr>
        <w:t xml:space="preserve">[21.168,00],- </w:t>
      </w:r>
      <w:r>
        <w:rPr>
          <w:rStyle w:val="CharStyle5"/>
        </w:rPr>
        <w:t>Kč včetně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400" w:right="0" w:firstLine="40"/>
        <w:jc w:val="both"/>
      </w:pPr>
      <w:r>
        <w:rPr>
          <w:rStyle w:val="CharStyle5"/>
        </w:rPr>
        <w:t>Součástí této ceny jsou veškeré náklady prodávajícího na splnění jeho závazku k dodání zboží podle této smlouvy a daň z přidané hodnoty v sazbě podle zákona. Změna ceny je možná pouze v případě zákonné změny sazby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5"/>
        </w:rPr>
        <w:t>Kupní cena podle čl. 6 této smlouvy je splatná na účet prodávajícího po řádném splnění závazku prodávajícího k dodání zboží podle čl. 1 této smlouvy způsobem podle čl. 4 této smlouvy ve lhůtě do 30 dnů ode dne doručení jejího písemného vyúčtování (daňového dokladu/faktury). Faktura bude doručena elektronicky na email:</w:t>
      </w:r>
      <w:r>
        <w:rPr>
          <w:rStyle w:val="CharStyle5"/>
          <w:shd w:val="clear" w:color="auto" w:fill="000000"/>
        </w:rPr>
        <w:t>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shd w:val="clear" w:color="auto" w:fill="000000"/>
          <w:lang w:val="en-US" w:eastAsia="en-US" w:bidi="en-US"/>
        </w:rPr>
        <w:t>.</w:t>
      </w:r>
      <w:r>
        <w:rPr>
          <w:rStyle w:val="CharStyle5"/>
          <w:shd w:val="clear" w:color="auto" w:fill="000000"/>
        </w:rPr>
        <w:t>​...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​...............................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</w:t>
      </w:r>
      <w:r>
        <w:rPr>
          <w:rStyle w:val="CharStyle5"/>
          <w:shd w:val="clear" w:color="auto" w:fill="000000"/>
          <w:lang w:val="en-US" w:eastAsia="en-US" w:bidi="en-US"/>
        </w:rPr>
        <w:t>.</w:t>
      </w:r>
      <w:r>
        <w:rPr>
          <w:rStyle w:val="CharStyle5"/>
          <w:color w:val="7D9BD7"/>
          <w:lang w:val="en-US" w:eastAsia="en-US" w:bidi="en-US"/>
        </w:rPr>
        <w:t xml:space="preserve"> </w:t>
      </w:r>
      <w:r>
        <w:rPr>
          <w:rStyle w:val="CharStyle5"/>
        </w:rPr>
        <w:t xml:space="preserve">Na faktuře musí být mimo jiné vždy uvedeno toto číslo veřejné zakázky, ke které se faktura vztahuje: </w:t>
      </w:r>
      <w:r>
        <w:rPr>
          <w:rStyle w:val="CharStyle5"/>
          <w:b/>
          <w:bCs/>
        </w:rPr>
        <w:t xml:space="preserve">P26V00001345 </w:t>
      </w:r>
      <w:r>
        <w:rPr>
          <w:rStyle w:val="CharStyle5"/>
        </w:rPr>
        <w:t xml:space="preserve">Součástí faktury bude kopie podepsaného protokolu dle čl. </w:t>
      </w:r>
      <w:r>
        <w:rPr>
          <w:rStyle w:val="CharStyle5"/>
          <w:b/>
          <w:bCs/>
        </w:rPr>
        <w:t xml:space="preserve">4 </w:t>
      </w:r>
      <w:r>
        <w:rPr>
          <w:rStyle w:val="CharStyle5"/>
        </w:rPr>
        <w:t>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 xml:space="preserve">S převodem zboží podle čl. 1 této smlouvy je spojena záruka za jeho jakost v trvání nejméně </w:t>
      </w:r>
      <w:r>
        <w:rPr>
          <w:rStyle w:val="CharStyle5"/>
          <w:b/>
          <w:bCs/>
        </w:rPr>
        <w:t xml:space="preserve">24 měsíců. </w:t>
      </w:r>
      <w:r>
        <w:rPr>
          <w:rStyle w:val="CharStyle5"/>
        </w:rPr>
        <w:t>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3 -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5"/>
        </w:rPr>
        <w:t>Nepřikročí-li prodávající k odstranění vady ve lhůtě podle čl. 8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5"/>
        </w:rPr>
        <w:t>Pro případ prodlení prodávajícího se splněním jeho závazku k dodání zboží ve lhůtě podle čl. 4 této smlouvy se prodávající zavazuje zaplatit kupujícímu smluvní pokutu ve výši 0,1 % z kupní ceny podle čl. 6 této smlouvy za každý započatý den tohoto prodlení.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prodlení prodávajícího s odstraněním vady ve lhůtě podle čl. 8 této smlouvy se prodávající zavazuje zaplatit kupujícímu smluvní pokutu ve výši 0,1 % z kupní ceny podle čl. 6 této smlouvy za každý započatý den tohoto prodlení.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prodlení se splněním jeho závazku k dodání zboží ve lhůtě podle čl. 4 této smlouvy o více, než 2 týdny je kupující oprávněn odstoupit od této smlouvy s účinky ex tunc, přičemž nárok na zaplacení smluvní pokuty dle čl. 11. nezaniká. Stejné právo má kupující, vyskytne-li se v době záruky za jakost podle čl. 8 této smlouvy na zboží podle čl. 1 této smlouvy neodstranitelná vada nebo tři a více vad, a i to postupně.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prodlení kupujícího se zaplacením kupní ceny nebo její části ve lhůtě podle čl. 7 této smlouvy o víc, než 2 týdny, je prodávající oprávněn od této smlouvy odstoupit s účinky ex tunc.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Není-li touto smlouvou ujednáno jinak, řídí se vzájemný právní vztah mezi kupujícím a prodávajícím při realizaci této smlouvy ust. § 2079 a násl. občanského zákoníku.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Předpokladem uzavření této smlouvy je její písemná forma a dohoda o jejích podstatných náležitostech, čímž se rozumí celý obsah této smlouvy, jak je uveden v čl. 1 až 20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Tuto smlouvu lze změnit nebo zrušit pouze písemnými číslovanými dodatky podepsanými oběma stranami.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5"/>
        </w:rPr>
        <w:t xml:space="preserve">Tato smlouva bude uveřejněna prostřednictvím registru smluv postupem dle zákona č. 340/2015 Sb., o </w:t>
      </w:r>
      <w:r>
        <w:rPr>
          <w:rStyle w:val="CharStyle5"/>
          <w:i/>
          <w:iCs/>
        </w:rPr>
        <w:t>zvláštních podmínkách účinnosti některých smluv, uveřejňování těchto smluv a o registru smluv (zákon o registru smluv), v</w:t>
      </w:r>
      <w:r>
        <w:rPr>
          <w:rStyle w:val="CharStyle5"/>
        </w:rPr>
        <w:t xml:space="preserve"> platném znění. Smluvní strany se dohodly, že uveřejnění v registru smluv (ISRS) včetně uvedení metadat provede kupující.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Tato smlouva nabývá platnosti okamžikem jejího podpisu oběma smluvními stranami a účinnosti dnem jejího uveřejnění v registru smluv dle čl. 18.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880"/>
        <w:ind w:left="400" w:right="0" w:hanging="400"/>
        <w:jc w:val="both"/>
      </w:pPr>
      <w:r>
        <w:rPr>
          <w:rStyle w:val="CharStyle5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8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453" w:right="1505" w:bottom="1944" w:left="1472" w:header="102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12700</wp:posOffset>
                </wp:positionV>
                <wp:extent cx="1109345" cy="1492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9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0.200000000000003pt;margin-top:1.pt;width:87.350000000000009pt;height:11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45745" distB="0" distL="114300" distR="2940050" simplePos="0" relativeHeight="125829381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margin">
                  <wp:posOffset>4690745</wp:posOffset>
                </wp:positionV>
                <wp:extent cx="1974850" cy="4692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4850" cy="469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Ml IDr Mana </w:t>
                            </w:r>
                            <w:r>
                              <w:rPr>
                                <w:rStyle w:val="CharStyle7"/>
                                <w:sz w:val="13"/>
                                <w:szCs w:val="13"/>
                              </w:rPr>
                              <w:t>Digitálněpodepsal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187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IVIUL/I. mana </w:t>
                            </w:r>
                            <w:r>
                              <w:rPr>
                                <w:rStyle w:val="CharStyle7"/>
                                <w:sz w:val="13"/>
                                <w:szCs w:val="13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1"/>
                              </w:rPr>
                              <w:t>Albrechtová“^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1.900000000000006pt;margin-top:369.35000000000002pt;width:155.5pt;height:36.950000000000003pt;z-index:-125829372;mso-wrap-distance-left:9.pt;mso-wrap-distance-top:19.350000000000001pt;mso-wrap-distance-right:23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7"/>
                          <w:b/>
                          <w:bCs/>
                          <w:sz w:val="15"/>
                          <w:szCs w:val="15"/>
                        </w:rPr>
                        <w:t xml:space="preserve">Ml IDr Mana </w:t>
                      </w:r>
                      <w:r>
                        <w:rPr>
                          <w:rStyle w:val="CharStyle7"/>
                          <w:sz w:val="13"/>
                          <w:szCs w:val="13"/>
                        </w:rPr>
                        <w:t>Digitálněpodepsal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7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7"/>
                          <w:b/>
                          <w:bCs/>
                          <w:sz w:val="15"/>
                          <w:szCs w:val="15"/>
                        </w:rPr>
                        <w:t xml:space="preserve">IVIUL/I. mana </w:t>
                      </w:r>
                      <w:r>
                        <w:rPr>
                          <w:rStyle w:val="CharStyle7"/>
                          <w:sz w:val="13"/>
                          <w:szCs w:val="13"/>
                        </w:rPr>
                        <w:t>MUDr. Hana Albrechtová</w:t>
                      </w:r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1"/>
                        </w:rPr>
                        <w:t>Albrechtová“^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0800" distB="161290" distL="3479165" distR="857885" simplePos="0" relativeHeight="125829383" behindDoc="0" locked="0" layoutInCell="1" allowOverlap="1">
                <wp:simplePos x="0" y="0"/>
                <wp:positionH relativeFrom="page">
                  <wp:posOffset>4404995</wp:posOffset>
                </wp:positionH>
                <wp:positionV relativeFrom="margin">
                  <wp:posOffset>4495800</wp:posOffset>
                </wp:positionV>
                <wp:extent cx="692150" cy="5029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215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13"/>
                              </w:rPr>
                              <w:t>Jana</w:t>
                            </w:r>
                            <w:bookmarkEnd w:id="2"/>
                          </w:p>
                          <w:p>
                            <w:pPr>
                              <w:pStyle w:val="Style1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Bašová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6.85000000000002pt;margin-top:354.pt;width:54.5pt;height:39.600000000000001pt;z-index:-125829370;mso-wrap-distance-left:273.94999999999999pt;mso-wrap-distance-top:4.pt;mso-wrap-distance-right:67.549999999999997pt;mso-wrap-distance-bottom:12.7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3"/>
                        </w:rPr>
                        <w:t>Jana</w:t>
                      </w:r>
                      <w:bookmarkEnd w:id="2"/>
                    </w:p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Bašová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4455" distB="188595" distL="4204970" distR="114300" simplePos="0" relativeHeight="125829385" behindDoc="0" locked="0" layoutInCell="1" allowOverlap="1">
                <wp:simplePos x="0" y="0"/>
                <wp:positionH relativeFrom="page">
                  <wp:posOffset>5130800</wp:posOffset>
                </wp:positionH>
                <wp:positionV relativeFrom="margin">
                  <wp:posOffset>4529455</wp:posOffset>
                </wp:positionV>
                <wp:extent cx="709930" cy="44196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Digitálně podepsal Jana Bašová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Datum: 2026.04.05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20:38:03 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4.pt;margin-top:356.65000000000003pt;width:55.899999999999999pt;height:34.800000000000004pt;z-index:-125829368;mso-wrap-distance-left:331.10000000000002pt;mso-wrap-distance-top:6.6500000000000004pt;mso-wrap-distance-right:9.pt;mso-wrap-distance-bottom:14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Digitálně podepsal Jana Bašová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Datum: 2026.04.05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20:38:03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5"/>
        </w:rPr>
        <w:t>V Sedlištích dne 1.4.2026</w:t>
      </w:r>
    </w:p>
    <w:p>
      <w:pPr>
        <w:widowControl w:val="0"/>
        <w:spacing w:line="22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5" w:right="0" w:bottom="612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4328795</wp:posOffset>
                </wp:positionH>
                <wp:positionV relativeFrom="paragraph">
                  <wp:posOffset>12700</wp:posOffset>
                </wp:positionV>
                <wp:extent cx="743585" cy="50292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358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color w:val="523B1F"/>
                              </w:rPr>
                              <w:t>Jana Bašová Jednatelka 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0.85000000000002pt;margin-top:1.pt;width:58.550000000000004pt;height:39.60000000000000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color w:val="523B1F"/>
                        </w:rPr>
                        <w:t>Jana Bašová Jednatelka 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5"/>
        </w:rPr>
        <w:t>MUDr. Hana Albrechtová ředitelka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5"/>
        </w:rPr>
        <w:t>Kupující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</w:rPr>
        <w:t>Příloha č. 1 Specifikace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</w:rPr>
        <w:t>Typ 1: Multibandáž - 100 ks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  <w:b/>
          <w:bCs/>
        </w:rPr>
        <w:t>Minimální technické požadavky: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00" w:right="0" w:hanging="340"/>
        <w:jc w:val="left"/>
      </w:pPr>
      <w:r>
        <w:rPr>
          <w:rStyle w:val="CharStyle5"/>
        </w:rPr>
        <w:t>Sterilní kompresní obvaz určený k rychlé a účinné zástavě masivního krvácení z končetin a ošetření řezných, vstřelných nebo amputovaných ran, baleno po 1 ks ve voděodolném obalu.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00" w:right="0" w:hanging="340"/>
        <w:jc w:val="left"/>
      </w:pPr>
      <w:r>
        <w:rPr>
          <w:rStyle w:val="CharStyle5"/>
        </w:rPr>
        <w:t>Kombinuje sterilní podložku, skládanou gázu a elastické obinadlo s integrovaným mechanismem pro přímou kompresi (integrovaný tlakový aplikátor).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Obsahuje uzavírací sponu, která nevyžaduje špendlíky, pásky, suchý zip nebo uzly.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Krycí polštářek musí být neulpívající a minimalizovat bolest při odstraňování.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Kompaktní a odolné balení vhodné pro použití v terénu a nouzových situacích.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Možnost použití jako univerzální škrtidlo v kritických situacích.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Sterilní podložka a skládaná gáza pro tamponádu a krytí ran.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00" w:right="0" w:hanging="340"/>
        <w:jc w:val="left"/>
      </w:pPr>
      <w:r>
        <w:rPr>
          <w:rStyle w:val="CharStyle5"/>
        </w:rPr>
        <w:t>Elastické obinadlo pro pevné zajištění rány a kompresi bez nutnosti dalších upevňovacích prostředků.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Rozměry sterilní podložky a obinadla vhodné pro bezpečné použití na končetinách.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Balení odolné proti vlhkosti a mechanickému poškození.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Musí umožnit prokazatelnou zástavu masivního krvácení z končetin (arteriální okluze).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Sterilní a bezpečný pro přímý kontakt s ranou.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Rychlá aplikace v nouzových a taktických podmínkách.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Rozměr sterilní polštářku: 20 cm x 18 cm (lze rozdělit na dva o velikosti cca 10x18 cm)*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Rozměr skládané gázy (bílé): 10 cm x 75 cm*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Délka elastického obinadla: 10 cm x 370 cm*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5"/>
        </w:rPr>
        <w:t>Materiál: Sterilní netkaná textilie, elastické kompresní obinadlo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00" w:right="0" w:hanging="340"/>
        <w:jc w:val="left"/>
      </w:pPr>
      <w:r>
        <w:rPr>
          <w:rStyle w:val="CharStyle5"/>
        </w:rPr>
        <w:t>Zdravotnický prostředek splňující požadavky nařízení (EU) 2017/745 (MDR) a opatřený CE označením.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700"/>
        <w:jc w:val="left"/>
      </w:pPr>
      <w:r>
        <w:rPr>
          <w:rStyle w:val="CharStyle5"/>
        </w:rPr>
        <w:t>‘tolerance rozměrů 5%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8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12700</wp:posOffset>
                </wp:positionV>
                <wp:extent cx="1972310" cy="518160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231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Model - typové/výrobní označení: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Třída dle MDR (2017/745/EU):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Cena za 1 ks (Kč bez/vč. DPH)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0.299999999999997pt;margin-top:1.pt;width:155.30000000000001pt;height:40.800000000000004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Model - typové/výrobní označení: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Třída dle MDR (2017/745/EU):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1 ks (Kč bez/vč. DPH)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i/>
          <w:iCs/>
          <w:color w:val="ED886A"/>
        </w:rPr>
        <w:t>FC-FCP-T3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20" w:right="0" w:firstLine="0"/>
        <w:jc w:val="left"/>
      </w:pPr>
      <w:r>
        <w:rPr>
          <w:rStyle w:val="CharStyle5"/>
          <w:b/>
          <w:bCs/>
          <w:i/>
          <w:iCs/>
          <w:color w:val="ED886A"/>
        </w:rPr>
        <w:t>Třída 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60" w:right="0" w:firstLine="0"/>
        <w:jc w:val="left"/>
      </w:pPr>
      <w:r>
        <w:rPr>
          <w:rStyle w:val="CharStyle5"/>
          <w:i/>
          <w:iCs/>
          <w:color w:val="ED886A"/>
        </w:rPr>
        <w:t>189,00 Kč 7211,68 Kč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15" w:right="1663" w:bottom="6124" w:left="1505" w:header="98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986790</wp:posOffset>
              </wp:positionH>
              <wp:positionV relativeFrom="page">
                <wp:posOffset>9968865</wp:posOffset>
              </wp:positionV>
              <wp:extent cx="337693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769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26_2026 DNS ZSM: Taktické tlakové obvazy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7.700000000000003pt;margin-top:784.95000000000005pt;width:265.89999999999998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26_2026 DNS ZSM: Taktické tlakové obvazy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Nadpis #2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Nadpis #1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5">
    <w:name w:val="Nadpis #3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17">
    <w:name w:val="Záhlaví nebo zápatí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3">
    <w:name w:val="Jiné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  <w:spacing w:line="29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auto"/>
      <w:spacing w:after="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auto"/>
      <w:spacing w:after="20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