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503292"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0D648E71"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AE1A51">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AE1A51">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181BB98"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AE1A51">
        <w:rPr>
          <w:rFonts w:ascii="Tahoma" w:hAnsi="Tahoma" w:cs="Tahoma"/>
          <w:sz w:val="22"/>
          <w:szCs w:val="22"/>
        </w:rPr>
        <w:t>e znění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4CCEEC7E" w14:textId="77777777" w:rsidR="00E86D8C" w:rsidRPr="00D045D5" w:rsidRDefault="00E86D8C" w:rsidP="00E86D8C">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4B6387">
        <w:rPr>
          <w:rFonts w:ascii="Tahoma" w:hAnsi="Tahoma" w:cs="Tahoma"/>
          <w:b/>
          <w:snapToGrid w:val="0"/>
          <w:szCs w:val="22"/>
        </w:rPr>
        <w:t xml:space="preserve">Dům dětí a mládeže Strakonice </w:t>
      </w:r>
    </w:p>
    <w:p w14:paraId="39538001" w14:textId="77777777" w:rsidR="00E86D8C" w:rsidRPr="00D045D5" w:rsidRDefault="00E86D8C" w:rsidP="00E86D8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Na Ohradě 417</w:t>
      </w:r>
      <w:r w:rsidRPr="00D045D5">
        <w:rPr>
          <w:rFonts w:ascii="Tahoma" w:hAnsi="Tahoma" w:cs="Tahoma"/>
          <w:snapToGrid w:val="0"/>
          <w:sz w:val="22"/>
          <w:szCs w:val="22"/>
        </w:rPr>
        <w:t>, Strakonice</w:t>
      </w:r>
    </w:p>
    <w:p w14:paraId="53628539" w14:textId="77777777" w:rsidR="00E86D8C" w:rsidRPr="00D045D5" w:rsidRDefault="00E86D8C" w:rsidP="00E86D8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60650834</w:t>
      </w:r>
      <w:r w:rsidRPr="00D045D5">
        <w:rPr>
          <w:rFonts w:ascii="Tahoma" w:hAnsi="Tahoma" w:cs="Tahoma"/>
          <w:snapToGrid w:val="0"/>
          <w:sz w:val="22"/>
          <w:szCs w:val="22"/>
        </w:rPr>
        <w:t xml:space="preserve">         </w:t>
      </w:r>
    </w:p>
    <w:p w14:paraId="059DB3E7" w14:textId="77777777" w:rsidR="00E86D8C" w:rsidRDefault="00E86D8C" w:rsidP="00E86D8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řed</w:t>
      </w:r>
      <w:r>
        <w:rPr>
          <w:rFonts w:ascii="Tahoma" w:hAnsi="Tahoma" w:cs="Tahoma"/>
          <w:snapToGrid w:val="0"/>
          <w:sz w:val="22"/>
          <w:szCs w:val="22"/>
        </w:rPr>
        <w:t>itelkou Mgr. Ivou Šrámkovou</w:t>
      </w:r>
    </w:p>
    <w:p w14:paraId="7C0CEC37" w14:textId="0E0B5061" w:rsidR="005553F4" w:rsidRPr="00D045D5" w:rsidRDefault="00E86D8C" w:rsidP="00E86D8C">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180704039/0300</w:t>
      </w:r>
      <w:r w:rsidRPr="00D045D5">
        <w:rPr>
          <w:rFonts w:ascii="Tahoma" w:hAnsi="Tahoma" w:cs="Tahoma"/>
          <w:snapToGrid w:val="0"/>
          <w:sz w:val="22"/>
          <w:szCs w:val="22"/>
        </w:rPr>
        <w:tab/>
      </w:r>
      <w:r w:rsidR="00940EA5" w:rsidRPr="008F772F">
        <w:rPr>
          <w:rFonts w:ascii="Tahoma" w:hAnsi="Tahoma" w:cs="Tahoma"/>
          <w:snapToGrid w:val="0"/>
          <w:sz w:val="22"/>
        </w:rPr>
        <w:tab/>
      </w:r>
      <w:r w:rsidR="005553F4" w:rsidRPr="00D045D5">
        <w:rPr>
          <w:rFonts w:ascii="Tahoma" w:hAnsi="Tahoma" w:cs="Tahoma"/>
          <w:sz w:val="22"/>
          <w:szCs w:val="22"/>
        </w:rPr>
        <w:tab/>
      </w:r>
      <w:r w:rsidR="005553F4" w:rsidRPr="00D045D5">
        <w:rPr>
          <w:rFonts w:ascii="Tahoma" w:hAnsi="Tahoma" w:cs="Tahoma"/>
          <w:sz w:val="22"/>
          <w:szCs w:val="22"/>
        </w:rPr>
        <w:tab/>
      </w:r>
      <w:r w:rsidR="005553F4" w:rsidRPr="00D045D5">
        <w:rPr>
          <w:rFonts w:ascii="Tahoma" w:hAnsi="Tahoma" w:cs="Tahoma"/>
          <w:snapToGrid w:val="0"/>
          <w:sz w:val="22"/>
          <w:szCs w:val="22"/>
        </w:rPr>
        <w:tab/>
      </w:r>
      <w:r w:rsidR="005553F4" w:rsidRPr="00D045D5">
        <w:rPr>
          <w:rFonts w:ascii="Tahoma" w:hAnsi="Tahoma" w:cs="Tahoma"/>
          <w:snapToGrid w:val="0"/>
          <w:sz w:val="22"/>
          <w:szCs w:val="22"/>
        </w:rPr>
        <w:tab/>
        <w:t xml:space="preserve"> </w:t>
      </w:r>
    </w:p>
    <w:p w14:paraId="16CEF1CB" w14:textId="77777777" w:rsidR="005553F4" w:rsidRPr="00D045D5" w:rsidRDefault="005553F4" w:rsidP="005553F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1C1EBD4F" w14:textId="77777777" w:rsidR="005553F4" w:rsidRPr="00D045D5" w:rsidRDefault="005553F4" w:rsidP="005553F4">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9F6554A" w14:textId="6E2D53BE"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1EC42E0" w14:textId="77777777" w:rsidR="00E86D8C" w:rsidRDefault="00E86D8C" w:rsidP="006F3B93">
      <w:pPr>
        <w:jc w:val="center"/>
        <w:rPr>
          <w:rFonts w:ascii="Tahoma" w:hAnsi="Tahoma" w:cs="Tahoma"/>
          <w:b/>
          <w:bCs/>
          <w:sz w:val="22"/>
          <w:szCs w:val="22"/>
        </w:rPr>
      </w:pPr>
    </w:p>
    <w:p w14:paraId="0A4E2130" w14:textId="63175A3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0BD6AFA" w14:textId="27BF0314" w:rsidR="00F736B8" w:rsidRDefault="00F736B8" w:rsidP="00F736B8">
      <w:pPr>
        <w:pStyle w:val="Zkladntext"/>
        <w:numPr>
          <w:ilvl w:val="0"/>
          <w:numId w:val="6"/>
        </w:numPr>
        <w:tabs>
          <w:tab w:val="left" w:pos="284"/>
        </w:tabs>
        <w:ind w:left="0" w:firstLine="0"/>
        <w:rPr>
          <w:rFonts w:ascii="Tahoma" w:hAnsi="Tahoma" w:cs="Tahoma"/>
          <w:sz w:val="22"/>
          <w:szCs w:val="22"/>
        </w:rPr>
      </w:pPr>
      <w:r>
        <w:rPr>
          <w:rFonts w:ascii="Tahoma" w:hAnsi="Tahoma" w:cs="Tahoma"/>
          <w:sz w:val="22"/>
          <w:szCs w:val="22"/>
        </w:rPr>
        <w:t xml:space="preserve">Předmětem této smlouvy je poskytnutí dotace z rozpočtu poskytovatele příjemci pro kalendářní rok </w:t>
      </w:r>
      <w:r w:rsidR="0087254B">
        <w:rPr>
          <w:rFonts w:ascii="Tahoma" w:hAnsi="Tahoma" w:cs="Tahoma"/>
          <w:sz w:val="22"/>
          <w:szCs w:val="22"/>
        </w:rPr>
        <w:t>202</w:t>
      </w:r>
      <w:r w:rsidR="001B4546">
        <w:rPr>
          <w:rFonts w:ascii="Tahoma" w:hAnsi="Tahoma" w:cs="Tahoma"/>
          <w:sz w:val="22"/>
          <w:szCs w:val="22"/>
        </w:rPr>
        <w:t>6</w:t>
      </w:r>
      <w:r>
        <w:rPr>
          <w:rFonts w:ascii="Tahoma" w:hAnsi="Tahoma" w:cs="Tahoma"/>
          <w:sz w:val="22"/>
          <w:szCs w:val="22"/>
        </w:rPr>
        <w:t xml:space="preserve"> ve výši </w:t>
      </w:r>
      <w:r w:rsidR="00896F0B">
        <w:rPr>
          <w:rFonts w:ascii="Tahoma" w:hAnsi="Tahoma" w:cs="Tahoma"/>
          <w:sz w:val="22"/>
          <w:szCs w:val="22"/>
        </w:rPr>
        <w:t>1</w:t>
      </w:r>
      <w:r w:rsidR="00AE398C">
        <w:rPr>
          <w:rFonts w:ascii="Tahoma" w:hAnsi="Tahoma" w:cs="Tahoma"/>
          <w:sz w:val="22"/>
          <w:szCs w:val="22"/>
        </w:rPr>
        <w:t>10</w:t>
      </w:r>
      <w:r w:rsidR="0087254B">
        <w:rPr>
          <w:rFonts w:ascii="Tahoma" w:hAnsi="Tahoma" w:cs="Tahoma"/>
          <w:sz w:val="22"/>
          <w:szCs w:val="22"/>
        </w:rPr>
        <w:t>.</w:t>
      </w:r>
      <w:r w:rsidR="00AE398C">
        <w:rPr>
          <w:rFonts w:ascii="Tahoma" w:hAnsi="Tahoma" w:cs="Tahoma"/>
          <w:sz w:val="22"/>
          <w:szCs w:val="22"/>
        </w:rPr>
        <w:t>00</w:t>
      </w:r>
      <w:r w:rsidR="0087254B">
        <w:rPr>
          <w:rFonts w:ascii="Tahoma" w:hAnsi="Tahoma" w:cs="Tahoma"/>
          <w:sz w:val="22"/>
          <w:szCs w:val="22"/>
        </w:rPr>
        <w:t>0</w:t>
      </w:r>
      <w:r>
        <w:rPr>
          <w:rFonts w:ascii="Tahoma" w:hAnsi="Tahoma" w:cs="Tahoma"/>
          <w:sz w:val="22"/>
          <w:szCs w:val="22"/>
        </w:rPr>
        <w:t xml:space="preserve"> Kč, slovy: </w:t>
      </w:r>
      <w:proofErr w:type="spellStart"/>
      <w:r w:rsidR="001C0B23">
        <w:rPr>
          <w:rFonts w:ascii="Tahoma" w:hAnsi="Tahoma" w:cs="Tahoma"/>
          <w:sz w:val="22"/>
          <w:szCs w:val="22"/>
        </w:rPr>
        <w:t>Jednostode</w:t>
      </w:r>
      <w:r w:rsidR="00AE398C">
        <w:rPr>
          <w:rFonts w:ascii="Tahoma" w:hAnsi="Tahoma" w:cs="Tahoma"/>
          <w:sz w:val="22"/>
          <w:szCs w:val="22"/>
        </w:rPr>
        <w:t>setti</w:t>
      </w:r>
      <w:r w:rsidR="00896F0B">
        <w:rPr>
          <w:rFonts w:ascii="Tahoma" w:hAnsi="Tahoma" w:cs="Tahoma"/>
          <w:sz w:val="22"/>
          <w:szCs w:val="22"/>
        </w:rPr>
        <w:t>síc</w:t>
      </w:r>
      <w:bookmarkStart w:id="0" w:name="_GoBack"/>
      <w:bookmarkEnd w:id="0"/>
      <w:proofErr w:type="spellEnd"/>
      <w:r>
        <w:rPr>
          <w:rFonts w:ascii="Tahoma" w:hAnsi="Tahoma" w:cs="Tahoma"/>
          <w:sz w:val="22"/>
          <w:szCs w:val="22"/>
        </w:rPr>
        <w:t xml:space="preserve"> korun českých (dále jen dotace). Zdrojem krytí dotace je v plné výši rozpočet poskytovatele.</w:t>
      </w:r>
    </w:p>
    <w:p w14:paraId="47BBDA79" w14:textId="57AAE8BE" w:rsidR="00456802" w:rsidRDefault="00456802" w:rsidP="00456802">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Pr>
          <w:rFonts w:ascii="Tahoma" w:hAnsi="Tahoma" w:cs="Tahoma"/>
          <w:sz w:val="22"/>
        </w:rPr>
        <w:br/>
        <w:t xml:space="preserve">č. </w:t>
      </w:r>
      <w:r w:rsidR="001B4546">
        <w:rPr>
          <w:rFonts w:ascii="Tahoma" w:hAnsi="Tahoma" w:cs="Tahoma"/>
          <w:sz w:val="22"/>
        </w:rPr>
        <w:t>4</w:t>
      </w:r>
      <w:r w:rsidR="00FE559E">
        <w:rPr>
          <w:rFonts w:ascii="Tahoma" w:hAnsi="Tahoma" w:cs="Tahoma"/>
          <w:sz w:val="22"/>
        </w:rPr>
        <w:t>3</w:t>
      </w:r>
      <w:r w:rsidR="001B4546">
        <w:rPr>
          <w:rFonts w:ascii="Tahoma" w:hAnsi="Tahoma" w:cs="Tahoma"/>
          <w:sz w:val="22"/>
        </w:rPr>
        <w:t>03</w:t>
      </w:r>
      <w:r w:rsidR="00FE559E">
        <w:rPr>
          <w:rFonts w:ascii="Tahoma" w:hAnsi="Tahoma" w:cs="Tahoma"/>
          <w:sz w:val="22"/>
        </w:rPr>
        <w:t>/202</w:t>
      </w:r>
      <w:r w:rsidR="001B4546">
        <w:rPr>
          <w:rFonts w:ascii="Tahoma" w:hAnsi="Tahoma" w:cs="Tahoma"/>
          <w:sz w:val="22"/>
        </w:rPr>
        <w:t>6</w:t>
      </w:r>
      <w:r>
        <w:rPr>
          <w:rFonts w:ascii="Tahoma" w:hAnsi="Tahoma" w:cs="Tahoma"/>
          <w:sz w:val="22"/>
        </w:rPr>
        <w:t xml:space="preserve"> ze dne </w:t>
      </w:r>
      <w:proofErr w:type="gramStart"/>
      <w:r w:rsidR="001B4546">
        <w:rPr>
          <w:rFonts w:ascii="Tahoma" w:hAnsi="Tahoma" w:cs="Tahoma"/>
          <w:sz w:val="22"/>
        </w:rPr>
        <w:t>18.</w:t>
      </w:r>
      <w:r w:rsidR="00FE559E">
        <w:rPr>
          <w:rFonts w:ascii="Tahoma" w:hAnsi="Tahoma" w:cs="Tahoma"/>
          <w:sz w:val="22"/>
        </w:rPr>
        <w:t>0</w:t>
      </w:r>
      <w:r w:rsidR="001B4546">
        <w:rPr>
          <w:rFonts w:ascii="Tahoma" w:hAnsi="Tahoma" w:cs="Tahoma"/>
          <w:sz w:val="22"/>
        </w:rPr>
        <w:t>3</w:t>
      </w:r>
      <w:r w:rsidR="00FE559E">
        <w:rPr>
          <w:rFonts w:ascii="Tahoma" w:hAnsi="Tahoma" w:cs="Tahoma"/>
          <w:sz w:val="22"/>
        </w:rPr>
        <w:t>.202</w:t>
      </w:r>
      <w:r w:rsidR="001B4546">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0D442D">
        <w:rPr>
          <w:rFonts w:ascii="Tahoma" w:hAnsi="Tahoma" w:cs="Tahoma"/>
          <w:sz w:val="22"/>
        </w:rPr>
        <w:t>202</w:t>
      </w:r>
      <w:r w:rsidR="001B4546">
        <w:rPr>
          <w:rFonts w:ascii="Tahoma" w:hAnsi="Tahoma" w:cs="Tahoma"/>
          <w:sz w:val="22"/>
        </w:rPr>
        <w:t>6</w:t>
      </w:r>
      <w:r w:rsidR="000D442D">
        <w:rPr>
          <w:rFonts w:ascii="Tahoma" w:hAnsi="Tahoma" w:cs="Tahoma"/>
          <w:sz w:val="22"/>
        </w:rPr>
        <w:t>.</w:t>
      </w:r>
    </w:p>
    <w:p w14:paraId="707A7553" w14:textId="77777777" w:rsidR="00D35C71" w:rsidRPr="00D35C71" w:rsidRDefault="00D35C71" w:rsidP="00D35C71">
      <w:pPr>
        <w:pStyle w:val="Zkladntext"/>
        <w:tabs>
          <w:tab w:val="left" w:pos="284"/>
        </w:tabs>
        <w:rPr>
          <w:rFonts w:ascii="Tahoma" w:hAnsi="Tahoma" w:cs="Tahoma"/>
          <w:sz w:val="22"/>
          <w:szCs w:val="22"/>
        </w:rPr>
      </w:pPr>
    </w:p>
    <w:p w14:paraId="3B8238C6" w14:textId="3C7559EF" w:rsidR="00D35C71" w:rsidRPr="00EC1566" w:rsidRDefault="00D35C71" w:rsidP="00EC1566">
      <w:pPr>
        <w:pStyle w:val="Odstavecseseznamem"/>
        <w:numPr>
          <w:ilvl w:val="0"/>
          <w:numId w:val="6"/>
        </w:numPr>
        <w:tabs>
          <w:tab w:val="left" w:pos="284"/>
        </w:tabs>
        <w:ind w:left="0" w:firstLine="0"/>
        <w:jc w:val="both"/>
        <w:rPr>
          <w:rFonts w:ascii="Tahoma" w:hAnsi="Tahoma" w:cs="Tahoma"/>
          <w:sz w:val="22"/>
        </w:rPr>
      </w:pPr>
      <w:r w:rsidRPr="00192F96">
        <w:rPr>
          <w:rFonts w:ascii="Tahoma" w:hAnsi="Tahoma" w:cs="Tahoma"/>
          <w:sz w:val="22"/>
        </w:rPr>
        <w:t xml:space="preserve">Příjemce se zavazuje použít tuto dotaci pouze k účelu uvedenému v jím podané žádosti </w:t>
      </w:r>
      <w:r w:rsidR="0065091D">
        <w:rPr>
          <w:rFonts w:ascii="Tahoma" w:hAnsi="Tahoma" w:cs="Tahoma"/>
          <w:sz w:val="22"/>
        </w:rPr>
        <w:br/>
      </w:r>
      <w:r w:rsidRPr="00192F96">
        <w:rPr>
          <w:rFonts w:ascii="Tahoma" w:hAnsi="Tahoma" w:cs="Tahoma"/>
          <w:sz w:val="22"/>
        </w:rPr>
        <w:t>o poskytnutí dotace</w:t>
      </w:r>
      <w:r w:rsidR="00192F96">
        <w:rPr>
          <w:rFonts w:ascii="Tahoma" w:hAnsi="Tahoma" w:cs="Tahoma"/>
          <w:sz w:val="22"/>
        </w:rPr>
        <w:t xml:space="preserve"> </w:t>
      </w:r>
      <w:r w:rsidR="00EC1566" w:rsidRPr="00EC1566">
        <w:rPr>
          <w:rFonts w:ascii="Tahoma" w:hAnsi="Tahoma" w:cs="Tahoma"/>
          <w:sz w:val="22"/>
        </w:rPr>
        <w:t xml:space="preserve">na úhradu nájemného a služeb v zařízeních STARZ. </w:t>
      </w:r>
    </w:p>
    <w:p w14:paraId="121980CA" w14:textId="77777777" w:rsidR="00192F96" w:rsidRPr="00192F96" w:rsidRDefault="00192F96" w:rsidP="00192F96">
      <w:pPr>
        <w:pStyle w:val="Odstavecseseznamem"/>
        <w:tabs>
          <w:tab w:val="left" w:pos="284"/>
        </w:tabs>
        <w:ind w:left="0"/>
        <w:jc w:val="both"/>
        <w:rPr>
          <w:rFonts w:ascii="Tahoma" w:hAnsi="Tahoma" w:cs="Tahoma"/>
          <w:sz w:val="22"/>
        </w:rPr>
      </w:pPr>
    </w:p>
    <w:p w14:paraId="63410EFE" w14:textId="59541550"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183E1ECC"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65091D">
        <w:rPr>
          <w:rFonts w:ascii="Tahoma" w:hAnsi="Tahoma" w:cs="Tahoma"/>
          <w:sz w:val="22"/>
        </w:rPr>
        <w:br/>
      </w:r>
      <w:r>
        <w:rPr>
          <w:rFonts w:ascii="Tahoma" w:hAnsi="Tahoma" w:cs="Tahoma"/>
          <w:sz w:val="22"/>
        </w:rPr>
        <w:t xml:space="preserve">o dani z přidané hodnoty, </w:t>
      </w:r>
      <w:r w:rsidR="000141FA">
        <w:rPr>
          <w:rFonts w:ascii="Tahoma" w:hAnsi="Tahoma" w:cs="Tahoma"/>
          <w:sz w:val="22"/>
        </w:rPr>
        <w:t>ve znění pozdějších předpisů</w:t>
      </w:r>
      <w:r>
        <w:rPr>
          <w:rFonts w:ascii="Tahoma" w:hAnsi="Tahoma" w:cs="Tahoma"/>
          <w:sz w:val="22"/>
        </w:rPr>
        <w:t>, nesmí být z prostředků dotace hrazena daň z přidané hodnoty.</w:t>
      </w:r>
    </w:p>
    <w:p w14:paraId="754E2C54" w14:textId="223049EF"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65091D">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319116CA"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65091D">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2624095E" w:rsidR="006F3B93"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0141FA">
        <w:rPr>
          <w:rFonts w:ascii="Tahoma" w:hAnsi="Tahoma" w:cs="Tahoma"/>
          <w:sz w:val="22"/>
        </w:rPr>
        <w:t>ve znění pozdějších předpisů</w:t>
      </w:r>
      <w:r w:rsidRPr="00402AA1">
        <w:rPr>
          <w:rFonts w:ascii="Tahoma" w:hAnsi="Tahoma" w:cs="Tahoma"/>
          <w:sz w:val="22"/>
        </w:rPr>
        <w:t xml:space="preserve">, řádné </w:t>
      </w:r>
      <w:r w:rsidR="0065091D">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7343F47"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E03A13">
        <w:rPr>
          <w:rFonts w:ascii="Tahoma" w:hAnsi="Tahoma" w:cs="Tahoma"/>
          <w:sz w:val="22"/>
          <w:szCs w:val="22"/>
        </w:rPr>
        <w:t>01.01.202</w:t>
      </w:r>
      <w:r w:rsidR="001B4546">
        <w:rPr>
          <w:rFonts w:ascii="Tahoma" w:hAnsi="Tahoma" w:cs="Tahoma"/>
          <w:sz w:val="22"/>
          <w:szCs w:val="22"/>
        </w:rPr>
        <w:t>6</w:t>
      </w:r>
      <w:proofErr w:type="gramEnd"/>
      <w:r w:rsidR="00192F96">
        <w:rPr>
          <w:rFonts w:ascii="Tahoma" w:hAnsi="Tahoma" w:cs="Tahoma"/>
          <w:sz w:val="22"/>
          <w:szCs w:val="22"/>
        </w:rPr>
        <w:t xml:space="preserve"> </w:t>
      </w:r>
      <w:r w:rsidRPr="00D045D5">
        <w:rPr>
          <w:rFonts w:ascii="Tahoma" w:hAnsi="Tahoma" w:cs="Tahoma"/>
          <w:sz w:val="22"/>
          <w:szCs w:val="22"/>
        </w:rPr>
        <w:t xml:space="preserve">do </w:t>
      </w:r>
      <w:r w:rsidR="00E03A13">
        <w:rPr>
          <w:rFonts w:ascii="Tahoma" w:hAnsi="Tahoma" w:cs="Tahoma"/>
          <w:sz w:val="22"/>
          <w:szCs w:val="22"/>
        </w:rPr>
        <w:t>31.12.202</w:t>
      </w:r>
      <w:r w:rsidR="001B4546">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E03A13">
        <w:rPr>
          <w:rFonts w:ascii="Tahoma" w:hAnsi="Tahoma" w:cs="Tahoma"/>
          <w:sz w:val="22"/>
          <w:szCs w:val="22"/>
        </w:rPr>
        <w:t>202</w:t>
      </w:r>
      <w:r w:rsidR="001B4546">
        <w:rPr>
          <w:rFonts w:ascii="Tahoma" w:hAnsi="Tahoma" w:cs="Tahoma"/>
          <w:sz w:val="22"/>
          <w:szCs w:val="22"/>
        </w:rPr>
        <w:t>6</w:t>
      </w:r>
      <w:r w:rsidR="00E03A13">
        <w:rPr>
          <w:rFonts w:ascii="Tahoma" w:hAnsi="Tahoma" w:cs="Tahoma"/>
          <w:sz w:val="22"/>
          <w:szCs w:val="22"/>
        </w:rPr>
        <w:t>.</w:t>
      </w:r>
    </w:p>
    <w:p w14:paraId="035084B0" w14:textId="77777777" w:rsidR="00EA46AB" w:rsidRDefault="00EA46AB" w:rsidP="006F3B93">
      <w:pPr>
        <w:jc w:val="center"/>
        <w:rPr>
          <w:rFonts w:ascii="Tahoma" w:hAnsi="Tahoma" w:cs="Tahoma"/>
          <w:b/>
          <w:bCs/>
          <w:sz w:val="22"/>
          <w:szCs w:val="22"/>
        </w:rPr>
      </w:pPr>
    </w:p>
    <w:p w14:paraId="2C1A86B3" w14:textId="5A517DB6"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711795F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46AB">
        <w:rPr>
          <w:rFonts w:ascii="Tahoma" w:hAnsi="Tahoma" w:cs="Tahoma"/>
          <w:sz w:val="22"/>
        </w:rPr>
        <w:t>1</w:t>
      </w:r>
      <w:r w:rsidR="001B4546">
        <w:rPr>
          <w:rFonts w:ascii="Tahoma" w:hAnsi="Tahoma" w:cs="Tahoma"/>
          <w:sz w:val="22"/>
        </w:rPr>
        <w:t>5.</w:t>
      </w:r>
      <w:r w:rsidR="00EA46AB">
        <w:rPr>
          <w:rFonts w:ascii="Tahoma" w:hAnsi="Tahoma" w:cs="Tahoma"/>
          <w:sz w:val="22"/>
        </w:rPr>
        <w:t>01.202</w:t>
      </w:r>
      <w:r w:rsidR="001B4546">
        <w:rPr>
          <w:rFonts w:ascii="Tahoma" w:hAnsi="Tahoma" w:cs="Tahoma"/>
          <w:sz w:val="22"/>
        </w:rPr>
        <w:t>7</w:t>
      </w:r>
      <w:proofErr w:type="gramEnd"/>
      <w:r w:rsidR="00EA46AB">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34EC1792"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0141FA">
        <w:rPr>
          <w:rFonts w:ascii="Tahoma" w:hAnsi="Tahoma" w:cs="Tahoma"/>
          <w:sz w:val="22"/>
        </w:rPr>
        <w:t>ve znění pozdějších předpisů,</w:t>
      </w:r>
      <w:r w:rsidRPr="001E2F87">
        <w:rPr>
          <w:rFonts w:ascii="Tahoma" w:hAnsi="Tahoma" w:cs="Tahoma"/>
          <w:sz w:val="22"/>
        </w:rPr>
        <w:t xml:space="preserve"> a zákona č. 255/2012 Sb., o kontrole, </w:t>
      </w:r>
      <w:r w:rsidR="000141FA">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3012600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237BF">
        <w:rPr>
          <w:rFonts w:ascii="Tahoma" w:hAnsi="Tahoma" w:cs="Tahoma"/>
          <w:sz w:val="22"/>
        </w:rPr>
        <w:t>a</w:t>
      </w:r>
      <w:r w:rsidRPr="00D25393">
        <w:rPr>
          <w:rFonts w:ascii="Tahoma" w:hAnsi="Tahoma" w:cs="Tahoma"/>
          <w:sz w:val="22"/>
        </w:rPr>
        <w:t>, má poskytovatel právo je neposkytnout.</w:t>
      </w:r>
    </w:p>
    <w:p w14:paraId="6AC67A6B" w14:textId="2E45F9C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0141FA">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5C5F541" w:rsidR="006F3B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465EC7E2" w14:textId="77777777" w:rsidR="009C018C" w:rsidRPr="00D25393" w:rsidRDefault="009C018C" w:rsidP="009C018C">
      <w:pPr>
        <w:pStyle w:val="Odstavecseseznamem"/>
        <w:tabs>
          <w:tab w:val="left" w:pos="284"/>
        </w:tabs>
        <w:overflowPunct w:val="0"/>
        <w:autoSpaceDE w:val="0"/>
        <w:autoSpaceDN w:val="0"/>
        <w:adjustRightInd w:val="0"/>
        <w:ind w:left="22"/>
        <w:jc w:val="both"/>
        <w:textAlignment w:val="baseline"/>
        <w:rPr>
          <w:rFonts w:ascii="Tahoma" w:hAnsi="Tahoma" w:cs="Tahoma"/>
          <w:sz w:val="22"/>
        </w:rPr>
      </w:pP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4F8827A6"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65091D">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3565F69A"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65091D">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w:t>
      </w:r>
      <w:r w:rsidRPr="00D25393">
        <w:rPr>
          <w:rFonts w:ascii="Tahoma" w:hAnsi="Tahoma" w:cs="Tahoma"/>
          <w:sz w:val="22"/>
        </w:rPr>
        <w:lastRenderedPageBreak/>
        <w:t>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5E2AA0FF"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0141FA">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0141FA">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454BBEDB"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05E5B9B8"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5912795F" w14:textId="77777777" w:rsidR="0061631E"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34C70DD3" w14:textId="77777777" w:rsidR="0061631E" w:rsidRDefault="0061631E" w:rsidP="0061631E">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36A2919" w14:textId="77777777" w:rsidR="0061631E" w:rsidRPr="0092711B" w:rsidRDefault="0061631E" w:rsidP="0061631E">
      <w:pPr>
        <w:jc w:val="both"/>
        <w:rPr>
          <w:rFonts w:ascii="Tahoma" w:hAnsi="Tahoma" w:cs="Tahoma"/>
          <w:sz w:val="22"/>
          <w:szCs w:val="22"/>
        </w:rPr>
      </w:pPr>
    </w:p>
    <w:p w14:paraId="2AB78EEE"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5EF31B0C" w14:textId="77777777" w:rsidR="0061631E" w:rsidRDefault="0061631E" w:rsidP="0061631E">
      <w:pPr>
        <w:jc w:val="both"/>
        <w:rPr>
          <w:rFonts w:ascii="Tahoma" w:hAnsi="Tahoma" w:cs="Tahoma"/>
          <w:sz w:val="22"/>
          <w:szCs w:val="22"/>
        </w:rPr>
      </w:pPr>
    </w:p>
    <w:p w14:paraId="2F618C5A"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4C522F3D" w14:textId="77777777" w:rsidR="0061631E" w:rsidRPr="0092711B" w:rsidRDefault="0061631E" w:rsidP="0061631E">
      <w:pPr>
        <w:jc w:val="both"/>
        <w:rPr>
          <w:rFonts w:ascii="Tahoma" w:hAnsi="Tahoma" w:cs="Tahoma"/>
          <w:sz w:val="22"/>
          <w:szCs w:val="22"/>
        </w:rPr>
      </w:pPr>
    </w:p>
    <w:p w14:paraId="07EB0923" w14:textId="20EB91A0"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144109">
        <w:rPr>
          <w:rFonts w:ascii="Tahoma" w:hAnsi="Tahoma" w:cs="Tahoma"/>
          <w:sz w:val="22"/>
          <w:szCs w:val="22"/>
        </w:rPr>
        <w:t>4303</w:t>
      </w:r>
      <w:r>
        <w:rPr>
          <w:rFonts w:ascii="Tahoma" w:hAnsi="Tahoma" w:cs="Tahoma"/>
          <w:sz w:val="22"/>
          <w:szCs w:val="22"/>
        </w:rPr>
        <w:t>/202</w:t>
      </w:r>
      <w:r w:rsidR="00144109">
        <w:rPr>
          <w:rFonts w:ascii="Tahoma" w:hAnsi="Tahoma" w:cs="Tahoma"/>
          <w:sz w:val="22"/>
          <w:szCs w:val="22"/>
        </w:rPr>
        <w:t>6</w:t>
      </w:r>
      <w:r w:rsidRPr="0092711B">
        <w:rPr>
          <w:rFonts w:ascii="Tahoma" w:hAnsi="Tahoma" w:cs="Tahoma"/>
          <w:sz w:val="22"/>
          <w:szCs w:val="22"/>
        </w:rPr>
        <w:t xml:space="preserve"> dne </w:t>
      </w:r>
      <w:proofErr w:type="gramStart"/>
      <w:r w:rsidR="00144109">
        <w:rPr>
          <w:rFonts w:ascii="Tahoma" w:hAnsi="Tahoma" w:cs="Tahoma"/>
          <w:sz w:val="22"/>
          <w:szCs w:val="22"/>
        </w:rPr>
        <w:t>18</w:t>
      </w:r>
      <w:r>
        <w:rPr>
          <w:rFonts w:ascii="Tahoma" w:hAnsi="Tahoma" w:cs="Tahoma"/>
          <w:sz w:val="22"/>
          <w:szCs w:val="22"/>
        </w:rPr>
        <w:t>.0</w:t>
      </w:r>
      <w:r w:rsidR="00144109">
        <w:rPr>
          <w:rFonts w:ascii="Tahoma" w:hAnsi="Tahoma" w:cs="Tahoma"/>
          <w:sz w:val="22"/>
          <w:szCs w:val="22"/>
        </w:rPr>
        <w:t>3</w:t>
      </w:r>
      <w:r>
        <w:rPr>
          <w:rFonts w:ascii="Tahoma" w:hAnsi="Tahoma" w:cs="Tahoma"/>
          <w:sz w:val="22"/>
          <w:szCs w:val="22"/>
        </w:rPr>
        <w:t>.202</w:t>
      </w:r>
      <w:r w:rsidR="00144109">
        <w:rPr>
          <w:rFonts w:ascii="Tahoma" w:hAnsi="Tahoma" w:cs="Tahoma"/>
          <w:sz w:val="22"/>
          <w:szCs w:val="22"/>
        </w:rPr>
        <w:t>6</w:t>
      </w:r>
      <w:proofErr w:type="gramEnd"/>
      <w:r>
        <w:rPr>
          <w:rFonts w:ascii="Tahoma" w:hAnsi="Tahoma" w:cs="Tahoma"/>
          <w:sz w:val="22"/>
          <w:szCs w:val="22"/>
        </w:rPr>
        <w:t>.</w:t>
      </w:r>
    </w:p>
    <w:p w14:paraId="5ECA2C40" w14:textId="77777777" w:rsidR="0061631E" w:rsidRPr="0092711B" w:rsidRDefault="0061631E" w:rsidP="0061631E">
      <w:pPr>
        <w:jc w:val="both"/>
        <w:rPr>
          <w:rFonts w:ascii="Tahoma" w:hAnsi="Tahoma" w:cs="Tahoma"/>
          <w:sz w:val="22"/>
          <w:szCs w:val="22"/>
        </w:rPr>
      </w:pPr>
    </w:p>
    <w:p w14:paraId="0D10775C" w14:textId="77777777" w:rsidR="0061631E" w:rsidRDefault="0061631E" w:rsidP="0061631E">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BBFAB4F" w14:textId="77777777" w:rsidR="0061631E" w:rsidRPr="00D045D5" w:rsidRDefault="0061631E" w:rsidP="0061631E">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1386A7C"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9243B1">
        <w:rPr>
          <w:rFonts w:ascii="Tahoma" w:hAnsi="Tahoma" w:cs="Tahoma"/>
          <w:sz w:val="22"/>
          <w:szCs w:val="22"/>
        </w:rPr>
        <w:tab/>
      </w:r>
      <w:r w:rsidR="009243B1">
        <w:rPr>
          <w:rFonts w:ascii="Tahoma" w:hAnsi="Tahoma" w:cs="Tahoma"/>
          <w:sz w:val="22"/>
          <w:szCs w:val="22"/>
        </w:rPr>
        <w:tab/>
      </w:r>
      <w:r w:rsidR="00FB0917">
        <w:rPr>
          <w:rFonts w:ascii="Tahoma" w:hAnsi="Tahoma" w:cs="Tahoma"/>
          <w:sz w:val="22"/>
          <w:szCs w:val="22"/>
        </w:rPr>
        <w:t>Mgr.</w:t>
      </w:r>
      <w:r w:rsidR="004B24DB">
        <w:rPr>
          <w:rFonts w:ascii="Tahoma" w:hAnsi="Tahoma" w:cs="Tahoma"/>
          <w:sz w:val="22"/>
          <w:szCs w:val="22"/>
        </w:rPr>
        <w:t xml:space="preserve"> Iva Šrámková</w:t>
      </w:r>
      <w:r w:rsidR="000A67DC" w:rsidRPr="00D045D5">
        <w:rPr>
          <w:rFonts w:ascii="Tahoma" w:hAnsi="Tahoma" w:cs="Tahoma"/>
          <w:sz w:val="22"/>
          <w:szCs w:val="22"/>
        </w:rPr>
        <w:tab/>
      </w:r>
    </w:p>
    <w:p w14:paraId="5FE99306" w14:textId="29D7DA03"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4F19B8">
        <w:rPr>
          <w:rFonts w:ascii="Tahoma" w:hAnsi="Tahoma" w:cs="Tahoma"/>
          <w:sz w:val="22"/>
          <w:szCs w:val="22"/>
        </w:rPr>
        <w:t>řed</w:t>
      </w:r>
      <w:r w:rsidR="004B24DB">
        <w:rPr>
          <w:rFonts w:ascii="Tahoma" w:hAnsi="Tahoma" w:cs="Tahoma"/>
          <w:sz w:val="22"/>
          <w:szCs w:val="22"/>
        </w:rPr>
        <w:t>itelka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3621" w:hanging="360"/>
      </w:pPr>
      <w:rPr>
        <w:rFonts w:hint="default"/>
      </w:rPr>
    </w:lvl>
    <w:lvl w:ilvl="1" w:tplc="04050019" w:tentative="1">
      <w:start w:val="1"/>
      <w:numFmt w:val="lowerLetter"/>
      <w:lvlText w:val="%2."/>
      <w:lvlJc w:val="left"/>
      <w:pPr>
        <w:ind w:left="4351" w:hanging="360"/>
      </w:pPr>
    </w:lvl>
    <w:lvl w:ilvl="2" w:tplc="0405001B" w:tentative="1">
      <w:start w:val="1"/>
      <w:numFmt w:val="lowerRoman"/>
      <w:lvlText w:val="%3."/>
      <w:lvlJc w:val="right"/>
      <w:pPr>
        <w:ind w:left="5071" w:hanging="180"/>
      </w:pPr>
    </w:lvl>
    <w:lvl w:ilvl="3" w:tplc="0405000F" w:tentative="1">
      <w:start w:val="1"/>
      <w:numFmt w:val="decimal"/>
      <w:lvlText w:val="%4."/>
      <w:lvlJc w:val="left"/>
      <w:pPr>
        <w:ind w:left="5791" w:hanging="360"/>
      </w:pPr>
    </w:lvl>
    <w:lvl w:ilvl="4" w:tplc="04050019" w:tentative="1">
      <w:start w:val="1"/>
      <w:numFmt w:val="lowerLetter"/>
      <w:lvlText w:val="%5."/>
      <w:lvlJc w:val="left"/>
      <w:pPr>
        <w:ind w:left="6511" w:hanging="360"/>
      </w:pPr>
    </w:lvl>
    <w:lvl w:ilvl="5" w:tplc="0405001B" w:tentative="1">
      <w:start w:val="1"/>
      <w:numFmt w:val="lowerRoman"/>
      <w:lvlText w:val="%6."/>
      <w:lvlJc w:val="right"/>
      <w:pPr>
        <w:ind w:left="7231" w:hanging="180"/>
      </w:pPr>
    </w:lvl>
    <w:lvl w:ilvl="6" w:tplc="0405000F" w:tentative="1">
      <w:start w:val="1"/>
      <w:numFmt w:val="decimal"/>
      <w:lvlText w:val="%7."/>
      <w:lvlJc w:val="left"/>
      <w:pPr>
        <w:ind w:left="7951" w:hanging="360"/>
      </w:pPr>
    </w:lvl>
    <w:lvl w:ilvl="7" w:tplc="04050019" w:tentative="1">
      <w:start w:val="1"/>
      <w:numFmt w:val="lowerLetter"/>
      <w:lvlText w:val="%8."/>
      <w:lvlJc w:val="left"/>
      <w:pPr>
        <w:ind w:left="8671" w:hanging="360"/>
      </w:pPr>
    </w:lvl>
    <w:lvl w:ilvl="8" w:tplc="0405001B" w:tentative="1">
      <w:start w:val="1"/>
      <w:numFmt w:val="lowerRoman"/>
      <w:lvlText w:val="%9."/>
      <w:lvlJc w:val="right"/>
      <w:pPr>
        <w:ind w:left="9391"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41FA"/>
    <w:rsid w:val="000233E8"/>
    <w:rsid w:val="0002506C"/>
    <w:rsid w:val="00027797"/>
    <w:rsid w:val="000331F2"/>
    <w:rsid w:val="000355B5"/>
    <w:rsid w:val="00035F04"/>
    <w:rsid w:val="00045FE4"/>
    <w:rsid w:val="0004780D"/>
    <w:rsid w:val="0005706A"/>
    <w:rsid w:val="00063DF7"/>
    <w:rsid w:val="0006581C"/>
    <w:rsid w:val="0006670C"/>
    <w:rsid w:val="000720C7"/>
    <w:rsid w:val="00085B95"/>
    <w:rsid w:val="00091AAB"/>
    <w:rsid w:val="00095E76"/>
    <w:rsid w:val="000A2562"/>
    <w:rsid w:val="000A2E56"/>
    <w:rsid w:val="000A438E"/>
    <w:rsid w:val="000A4A37"/>
    <w:rsid w:val="000A67DC"/>
    <w:rsid w:val="000B15F0"/>
    <w:rsid w:val="000B26F2"/>
    <w:rsid w:val="000B3BCE"/>
    <w:rsid w:val="000B4AA7"/>
    <w:rsid w:val="000B7E43"/>
    <w:rsid w:val="000D0DE5"/>
    <w:rsid w:val="000D36C0"/>
    <w:rsid w:val="000D442D"/>
    <w:rsid w:val="000F58DA"/>
    <w:rsid w:val="000F7C93"/>
    <w:rsid w:val="001050F0"/>
    <w:rsid w:val="00105AEA"/>
    <w:rsid w:val="00115579"/>
    <w:rsid w:val="0012499A"/>
    <w:rsid w:val="0013347C"/>
    <w:rsid w:val="00133AD9"/>
    <w:rsid w:val="00144109"/>
    <w:rsid w:val="00177575"/>
    <w:rsid w:val="00180B8D"/>
    <w:rsid w:val="0018267C"/>
    <w:rsid w:val="00187FB3"/>
    <w:rsid w:val="00192F96"/>
    <w:rsid w:val="001950A9"/>
    <w:rsid w:val="00195EF7"/>
    <w:rsid w:val="001979B5"/>
    <w:rsid w:val="001A0780"/>
    <w:rsid w:val="001A46E9"/>
    <w:rsid w:val="001B0370"/>
    <w:rsid w:val="001B4546"/>
    <w:rsid w:val="001B4DF7"/>
    <w:rsid w:val="001B7095"/>
    <w:rsid w:val="001C0B23"/>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56802"/>
    <w:rsid w:val="0046084B"/>
    <w:rsid w:val="0046740F"/>
    <w:rsid w:val="004734A4"/>
    <w:rsid w:val="00475E63"/>
    <w:rsid w:val="004831CA"/>
    <w:rsid w:val="00491C7A"/>
    <w:rsid w:val="004923C4"/>
    <w:rsid w:val="004A40E4"/>
    <w:rsid w:val="004B23A7"/>
    <w:rsid w:val="004B24DB"/>
    <w:rsid w:val="004B4BF1"/>
    <w:rsid w:val="004C2B3B"/>
    <w:rsid w:val="004C2ECF"/>
    <w:rsid w:val="004C5B1B"/>
    <w:rsid w:val="004D657C"/>
    <w:rsid w:val="004E1CDB"/>
    <w:rsid w:val="004E442A"/>
    <w:rsid w:val="004E6CE8"/>
    <w:rsid w:val="004F19B8"/>
    <w:rsid w:val="004F3F00"/>
    <w:rsid w:val="004F412E"/>
    <w:rsid w:val="004F51AC"/>
    <w:rsid w:val="004F611B"/>
    <w:rsid w:val="004F6AFE"/>
    <w:rsid w:val="00506BF8"/>
    <w:rsid w:val="00510B6D"/>
    <w:rsid w:val="00520F73"/>
    <w:rsid w:val="00526F8B"/>
    <w:rsid w:val="00537B13"/>
    <w:rsid w:val="005460BD"/>
    <w:rsid w:val="0054754F"/>
    <w:rsid w:val="005533F3"/>
    <w:rsid w:val="005553F4"/>
    <w:rsid w:val="00557130"/>
    <w:rsid w:val="00562A67"/>
    <w:rsid w:val="00563348"/>
    <w:rsid w:val="00572D9C"/>
    <w:rsid w:val="00572E17"/>
    <w:rsid w:val="0057340F"/>
    <w:rsid w:val="0057591C"/>
    <w:rsid w:val="0058091F"/>
    <w:rsid w:val="00581475"/>
    <w:rsid w:val="0059047B"/>
    <w:rsid w:val="00590CE2"/>
    <w:rsid w:val="00591D62"/>
    <w:rsid w:val="005C64CD"/>
    <w:rsid w:val="005D2432"/>
    <w:rsid w:val="005D4C09"/>
    <w:rsid w:val="005D50F7"/>
    <w:rsid w:val="005D565A"/>
    <w:rsid w:val="005E11E4"/>
    <w:rsid w:val="005E1BD6"/>
    <w:rsid w:val="005F2E19"/>
    <w:rsid w:val="0061631E"/>
    <w:rsid w:val="0063452B"/>
    <w:rsid w:val="00635ACD"/>
    <w:rsid w:val="00644561"/>
    <w:rsid w:val="0065091D"/>
    <w:rsid w:val="00652A2B"/>
    <w:rsid w:val="006564B4"/>
    <w:rsid w:val="00676D9D"/>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37BF"/>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5596E"/>
    <w:rsid w:val="00866121"/>
    <w:rsid w:val="0087254B"/>
    <w:rsid w:val="00874262"/>
    <w:rsid w:val="00881F4F"/>
    <w:rsid w:val="0088417B"/>
    <w:rsid w:val="00892F9F"/>
    <w:rsid w:val="0089382B"/>
    <w:rsid w:val="00896F0B"/>
    <w:rsid w:val="00897D50"/>
    <w:rsid w:val="008A0C88"/>
    <w:rsid w:val="008A2391"/>
    <w:rsid w:val="008B46D8"/>
    <w:rsid w:val="008C1332"/>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43B1"/>
    <w:rsid w:val="0092711B"/>
    <w:rsid w:val="00930329"/>
    <w:rsid w:val="00935E5B"/>
    <w:rsid w:val="00940EA5"/>
    <w:rsid w:val="00944AB9"/>
    <w:rsid w:val="00951E96"/>
    <w:rsid w:val="009522CA"/>
    <w:rsid w:val="0095415B"/>
    <w:rsid w:val="00970317"/>
    <w:rsid w:val="00975219"/>
    <w:rsid w:val="009816B5"/>
    <w:rsid w:val="009841F1"/>
    <w:rsid w:val="00995C90"/>
    <w:rsid w:val="00996C05"/>
    <w:rsid w:val="009B689B"/>
    <w:rsid w:val="009C018C"/>
    <w:rsid w:val="009C133D"/>
    <w:rsid w:val="009C31DB"/>
    <w:rsid w:val="009C5BC9"/>
    <w:rsid w:val="009D2D94"/>
    <w:rsid w:val="009D4F06"/>
    <w:rsid w:val="009E270F"/>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71D07"/>
    <w:rsid w:val="00A72AB9"/>
    <w:rsid w:val="00A93CFD"/>
    <w:rsid w:val="00A95F47"/>
    <w:rsid w:val="00AA2784"/>
    <w:rsid w:val="00AB42CC"/>
    <w:rsid w:val="00AB66F1"/>
    <w:rsid w:val="00AC58C7"/>
    <w:rsid w:val="00AC79E8"/>
    <w:rsid w:val="00AD6024"/>
    <w:rsid w:val="00AD69FA"/>
    <w:rsid w:val="00AE1A51"/>
    <w:rsid w:val="00AE398C"/>
    <w:rsid w:val="00B01A8E"/>
    <w:rsid w:val="00B02086"/>
    <w:rsid w:val="00B0739A"/>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1571A"/>
    <w:rsid w:val="00C15BFC"/>
    <w:rsid w:val="00C17FA0"/>
    <w:rsid w:val="00C22E1B"/>
    <w:rsid w:val="00C30552"/>
    <w:rsid w:val="00C321FD"/>
    <w:rsid w:val="00C47066"/>
    <w:rsid w:val="00C4793B"/>
    <w:rsid w:val="00C96CBF"/>
    <w:rsid w:val="00CA2B01"/>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28AB"/>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03A13"/>
    <w:rsid w:val="00E115B8"/>
    <w:rsid w:val="00E25C4E"/>
    <w:rsid w:val="00E31A4C"/>
    <w:rsid w:val="00E33CB9"/>
    <w:rsid w:val="00E35401"/>
    <w:rsid w:val="00E35E4D"/>
    <w:rsid w:val="00E40591"/>
    <w:rsid w:val="00E405D6"/>
    <w:rsid w:val="00E40978"/>
    <w:rsid w:val="00E426A5"/>
    <w:rsid w:val="00E53B6E"/>
    <w:rsid w:val="00E731F8"/>
    <w:rsid w:val="00E83694"/>
    <w:rsid w:val="00E86D8C"/>
    <w:rsid w:val="00E908E0"/>
    <w:rsid w:val="00E90E5D"/>
    <w:rsid w:val="00E9750E"/>
    <w:rsid w:val="00EA46AB"/>
    <w:rsid w:val="00EB0F91"/>
    <w:rsid w:val="00EB2BE8"/>
    <w:rsid w:val="00EB6530"/>
    <w:rsid w:val="00EB6785"/>
    <w:rsid w:val="00EB743A"/>
    <w:rsid w:val="00EB7D0D"/>
    <w:rsid w:val="00EB7D4B"/>
    <w:rsid w:val="00EC1566"/>
    <w:rsid w:val="00EC237D"/>
    <w:rsid w:val="00EC402C"/>
    <w:rsid w:val="00EC7492"/>
    <w:rsid w:val="00ED217A"/>
    <w:rsid w:val="00ED7846"/>
    <w:rsid w:val="00EE0A30"/>
    <w:rsid w:val="00EE298D"/>
    <w:rsid w:val="00EE53BF"/>
    <w:rsid w:val="00EF050A"/>
    <w:rsid w:val="00EF1280"/>
    <w:rsid w:val="00F2288D"/>
    <w:rsid w:val="00F24EA2"/>
    <w:rsid w:val="00F2684E"/>
    <w:rsid w:val="00F37EAA"/>
    <w:rsid w:val="00F42F3A"/>
    <w:rsid w:val="00F52568"/>
    <w:rsid w:val="00F53967"/>
    <w:rsid w:val="00F57091"/>
    <w:rsid w:val="00F6586A"/>
    <w:rsid w:val="00F664FC"/>
    <w:rsid w:val="00F71E58"/>
    <w:rsid w:val="00F73414"/>
    <w:rsid w:val="00F736B8"/>
    <w:rsid w:val="00F77272"/>
    <w:rsid w:val="00F80F6C"/>
    <w:rsid w:val="00F83E37"/>
    <w:rsid w:val="00F938F9"/>
    <w:rsid w:val="00F967E1"/>
    <w:rsid w:val="00FA1578"/>
    <w:rsid w:val="00FB0917"/>
    <w:rsid w:val="00FB0A63"/>
    <w:rsid w:val="00FB6954"/>
    <w:rsid w:val="00FC2745"/>
    <w:rsid w:val="00FD3F8F"/>
    <w:rsid w:val="00FE4A50"/>
    <w:rsid w:val="00FE559E"/>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38661442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4005186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A233-4991-45B8-ADA7-2B6D8151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1979</Words>
  <Characters>11764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2026-03-20T08:08:00Z</cp:lastPrinted>
  <dcterms:created xsi:type="dcterms:W3CDTF">2026-03-20T08:13:00Z</dcterms:created>
  <dcterms:modified xsi:type="dcterms:W3CDTF">2026-03-20T08:15:00Z</dcterms:modified>
</cp:coreProperties>
</file>