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D4C" w:rsidRPr="00AD6E85" w:rsidRDefault="000C7D4C" w:rsidP="000C7D4C">
      <w:pPr>
        <w:pStyle w:val="Bezmezer"/>
        <w:tabs>
          <w:tab w:val="right" w:pos="9072"/>
        </w:tabs>
        <w:rPr>
          <w:rFonts w:ascii="Arial" w:hAnsi="Arial" w:cs="Arial"/>
        </w:rPr>
      </w:pPr>
      <w:bookmarkStart w:id="0" w:name="_GoBack"/>
      <w:bookmarkEnd w:id="0"/>
      <w:proofErr w:type="spellStart"/>
      <w:r w:rsidRPr="00AD6E85">
        <w:rPr>
          <w:rFonts w:ascii="Arial" w:hAnsi="Arial" w:cs="Arial"/>
        </w:rPr>
        <w:t>ev</w:t>
      </w:r>
      <w:proofErr w:type="spellEnd"/>
      <w:r w:rsidRPr="00AD6E85">
        <w:rPr>
          <w:rFonts w:ascii="Arial" w:hAnsi="Arial" w:cs="Arial"/>
        </w:rPr>
        <w:t xml:space="preserve">. č. objednatele: </w:t>
      </w:r>
      <w:r w:rsidRPr="009564C1">
        <w:rPr>
          <w:rFonts w:ascii="Arial" w:hAnsi="Arial" w:cs="Arial"/>
        </w:rPr>
        <w:t>B 0024/15</w:t>
      </w:r>
      <w:r w:rsidRPr="009564C1">
        <w:rPr>
          <w:rFonts w:ascii="Arial" w:hAnsi="Arial" w:cs="Arial"/>
        </w:rPr>
        <w:tab/>
      </w:r>
      <w:proofErr w:type="spellStart"/>
      <w:r w:rsidRPr="009564C1">
        <w:rPr>
          <w:rFonts w:ascii="Arial" w:hAnsi="Arial" w:cs="Arial"/>
        </w:rPr>
        <w:t>ev</w:t>
      </w:r>
      <w:proofErr w:type="spellEnd"/>
      <w:r w:rsidRPr="009564C1">
        <w:rPr>
          <w:rFonts w:ascii="Arial" w:hAnsi="Arial" w:cs="Arial"/>
        </w:rPr>
        <w:t>. č. zhotovitele: ZHS150038</w:t>
      </w:r>
    </w:p>
    <w:p w:rsidR="000C7D4C" w:rsidRDefault="000C7D4C" w:rsidP="000C7D4C">
      <w:pPr>
        <w:pStyle w:val="Bezmezer"/>
        <w:jc w:val="center"/>
        <w:rPr>
          <w:rFonts w:ascii="Tahoma" w:hAnsi="Tahoma" w:cs="Tahoma"/>
          <w:sz w:val="19"/>
          <w:szCs w:val="19"/>
          <w:lang w:eastAsia="cs-CZ"/>
        </w:rPr>
      </w:pPr>
    </w:p>
    <w:p w:rsidR="000C7D4C" w:rsidRDefault="000C7D4C" w:rsidP="000C7D4C">
      <w:pPr>
        <w:pStyle w:val="Bezmezer"/>
        <w:jc w:val="center"/>
        <w:rPr>
          <w:rFonts w:ascii="Tahoma" w:hAnsi="Tahoma" w:cs="Tahoma"/>
          <w:sz w:val="19"/>
          <w:szCs w:val="19"/>
          <w:lang w:eastAsia="cs-CZ"/>
        </w:rPr>
      </w:pPr>
    </w:p>
    <w:p w:rsidR="000C7D4C" w:rsidRDefault="000C7D4C" w:rsidP="000C7D4C">
      <w:pPr>
        <w:pStyle w:val="Bezmezer"/>
        <w:jc w:val="center"/>
        <w:rPr>
          <w:rFonts w:ascii="Arial" w:hAnsi="Arial" w:cs="Arial"/>
          <w:b/>
          <w:sz w:val="32"/>
          <w:szCs w:val="32"/>
        </w:rPr>
      </w:pPr>
      <w:r>
        <w:rPr>
          <w:rFonts w:ascii="Arial" w:hAnsi="Arial" w:cs="Arial"/>
          <w:b/>
          <w:sz w:val="32"/>
          <w:szCs w:val="32"/>
        </w:rPr>
        <w:t xml:space="preserve">Dodatek č. 1 </w:t>
      </w:r>
    </w:p>
    <w:p w:rsidR="000C7D4C" w:rsidRPr="00AD6E85" w:rsidRDefault="000C7D4C" w:rsidP="000C7D4C">
      <w:pPr>
        <w:pStyle w:val="Bezmezer"/>
        <w:spacing w:before="120"/>
        <w:jc w:val="center"/>
        <w:rPr>
          <w:rFonts w:ascii="Arial" w:hAnsi="Arial" w:cs="Arial"/>
          <w:szCs w:val="20"/>
        </w:rPr>
      </w:pPr>
      <w:r w:rsidRPr="00AD6E85">
        <w:rPr>
          <w:rFonts w:ascii="Arial" w:hAnsi="Arial" w:cs="Arial"/>
          <w:szCs w:val="20"/>
        </w:rPr>
        <w:t>ke smlouvě o dílo na realizaci veřejné zakázky „</w:t>
      </w:r>
      <w:r w:rsidRPr="00AD6E85">
        <w:rPr>
          <w:rFonts w:ascii="Arial" w:hAnsi="Arial" w:cs="Arial"/>
          <w:i/>
          <w:szCs w:val="20"/>
        </w:rPr>
        <w:t xml:space="preserve">VD </w:t>
      </w:r>
      <w:proofErr w:type="spellStart"/>
      <w:r w:rsidRPr="00AD6E85">
        <w:rPr>
          <w:rFonts w:ascii="Arial" w:hAnsi="Arial" w:cs="Arial"/>
          <w:i/>
          <w:szCs w:val="20"/>
        </w:rPr>
        <w:t>Kružberk</w:t>
      </w:r>
      <w:proofErr w:type="spellEnd"/>
      <w:r w:rsidRPr="00AD6E85">
        <w:rPr>
          <w:rFonts w:ascii="Arial" w:hAnsi="Arial" w:cs="Arial"/>
          <w:i/>
          <w:szCs w:val="20"/>
        </w:rPr>
        <w:t>, rekonstrukce koruny a oprava návodního líce</w:t>
      </w:r>
      <w:r w:rsidRPr="00AD6E85">
        <w:rPr>
          <w:rFonts w:ascii="Arial" w:hAnsi="Arial" w:cs="Arial"/>
          <w:szCs w:val="20"/>
        </w:rPr>
        <w:t>“ uzavřené dne 10. 7. 2015</w:t>
      </w:r>
    </w:p>
    <w:p w:rsidR="000C7D4C" w:rsidRPr="00AD6E85" w:rsidRDefault="000C7D4C" w:rsidP="000C7D4C">
      <w:pPr>
        <w:pStyle w:val="Bezmezer"/>
        <w:spacing w:before="120"/>
        <w:jc w:val="center"/>
        <w:rPr>
          <w:rFonts w:ascii="Arial" w:hAnsi="Arial" w:cs="Arial"/>
          <w:szCs w:val="20"/>
        </w:rPr>
      </w:pPr>
      <w:r w:rsidRPr="00AD6E85">
        <w:rPr>
          <w:rFonts w:ascii="Arial" w:hAnsi="Arial" w:cs="Arial"/>
          <w:szCs w:val="20"/>
        </w:rPr>
        <w:t>(dále také jen „</w:t>
      </w:r>
      <w:r w:rsidRPr="00AD6E85">
        <w:rPr>
          <w:rFonts w:ascii="Arial" w:hAnsi="Arial" w:cs="Arial"/>
          <w:b/>
          <w:szCs w:val="20"/>
        </w:rPr>
        <w:t>Dodatek č. 1</w:t>
      </w:r>
      <w:r w:rsidRPr="00AD6E85">
        <w:rPr>
          <w:rFonts w:ascii="Arial" w:hAnsi="Arial" w:cs="Arial"/>
          <w:szCs w:val="20"/>
        </w:rPr>
        <w:t>“)</w:t>
      </w:r>
    </w:p>
    <w:p w:rsidR="000C7D4C" w:rsidRPr="00492335" w:rsidRDefault="000C7D4C" w:rsidP="000C7D4C">
      <w:pPr>
        <w:pStyle w:val="Bezmezer"/>
        <w:numPr>
          <w:ilvl w:val="0"/>
          <w:numId w:val="1"/>
        </w:numPr>
        <w:tabs>
          <w:tab w:val="clear" w:pos="357"/>
        </w:tabs>
        <w:spacing w:before="480"/>
        <w:ind w:left="-357" w:firstLine="79"/>
        <w:jc w:val="center"/>
        <w:rPr>
          <w:rFonts w:ascii="Arial" w:hAnsi="Arial" w:cs="Arial"/>
          <w:b/>
          <w:sz w:val="24"/>
          <w:szCs w:val="24"/>
        </w:rPr>
      </w:pPr>
      <w:r w:rsidRPr="00492335">
        <w:rPr>
          <w:rFonts w:ascii="Arial" w:hAnsi="Arial" w:cs="Arial"/>
          <w:b/>
          <w:sz w:val="24"/>
          <w:szCs w:val="24"/>
        </w:rPr>
        <w:t>Smluvní strany</w:t>
      </w:r>
    </w:p>
    <w:p w:rsidR="000C7D4C" w:rsidRDefault="000C7D4C" w:rsidP="000C7D4C">
      <w:pPr>
        <w:pStyle w:val="Bezmezer"/>
        <w:jc w:val="both"/>
        <w:rPr>
          <w:rFonts w:ascii="Arial" w:hAnsi="Arial" w:cs="Arial"/>
          <w:sz w:val="18"/>
          <w:szCs w:val="18"/>
        </w:rPr>
      </w:pPr>
    </w:p>
    <w:p w:rsidR="000C7D4C" w:rsidRPr="00AD6E85" w:rsidRDefault="000C7D4C" w:rsidP="000C7D4C">
      <w:pPr>
        <w:pStyle w:val="Bezmezer"/>
        <w:numPr>
          <w:ilvl w:val="1"/>
          <w:numId w:val="2"/>
        </w:numPr>
        <w:jc w:val="both"/>
        <w:rPr>
          <w:rFonts w:ascii="Arial" w:hAnsi="Arial" w:cs="Arial"/>
          <w:b/>
          <w:szCs w:val="20"/>
        </w:rPr>
      </w:pPr>
      <w:r w:rsidRPr="00AD6E85">
        <w:rPr>
          <w:rFonts w:ascii="Arial" w:hAnsi="Arial" w:cs="Arial"/>
          <w:b/>
          <w:szCs w:val="20"/>
        </w:rPr>
        <w:t>Objednatel:</w:t>
      </w:r>
    </w:p>
    <w:p w:rsidR="000C7D4C" w:rsidRPr="00AD6E85" w:rsidRDefault="000C7D4C" w:rsidP="000C7D4C">
      <w:pPr>
        <w:pStyle w:val="Bezmezer"/>
        <w:tabs>
          <w:tab w:val="left" w:pos="2700"/>
        </w:tabs>
        <w:spacing w:before="120"/>
        <w:jc w:val="both"/>
        <w:rPr>
          <w:rFonts w:ascii="Arial" w:hAnsi="Arial" w:cs="Arial"/>
          <w:b/>
          <w:bCs/>
          <w:szCs w:val="20"/>
        </w:rPr>
      </w:pPr>
      <w:r w:rsidRPr="00AD6E85">
        <w:rPr>
          <w:rFonts w:ascii="Arial" w:hAnsi="Arial" w:cs="Arial"/>
          <w:bCs/>
          <w:szCs w:val="20"/>
        </w:rPr>
        <w:t>Název:</w:t>
      </w:r>
      <w:r w:rsidRPr="00AD6E85">
        <w:rPr>
          <w:rFonts w:ascii="Arial" w:hAnsi="Arial" w:cs="Arial"/>
          <w:b/>
          <w:bCs/>
          <w:szCs w:val="20"/>
        </w:rPr>
        <w:tab/>
        <w:t>Povodí Odry, státní podnik</w:t>
      </w:r>
    </w:p>
    <w:p w:rsidR="000C7D4C" w:rsidRPr="00AD6E85" w:rsidRDefault="000C7D4C" w:rsidP="000C7D4C">
      <w:pPr>
        <w:pStyle w:val="Bezmezer"/>
        <w:tabs>
          <w:tab w:val="left" w:pos="2700"/>
        </w:tabs>
        <w:jc w:val="both"/>
        <w:rPr>
          <w:rFonts w:ascii="Arial" w:hAnsi="Arial" w:cs="Arial"/>
          <w:szCs w:val="20"/>
        </w:rPr>
      </w:pPr>
      <w:r w:rsidRPr="00AD6E85">
        <w:rPr>
          <w:rFonts w:ascii="Arial" w:hAnsi="Arial" w:cs="Arial"/>
          <w:szCs w:val="20"/>
        </w:rPr>
        <w:t>Sídlo:</w:t>
      </w:r>
      <w:r w:rsidRPr="00AD6E85">
        <w:rPr>
          <w:rFonts w:ascii="Arial" w:hAnsi="Arial" w:cs="Arial"/>
          <w:szCs w:val="20"/>
        </w:rPr>
        <w:tab/>
        <w:t xml:space="preserve">Ostrava, Moravská Ostrava, Varenská 3101/49, PSČ 702 00 </w:t>
      </w:r>
    </w:p>
    <w:p w:rsidR="000C7D4C" w:rsidRPr="00AD6E85" w:rsidRDefault="000C7D4C" w:rsidP="000C7D4C">
      <w:pPr>
        <w:pStyle w:val="Bezmezer"/>
        <w:tabs>
          <w:tab w:val="left" w:pos="2700"/>
        </w:tabs>
        <w:jc w:val="both"/>
        <w:rPr>
          <w:rFonts w:ascii="Arial" w:hAnsi="Arial" w:cs="Arial"/>
          <w:szCs w:val="20"/>
        </w:rPr>
      </w:pPr>
      <w:r w:rsidRPr="00AD6E85">
        <w:rPr>
          <w:rFonts w:ascii="Arial" w:hAnsi="Arial" w:cs="Arial"/>
          <w:szCs w:val="20"/>
        </w:rPr>
        <w:tab/>
        <w:t>doručovací číslo:701 26</w:t>
      </w:r>
    </w:p>
    <w:p w:rsidR="000C7D4C" w:rsidRPr="00AD6E85" w:rsidRDefault="000C7D4C" w:rsidP="000C7D4C">
      <w:pPr>
        <w:pStyle w:val="Bezmezer"/>
        <w:tabs>
          <w:tab w:val="left" w:pos="2700"/>
        </w:tabs>
        <w:jc w:val="both"/>
        <w:rPr>
          <w:rFonts w:ascii="Arial" w:hAnsi="Arial" w:cs="Arial"/>
          <w:bCs/>
          <w:szCs w:val="20"/>
        </w:rPr>
      </w:pPr>
      <w:r w:rsidRPr="00AD6E85">
        <w:rPr>
          <w:rFonts w:ascii="Arial" w:hAnsi="Arial" w:cs="Arial"/>
          <w:szCs w:val="20"/>
        </w:rPr>
        <w:t>Zastoupený:</w:t>
      </w:r>
      <w:r w:rsidRPr="00AD6E85">
        <w:rPr>
          <w:rFonts w:ascii="Arial" w:hAnsi="Arial" w:cs="Arial"/>
          <w:szCs w:val="20"/>
        </w:rPr>
        <w:tab/>
      </w:r>
      <w:r w:rsidRPr="00AD6E85">
        <w:rPr>
          <w:rFonts w:ascii="Arial" w:hAnsi="Arial" w:cs="Arial"/>
          <w:bCs/>
          <w:szCs w:val="20"/>
        </w:rPr>
        <w:t xml:space="preserve">Ing. Jiřím </w:t>
      </w:r>
      <w:proofErr w:type="spellStart"/>
      <w:r w:rsidRPr="00AD6E85">
        <w:rPr>
          <w:rFonts w:ascii="Arial" w:hAnsi="Arial" w:cs="Arial"/>
          <w:bCs/>
          <w:szCs w:val="20"/>
        </w:rPr>
        <w:t>Pagáčem</w:t>
      </w:r>
      <w:proofErr w:type="spellEnd"/>
      <w:r w:rsidRPr="00AD6E85">
        <w:rPr>
          <w:rFonts w:ascii="Arial" w:hAnsi="Arial" w:cs="Arial"/>
          <w:bCs/>
          <w:szCs w:val="20"/>
        </w:rPr>
        <w:t xml:space="preserve">, generálním ředitelem </w:t>
      </w:r>
    </w:p>
    <w:p w:rsidR="000C7D4C" w:rsidRPr="00AD6E85" w:rsidRDefault="000C7D4C" w:rsidP="000C7D4C">
      <w:pPr>
        <w:pStyle w:val="Bezmezer"/>
        <w:tabs>
          <w:tab w:val="left" w:pos="2700"/>
        </w:tabs>
        <w:jc w:val="both"/>
        <w:rPr>
          <w:rFonts w:ascii="Arial" w:hAnsi="Arial" w:cs="Arial"/>
          <w:szCs w:val="20"/>
        </w:rPr>
      </w:pPr>
      <w:r w:rsidRPr="00AD6E85">
        <w:rPr>
          <w:rFonts w:ascii="Arial" w:hAnsi="Arial" w:cs="Arial"/>
          <w:szCs w:val="20"/>
        </w:rPr>
        <w:t xml:space="preserve">IČO: </w:t>
      </w:r>
      <w:r w:rsidRPr="00AD6E85">
        <w:rPr>
          <w:rFonts w:ascii="Arial" w:hAnsi="Arial" w:cs="Arial"/>
          <w:szCs w:val="20"/>
        </w:rPr>
        <w:tab/>
        <w:t>70890021</w:t>
      </w:r>
    </w:p>
    <w:p w:rsidR="000C7D4C" w:rsidRPr="00AD6E85" w:rsidRDefault="000C7D4C" w:rsidP="000C7D4C">
      <w:pPr>
        <w:pStyle w:val="Bezmezer"/>
        <w:tabs>
          <w:tab w:val="left" w:pos="2700"/>
        </w:tabs>
        <w:jc w:val="both"/>
        <w:rPr>
          <w:rFonts w:ascii="Arial" w:hAnsi="Arial" w:cs="Arial"/>
          <w:szCs w:val="20"/>
        </w:rPr>
      </w:pPr>
      <w:r w:rsidRPr="00AD6E85">
        <w:rPr>
          <w:rFonts w:ascii="Arial" w:hAnsi="Arial" w:cs="Arial"/>
          <w:szCs w:val="20"/>
        </w:rPr>
        <w:t>DIČ:</w:t>
      </w:r>
      <w:r w:rsidRPr="00AD6E85">
        <w:rPr>
          <w:rFonts w:ascii="Arial" w:hAnsi="Arial" w:cs="Arial"/>
          <w:szCs w:val="20"/>
        </w:rPr>
        <w:tab/>
        <w:t>CZ70890021</w:t>
      </w:r>
    </w:p>
    <w:p w:rsidR="000C7D4C" w:rsidRPr="00AD6E85" w:rsidRDefault="000C7D4C" w:rsidP="000C7D4C">
      <w:pPr>
        <w:pStyle w:val="Bezmezer"/>
        <w:tabs>
          <w:tab w:val="left" w:pos="2694"/>
        </w:tabs>
        <w:jc w:val="both"/>
        <w:rPr>
          <w:rFonts w:ascii="Arial" w:hAnsi="Arial" w:cs="Arial"/>
          <w:szCs w:val="20"/>
        </w:rPr>
      </w:pPr>
      <w:r w:rsidRPr="00AD6E85">
        <w:rPr>
          <w:rFonts w:ascii="Arial" w:hAnsi="Arial" w:cs="Arial"/>
          <w:szCs w:val="20"/>
        </w:rPr>
        <w:t xml:space="preserve">Zápis v obchodním rejstříku: </w:t>
      </w:r>
      <w:r w:rsidRPr="00AD6E85">
        <w:rPr>
          <w:rFonts w:ascii="Arial" w:hAnsi="Arial" w:cs="Arial"/>
          <w:szCs w:val="20"/>
        </w:rPr>
        <w:tab/>
        <w:t>Krajský soud v Ostravě, oddíl A XIV, vložka č. 584</w:t>
      </w:r>
    </w:p>
    <w:p w:rsidR="000C7D4C" w:rsidRPr="00AD6E85" w:rsidRDefault="000C7D4C" w:rsidP="000C7D4C">
      <w:pPr>
        <w:pStyle w:val="Bezmezer"/>
        <w:spacing w:before="120"/>
        <w:jc w:val="both"/>
        <w:rPr>
          <w:rFonts w:ascii="Arial" w:hAnsi="Arial" w:cs="Arial"/>
          <w:szCs w:val="20"/>
        </w:rPr>
      </w:pPr>
      <w:r w:rsidRPr="00AD6E85">
        <w:rPr>
          <w:rFonts w:ascii="Arial" w:hAnsi="Arial" w:cs="Arial"/>
          <w:szCs w:val="20"/>
        </w:rPr>
        <w:t>(dále jen jako „</w:t>
      </w:r>
      <w:r w:rsidRPr="00AD6E85">
        <w:rPr>
          <w:rFonts w:ascii="Arial" w:hAnsi="Arial" w:cs="Arial"/>
          <w:b/>
          <w:szCs w:val="20"/>
        </w:rPr>
        <w:t>Objednatel</w:t>
      </w:r>
      <w:r w:rsidRPr="00AD6E85">
        <w:rPr>
          <w:rFonts w:ascii="Arial" w:hAnsi="Arial" w:cs="Arial"/>
          <w:szCs w:val="20"/>
        </w:rPr>
        <w:t>“)</w:t>
      </w:r>
    </w:p>
    <w:p w:rsidR="000C7D4C" w:rsidRPr="00AD6E85" w:rsidRDefault="000C7D4C" w:rsidP="000C7D4C">
      <w:pPr>
        <w:pStyle w:val="Bezmezer"/>
        <w:jc w:val="both"/>
        <w:rPr>
          <w:rFonts w:ascii="Arial" w:hAnsi="Arial" w:cs="Arial"/>
          <w:szCs w:val="20"/>
        </w:rPr>
      </w:pPr>
    </w:p>
    <w:p w:rsidR="000C7D4C" w:rsidRPr="00AD6E85" w:rsidRDefault="000C7D4C" w:rsidP="000C7D4C">
      <w:pPr>
        <w:pStyle w:val="Bezmezer"/>
        <w:numPr>
          <w:ilvl w:val="1"/>
          <w:numId w:val="2"/>
        </w:numPr>
        <w:jc w:val="both"/>
        <w:rPr>
          <w:rFonts w:ascii="Arial" w:hAnsi="Arial" w:cs="Arial"/>
          <w:b/>
          <w:szCs w:val="20"/>
        </w:rPr>
      </w:pPr>
      <w:r w:rsidRPr="00AD6E85">
        <w:rPr>
          <w:rFonts w:ascii="Arial" w:hAnsi="Arial" w:cs="Arial"/>
          <w:b/>
          <w:szCs w:val="20"/>
        </w:rPr>
        <w:t>Zhotovitel:</w:t>
      </w:r>
    </w:p>
    <w:p w:rsidR="000C7D4C" w:rsidRPr="00AD6E85" w:rsidRDefault="000C7D4C" w:rsidP="000C7D4C">
      <w:pPr>
        <w:pStyle w:val="Bezmezer"/>
        <w:tabs>
          <w:tab w:val="left" w:pos="2700"/>
        </w:tabs>
        <w:spacing w:before="120"/>
        <w:jc w:val="both"/>
        <w:rPr>
          <w:rFonts w:ascii="Arial" w:hAnsi="Arial" w:cs="Arial"/>
          <w:szCs w:val="20"/>
        </w:rPr>
      </w:pPr>
      <w:r w:rsidRPr="00AD6E85">
        <w:rPr>
          <w:rFonts w:ascii="Arial" w:hAnsi="Arial" w:cs="Arial"/>
          <w:szCs w:val="20"/>
        </w:rPr>
        <w:t>Název:</w:t>
      </w:r>
      <w:r w:rsidRPr="00AD6E85">
        <w:rPr>
          <w:rFonts w:ascii="Arial" w:hAnsi="Arial" w:cs="Arial"/>
          <w:szCs w:val="20"/>
        </w:rPr>
        <w:tab/>
      </w:r>
      <w:r w:rsidRPr="00AD6E85">
        <w:rPr>
          <w:rFonts w:ascii="Arial" w:hAnsi="Arial" w:cs="Arial"/>
          <w:b/>
          <w:szCs w:val="20"/>
        </w:rPr>
        <w:t>SMP CZ, a.s.</w:t>
      </w:r>
    </w:p>
    <w:p w:rsidR="000C7D4C" w:rsidRPr="00AD6E85" w:rsidRDefault="000C7D4C" w:rsidP="000C7D4C">
      <w:pPr>
        <w:pStyle w:val="Bezmezer"/>
        <w:tabs>
          <w:tab w:val="left" w:pos="2700"/>
        </w:tabs>
        <w:jc w:val="both"/>
        <w:rPr>
          <w:rFonts w:ascii="Arial" w:hAnsi="Arial" w:cs="Arial"/>
          <w:szCs w:val="20"/>
        </w:rPr>
      </w:pPr>
      <w:r w:rsidRPr="00AD6E85">
        <w:rPr>
          <w:rFonts w:ascii="Arial" w:hAnsi="Arial" w:cs="Arial"/>
          <w:szCs w:val="20"/>
        </w:rPr>
        <w:t>Sídlo:</w:t>
      </w:r>
      <w:r w:rsidRPr="00AD6E85">
        <w:rPr>
          <w:rFonts w:ascii="Arial" w:hAnsi="Arial" w:cs="Arial"/>
          <w:szCs w:val="20"/>
        </w:rPr>
        <w:tab/>
        <w:t xml:space="preserve">Praha 4, Vyskočilova 1566, Michle, PSČ 140 00 </w:t>
      </w:r>
    </w:p>
    <w:p w:rsidR="000C7D4C" w:rsidRPr="00AD6E85" w:rsidRDefault="000C7D4C" w:rsidP="000C7D4C">
      <w:pPr>
        <w:pStyle w:val="Bezmezer"/>
        <w:tabs>
          <w:tab w:val="left" w:pos="2700"/>
        </w:tabs>
        <w:ind w:left="2700" w:hanging="2700"/>
        <w:jc w:val="both"/>
        <w:rPr>
          <w:rFonts w:ascii="Arial" w:hAnsi="Arial" w:cs="Arial"/>
          <w:szCs w:val="20"/>
        </w:rPr>
      </w:pPr>
      <w:r w:rsidRPr="00AD6E85">
        <w:rPr>
          <w:rFonts w:ascii="Arial" w:hAnsi="Arial" w:cs="Arial"/>
          <w:szCs w:val="20"/>
        </w:rPr>
        <w:t xml:space="preserve">Zastoupený: </w:t>
      </w:r>
      <w:r w:rsidRPr="00AD6E85">
        <w:rPr>
          <w:rFonts w:ascii="Arial" w:hAnsi="Arial" w:cs="Arial"/>
          <w:szCs w:val="20"/>
        </w:rPr>
        <w:tab/>
        <w:t xml:space="preserve">Ing. Martinem </w:t>
      </w:r>
      <w:proofErr w:type="spellStart"/>
      <w:r w:rsidRPr="00AD6E85">
        <w:rPr>
          <w:rFonts w:ascii="Arial" w:hAnsi="Arial" w:cs="Arial"/>
          <w:szCs w:val="20"/>
        </w:rPr>
        <w:t>Doksanským</w:t>
      </w:r>
      <w:proofErr w:type="spellEnd"/>
      <w:r w:rsidRPr="00AD6E85">
        <w:rPr>
          <w:rFonts w:ascii="Arial" w:hAnsi="Arial" w:cs="Arial"/>
          <w:szCs w:val="20"/>
        </w:rPr>
        <w:t xml:space="preserve">, předsedou představenstva, a </w:t>
      </w:r>
    </w:p>
    <w:p w:rsidR="000C7D4C" w:rsidRPr="00AD6E85" w:rsidRDefault="000C7D4C" w:rsidP="000C7D4C">
      <w:pPr>
        <w:pStyle w:val="Bezmezer"/>
        <w:tabs>
          <w:tab w:val="left" w:pos="2700"/>
        </w:tabs>
        <w:ind w:left="2700" w:hanging="2700"/>
        <w:jc w:val="both"/>
        <w:rPr>
          <w:rFonts w:ascii="Arial" w:hAnsi="Arial" w:cs="Arial"/>
          <w:szCs w:val="20"/>
        </w:rPr>
      </w:pPr>
      <w:r w:rsidRPr="00AD6E85">
        <w:rPr>
          <w:rFonts w:ascii="Arial" w:hAnsi="Arial" w:cs="Arial"/>
          <w:szCs w:val="20"/>
        </w:rPr>
        <w:tab/>
      </w:r>
      <w:r>
        <w:rPr>
          <w:rFonts w:ascii="Arial" w:hAnsi="Arial" w:cs="Arial"/>
          <w:szCs w:val="20"/>
        </w:rPr>
        <w:t>Ing.</w:t>
      </w:r>
      <w:r w:rsidR="00FF7870">
        <w:rPr>
          <w:rFonts w:ascii="Arial" w:hAnsi="Arial" w:cs="Arial"/>
          <w:szCs w:val="20"/>
        </w:rPr>
        <w:t xml:space="preserve"> </w:t>
      </w:r>
      <w:r>
        <w:rPr>
          <w:rFonts w:ascii="Arial" w:hAnsi="Arial" w:cs="Arial"/>
          <w:szCs w:val="20"/>
        </w:rPr>
        <w:t xml:space="preserve">Janem </w:t>
      </w:r>
      <w:proofErr w:type="spellStart"/>
      <w:r>
        <w:rPr>
          <w:rFonts w:ascii="Arial" w:hAnsi="Arial" w:cs="Arial"/>
          <w:szCs w:val="20"/>
        </w:rPr>
        <w:t>Freudlem</w:t>
      </w:r>
      <w:proofErr w:type="spellEnd"/>
      <w:r w:rsidRPr="00AD6E85">
        <w:rPr>
          <w:rFonts w:ascii="Arial" w:hAnsi="Arial" w:cs="Arial"/>
          <w:szCs w:val="20"/>
        </w:rPr>
        <w:t>, členem představenstva</w:t>
      </w:r>
    </w:p>
    <w:p w:rsidR="000C7D4C" w:rsidRPr="00AD6E85" w:rsidRDefault="000C7D4C" w:rsidP="000C7D4C">
      <w:pPr>
        <w:pStyle w:val="Bezmezer"/>
        <w:tabs>
          <w:tab w:val="left" w:pos="2700"/>
        </w:tabs>
        <w:jc w:val="both"/>
        <w:rPr>
          <w:rFonts w:ascii="Arial" w:hAnsi="Arial" w:cs="Arial"/>
          <w:szCs w:val="20"/>
          <w:highlight w:val="yellow"/>
        </w:rPr>
      </w:pPr>
      <w:r w:rsidRPr="00AD6E85">
        <w:rPr>
          <w:rFonts w:ascii="Arial" w:hAnsi="Arial" w:cs="Arial"/>
          <w:szCs w:val="20"/>
        </w:rPr>
        <w:t>IČO:</w:t>
      </w:r>
      <w:r w:rsidRPr="00AD6E85">
        <w:rPr>
          <w:rFonts w:ascii="Arial" w:hAnsi="Arial" w:cs="Arial"/>
          <w:szCs w:val="20"/>
        </w:rPr>
        <w:tab/>
        <w:t>27195147</w:t>
      </w:r>
    </w:p>
    <w:p w:rsidR="000C7D4C" w:rsidRPr="00AD6E85" w:rsidRDefault="000C7D4C" w:rsidP="000C7D4C">
      <w:pPr>
        <w:pStyle w:val="Bezmezer"/>
        <w:tabs>
          <w:tab w:val="left" w:pos="2700"/>
        </w:tabs>
        <w:jc w:val="both"/>
        <w:rPr>
          <w:rFonts w:ascii="Arial" w:hAnsi="Arial" w:cs="Arial"/>
          <w:szCs w:val="20"/>
          <w:highlight w:val="yellow"/>
        </w:rPr>
      </w:pPr>
      <w:r w:rsidRPr="00AD6E85">
        <w:rPr>
          <w:rFonts w:ascii="Arial" w:hAnsi="Arial" w:cs="Arial"/>
          <w:szCs w:val="20"/>
        </w:rPr>
        <w:t>DIČ:</w:t>
      </w:r>
      <w:r w:rsidRPr="00AD6E85">
        <w:rPr>
          <w:rFonts w:ascii="Arial" w:hAnsi="Arial" w:cs="Arial"/>
          <w:szCs w:val="20"/>
        </w:rPr>
        <w:tab/>
        <w:t>CZ27195147</w:t>
      </w:r>
    </w:p>
    <w:p w:rsidR="000C7D4C" w:rsidRPr="00AD6E85" w:rsidRDefault="000C7D4C" w:rsidP="000C7D4C">
      <w:pPr>
        <w:pStyle w:val="Bezmezer"/>
        <w:tabs>
          <w:tab w:val="left" w:pos="2694"/>
        </w:tabs>
        <w:jc w:val="both"/>
        <w:rPr>
          <w:rFonts w:ascii="Arial" w:hAnsi="Arial" w:cs="Arial"/>
          <w:szCs w:val="20"/>
        </w:rPr>
      </w:pPr>
      <w:r w:rsidRPr="00AD6E85">
        <w:rPr>
          <w:rFonts w:ascii="Arial" w:hAnsi="Arial" w:cs="Arial"/>
          <w:szCs w:val="20"/>
        </w:rPr>
        <w:t xml:space="preserve">Zápis v obchodním rejstříku: </w:t>
      </w:r>
      <w:r w:rsidRPr="00AD6E85">
        <w:rPr>
          <w:rFonts w:ascii="Arial" w:hAnsi="Arial" w:cs="Arial"/>
          <w:szCs w:val="20"/>
        </w:rPr>
        <w:tab/>
        <w:t>Městský soud v Praze, oddíl B, vložka 9654</w:t>
      </w:r>
    </w:p>
    <w:p w:rsidR="000C7D4C" w:rsidRPr="00AD6E85" w:rsidRDefault="000C7D4C" w:rsidP="000C7D4C">
      <w:pPr>
        <w:pStyle w:val="Bezmezer"/>
        <w:spacing w:before="120"/>
        <w:jc w:val="both"/>
        <w:rPr>
          <w:rFonts w:ascii="Arial" w:hAnsi="Arial" w:cs="Arial"/>
          <w:szCs w:val="20"/>
        </w:rPr>
      </w:pPr>
      <w:r w:rsidRPr="00AD6E85">
        <w:rPr>
          <w:rFonts w:ascii="Arial" w:hAnsi="Arial" w:cs="Arial"/>
          <w:szCs w:val="20"/>
        </w:rPr>
        <w:t>(dále jen jako „</w:t>
      </w:r>
      <w:r w:rsidRPr="00AD6E85">
        <w:rPr>
          <w:rFonts w:ascii="Arial" w:hAnsi="Arial" w:cs="Arial"/>
          <w:b/>
          <w:szCs w:val="20"/>
        </w:rPr>
        <w:t>Zhotovitel</w:t>
      </w:r>
      <w:r w:rsidRPr="00AD6E85">
        <w:rPr>
          <w:rFonts w:ascii="Arial" w:hAnsi="Arial" w:cs="Arial"/>
          <w:szCs w:val="20"/>
        </w:rPr>
        <w:t>“)</w:t>
      </w:r>
    </w:p>
    <w:p w:rsidR="000C7D4C" w:rsidRPr="00AD6E85" w:rsidRDefault="000C7D4C" w:rsidP="000C7D4C">
      <w:pPr>
        <w:pStyle w:val="Bezmezer"/>
        <w:spacing w:before="120"/>
        <w:jc w:val="both"/>
        <w:rPr>
          <w:rFonts w:ascii="Arial" w:hAnsi="Arial" w:cs="Arial"/>
          <w:szCs w:val="20"/>
        </w:rPr>
      </w:pPr>
      <w:r w:rsidRPr="00AD6E85">
        <w:rPr>
          <w:rFonts w:ascii="Arial" w:hAnsi="Arial" w:cs="Arial"/>
          <w:szCs w:val="20"/>
        </w:rPr>
        <w:t>(Objednatel a Zhotovitel společně dále také jen „</w:t>
      </w:r>
      <w:r w:rsidRPr="00AD6E85">
        <w:rPr>
          <w:rFonts w:ascii="Arial" w:hAnsi="Arial" w:cs="Arial"/>
          <w:b/>
          <w:szCs w:val="20"/>
        </w:rPr>
        <w:t>Smluvní strany</w:t>
      </w:r>
      <w:r w:rsidRPr="00AD6E85">
        <w:rPr>
          <w:rFonts w:ascii="Arial" w:hAnsi="Arial" w:cs="Arial"/>
          <w:szCs w:val="20"/>
        </w:rPr>
        <w:t>“)</w:t>
      </w:r>
    </w:p>
    <w:p w:rsidR="000C7D4C" w:rsidRPr="00492335" w:rsidRDefault="000C7D4C" w:rsidP="000C7D4C">
      <w:pPr>
        <w:pStyle w:val="Bezmezer"/>
        <w:spacing w:before="120"/>
        <w:jc w:val="both"/>
        <w:rPr>
          <w:rFonts w:ascii="Arial" w:hAnsi="Arial" w:cs="Arial"/>
          <w:sz w:val="20"/>
          <w:szCs w:val="20"/>
        </w:rPr>
      </w:pPr>
    </w:p>
    <w:p w:rsidR="000C7D4C" w:rsidRPr="00492335" w:rsidRDefault="000C7D4C" w:rsidP="000C7D4C">
      <w:pPr>
        <w:pStyle w:val="Bezmezer"/>
        <w:numPr>
          <w:ilvl w:val="0"/>
          <w:numId w:val="1"/>
        </w:numPr>
        <w:tabs>
          <w:tab w:val="clear" w:pos="357"/>
        </w:tabs>
        <w:spacing w:before="480"/>
        <w:ind w:left="-357" w:firstLine="79"/>
        <w:jc w:val="center"/>
        <w:rPr>
          <w:rFonts w:ascii="Arial" w:hAnsi="Arial" w:cs="Arial"/>
          <w:b/>
          <w:sz w:val="24"/>
          <w:szCs w:val="24"/>
        </w:rPr>
      </w:pPr>
      <w:r w:rsidRPr="00492335">
        <w:rPr>
          <w:rFonts w:ascii="Arial" w:hAnsi="Arial" w:cs="Arial"/>
          <w:b/>
          <w:sz w:val="24"/>
          <w:szCs w:val="24"/>
        </w:rPr>
        <w:t>Úvodní ustanovení</w:t>
      </w:r>
    </w:p>
    <w:p w:rsidR="000C7D4C" w:rsidRPr="00AD6E85" w:rsidRDefault="000C7D4C" w:rsidP="000C7D4C">
      <w:pPr>
        <w:pStyle w:val="Bezmezer"/>
        <w:ind w:left="360"/>
        <w:jc w:val="both"/>
        <w:rPr>
          <w:rFonts w:ascii="Arial" w:hAnsi="Arial" w:cs="Arial"/>
          <w:sz w:val="20"/>
          <w:szCs w:val="18"/>
        </w:rPr>
      </w:pPr>
    </w:p>
    <w:p w:rsidR="000C7D4C" w:rsidRDefault="000C7D4C" w:rsidP="000C7D4C">
      <w:pPr>
        <w:pStyle w:val="Bezmezer"/>
        <w:numPr>
          <w:ilvl w:val="1"/>
          <w:numId w:val="3"/>
        </w:numPr>
        <w:jc w:val="both"/>
        <w:rPr>
          <w:rFonts w:ascii="Arial" w:hAnsi="Arial" w:cs="Arial"/>
          <w:szCs w:val="20"/>
        </w:rPr>
      </w:pPr>
      <w:r w:rsidRPr="00AD6E85">
        <w:rPr>
          <w:rFonts w:ascii="Arial" w:hAnsi="Arial" w:cs="Arial"/>
          <w:szCs w:val="20"/>
        </w:rPr>
        <w:t xml:space="preserve">Smluvní strany uzavřely dne 10. 7. 2015 smlouvu o dílo, </w:t>
      </w:r>
      <w:proofErr w:type="spellStart"/>
      <w:r w:rsidRPr="00AD6E85">
        <w:rPr>
          <w:rFonts w:ascii="Arial" w:hAnsi="Arial" w:cs="Arial"/>
          <w:szCs w:val="20"/>
        </w:rPr>
        <w:t>ev</w:t>
      </w:r>
      <w:proofErr w:type="spellEnd"/>
      <w:r w:rsidRPr="00AD6E85">
        <w:rPr>
          <w:rFonts w:ascii="Arial" w:hAnsi="Arial" w:cs="Arial"/>
          <w:szCs w:val="20"/>
        </w:rPr>
        <w:t xml:space="preserve">. č. Objednatele: B 0024/15, </w:t>
      </w:r>
      <w:proofErr w:type="spellStart"/>
      <w:r w:rsidRPr="00AD6E85">
        <w:rPr>
          <w:rFonts w:ascii="Arial" w:hAnsi="Arial" w:cs="Arial"/>
          <w:szCs w:val="20"/>
        </w:rPr>
        <w:t>ev</w:t>
      </w:r>
      <w:proofErr w:type="spellEnd"/>
      <w:r w:rsidRPr="00AD6E85">
        <w:rPr>
          <w:rFonts w:ascii="Arial" w:hAnsi="Arial" w:cs="Arial"/>
          <w:szCs w:val="20"/>
        </w:rPr>
        <w:t>. č. Zhotovitele: ZHS150038 (dále jen „</w:t>
      </w:r>
      <w:r w:rsidRPr="00AD6E85">
        <w:rPr>
          <w:rFonts w:ascii="Arial" w:hAnsi="Arial" w:cs="Arial"/>
          <w:b/>
          <w:szCs w:val="20"/>
        </w:rPr>
        <w:t>Smlouva o dílo</w:t>
      </w:r>
      <w:r w:rsidRPr="00AD6E85">
        <w:rPr>
          <w:rFonts w:ascii="Arial" w:hAnsi="Arial" w:cs="Arial"/>
          <w:szCs w:val="20"/>
        </w:rPr>
        <w:t>“), na jejímž základě se Zhotovitel zavázal na svůj náklad a na své nebezpečí zhotovit pro Objednatele stavbu „</w:t>
      </w:r>
      <w:r w:rsidRPr="00AD6E85">
        <w:rPr>
          <w:rFonts w:ascii="Arial" w:hAnsi="Arial" w:cs="Arial"/>
          <w:bCs/>
          <w:i/>
          <w:szCs w:val="20"/>
        </w:rPr>
        <w:t xml:space="preserve">VD </w:t>
      </w:r>
      <w:proofErr w:type="spellStart"/>
      <w:r w:rsidRPr="00AD6E85">
        <w:rPr>
          <w:rFonts w:ascii="Arial" w:hAnsi="Arial" w:cs="Arial"/>
          <w:bCs/>
          <w:i/>
          <w:szCs w:val="20"/>
        </w:rPr>
        <w:t>Kružberk</w:t>
      </w:r>
      <w:proofErr w:type="spellEnd"/>
      <w:r w:rsidRPr="00AD6E85">
        <w:rPr>
          <w:rFonts w:ascii="Arial" w:hAnsi="Arial" w:cs="Arial"/>
          <w:bCs/>
          <w:i/>
          <w:szCs w:val="20"/>
        </w:rPr>
        <w:t>, rekonstrukce koruny a oprava návodního líce</w:t>
      </w:r>
      <w:r w:rsidRPr="00AD6E85">
        <w:rPr>
          <w:rFonts w:ascii="Arial" w:hAnsi="Arial" w:cs="Arial"/>
          <w:szCs w:val="20"/>
        </w:rPr>
        <w:t>“ dle projektové dokumentace, soupisu prací s výkazem výměr a zadávacích podmínek stejnojmenné veřejné zakázky.</w:t>
      </w:r>
    </w:p>
    <w:p w:rsidR="000C7D4C" w:rsidRDefault="000C7D4C" w:rsidP="000C7D4C">
      <w:pPr>
        <w:pStyle w:val="Bezmezer"/>
        <w:ind w:left="360"/>
        <w:jc w:val="both"/>
        <w:rPr>
          <w:rFonts w:ascii="Arial" w:hAnsi="Arial" w:cs="Arial"/>
          <w:szCs w:val="20"/>
        </w:rPr>
      </w:pPr>
    </w:p>
    <w:p w:rsidR="000C7D4C" w:rsidRPr="00AD6E85" w:rsidRDefault="000C7D4C" w:rsidP="000C7D4C">
      <w:pPr>
        <w:pStyle w:val="Bezmezer"/>
        <w:ind w:left="360"/>
        <w:jc w:val="both"/>
        <w:rPr>
          <w:rFonts w:ascii="Arial" w:hAnsi="Arial" w:cs="Arial"/>
          <w:szCs w:val="20"/>
        </w:rPr>
      </w:pPr>
      <w:bookmarkStart w:id="1" w:name="_Ref491340479"/>
      <w:r>
        <w:rPr>
          <w:rFonts w:ascii="Arial" w:hAnsi="Arial" w:cs="Arial"/>
          <w:szCs w:val="20"/>
        </w:rPr>
        <w:t xml:space="preserve">Objednatel do okamžiku </w:t>
      </w:r>
      <w:r w:rsidRPr="009564C1">
        <w:rPr>
          <w:rFonts w:ascii="Arial" w:hAnsi="Arial" w:cs="Arial"/>
          <w:szCs w:val="20"/>
        </w:rPr>
        <w:t>uzavření tohoto Dodatku č. 1 uplatnil vůči Zhotoviteli právo pozastavit platby ve smyslu odstavce 7.7. Smlouvy o dílo, a to ve vztahu k části ceny za zhotovení díla na základě následujících Zhotovitelem vystavených faktur – fa č.</w:t>
      </w:r>
      <w:r>
        <w:rPr>
          <w:rFonts w:ascii="Arial" w:hAnsi="Arial" w:cs="Arial"/>
          <w:szCs w:val="20"/>
        </w:rPr>
        <w:t> </w:t>
      </w:r>
      <w:r w:rsidRPr="009564C1">
        <w:rPr>
          <w:rFonts w:ascii="Arial" w:hAnsi="Arial" w:cs="Arial"/>
          <w:szCs w:val="20"/>
        </w:rPr>
        <w:t xml:space="preserve">1401600320 (DÚZP 5. 12. 2016, splatná dne 27. 1. 2017), fa č. 1401600321 (DÚZP 5. 12. 2016, splatná dne 27. 1. 2017), fa č. 1401600322 (DÚZP 31. 12. 2016, splatná dne </w:t>
      </w:r>
      <w:proofErr w:type="gramStart"/>
      <w:r w:rsidRPr="009564C1">
        <w:rPr>
          <w:rFonts w:ascii="Arial" w:hAnsi="Arial" w:cs="Arial"/>
          <w:szCs w:val="20"/>
        </w:rPr>
        <w:t>03.02.2017</w:t>
      </w:r>
      <w:proofErr w:type="gramEnd"/>
      <w:r w:rsidRPr="009564C1">
        <w:rPr>
          <w:rFonts w:ascii="Arial" w:hAnsi="Arial" w:cs="Arial"/>
          <w:szCs w:val="20"/>
        </w:rPr>
        <w:t>), fa č. 1401600323 (DÚZP 31. 12. 2016, splatná dne 3. 2. 2017), fa č.</w:t>
      </w:r>
      <w:r>
        <w:rPr>
          <w:rFonts w:ascii="Arial" w:hAnsi="Arial" w:cs="Arial"/>
          <w:szCs w:val="20"/>
        </w:rPr>
        <w:t> </w:t>
      </w:r>
      <w:r w:rsidRPr="009564C1">
        <w:rPr>
          <w:rFonts w:ascii="Arial" w:hAnsi="Arial" w:cs="Arial"/>
          <w:szCs w:val="20"/>
        </w:rPr>
        <w:t xml:space="preserve">1401700032 (DÚZP 28. 2. 2017, splatná dne 11. 4. 2017), fa č. 1401700033 (DÚZP 28. 2. 2017, splatná dne 11. 4. 2017), , fa č. 1401700067 (DÚZP 30. 4. 2017, splatná dne </w:t>
      </w:r>
      <w:r w:rsidRPr="009564C1">
        <w:rPr>
          <w:rFonts w:ascii="Arial" w:hAnsi="Arial" w:cs="Arial"/>
          <w:szCs w:val="20"/>
        </w:rPr>
        <w:lastRenderedPageBreak/>
        <w:t>12. 6. 2017), fa č. 1401700068 (DÚZP 30. 4. 2017, splatná dne 12. 6. 017), fa č.</w:t>
      </w:r>
      <w:r>
        <w:rPr>
          <w:rFonts w:ascii="Arial" w:hAnsi="Arial" w:cs="Arial"/>
          <w:szCs w:val="20"/>
        </w:rPr>
        <w:t> </w:t>
      </w:r>
      <w:r w:rsidRPr="009564C1">
        <w:rPr>
          <w:rFonts w:ascii="Arial" w:hAnsi="Arial" w:cs="Arial"/>
          <w:szCs w:val="20"/>
        </w:rPr>
        <w:t>1401700100 (DÚZP 31. 5. 2017, splatná dne 14. 7. 2017), fa č. 1401700144 (DÚZP 20. 7. 2017, splatná dne 8. 9. 2017) a  – v souhrnné výši 16.</w:t>
      </w:r>
      <w:r>
        <w:rPr>
          <w:rFonts w:ascii="Arial" w:hAnsi="Arial" w:cs="Arial"/>
          <w:szCs w:val="20"/>
        </w:rPr>
        <w:t>238.520,21</w:t>
      </w:r>
      <w:r w:rsidRPr="009564C1">
        <w:rPr>
          <w:rFonts w:ascii="Arial" w:hAnsi="Arial" w:cs="Arial"/>
          <w:szCs w:val="20"/>
        </w:rPr>
        <w:t xml:space="preserve"> Kč bez DPH (dále jen „</w:t>
      </w:r>
      <w:r w:rsidRPr="009564C1">
        <w:rPr>
          <w:rFonts w:ascii="Arial" w:hAnsi="Arial" w:cs="Arial"/>
          <w:b/>
          <w:szCs w:val="20"/>
        </w:rPr>
        <w:t>Pozastavené platby</w:t>
      </w:r>
      <w:r w:rsidRPr="009564C1">
        <w:rPr>
          <w:rFonts w:ascii="Arial" w:hAnsi="Arial" w:cs="Arial"/>
          <w:szCs w:val="20"/>
        </w:rPr>
        <w:t>“</w:t>
      </w:r>
      <w:r>
        <w:rPr>
          <w:rFonts w:ascii="Arial" w:hAnsi="Arial" w:cs="Arial"/>
          <w:szCs w:val="20"/>
        </w:rPr>
        <w:t>)</w:t>
      </w:r>
      <w:r w:rsidRPr="009564C1" w:rsidDel="003844D6">
        <w:rPr>
          <w:rFonts w:ascii="Arial" w:hAnsi="Arial" w:cs="Arial"/>
          <w:szCs w:val="20"/>
        </w:rPr>
        <w:t xml:space="preserve"> </w:t>
      </w:r>
      <w:bookmarkEnd w:id="1"/>
    </w:p>
    <w:p w:rsidR="000C7D4C" w:rsidRPr="003844D6" w:rsidRDefault="000C7D4C" w:rsidP="000C7D4C">
      <w:pPr>
        <w:pStyle w:val="Bezmezer"/>
        <w:numPr>
          <w:ilvl w:val="1"/>
          <w:numId w:val="3"/>
        </w:numPr>
        <w:jc w:val="both"/>
        <w:rPr>
          <w:rFonts w:ascii="Arial" w:hAnsi="Arial" w:cs="Arial"/>
          <w:szCs w:val="20"/>
        </w:rPr>
      </w:pPr>
      <w:r w:rsidRPr="003844D6">
        <w:rPr>
          <w:rFonts w:ascii="Arial" w:hAnsi="Arial" w:cs="Arial"/>
          <w:szCs w:val="20"/>
        </w:rPr>
        <w:t>Vzhledem k tomu, že v průběhu provádění stavebních prací dle uzavřené Smlouvy o dílo nastaly objektivní okolnosti, které vedly k nutnosti úpravy rozsahu stavebních prací a doby jejich dokončení, Smluvní strany tímto, mj. i dle závěrů Znaleckého posudku č. 280-17 ze dne 13. 6. 2017 zpracovan</w:t>
      </w:r>
      <w:r>
        <w:rPr>
          <w:rFonts w:ascii="Arial" w:hAnsi="Arial" w:cs="Arial"/>
          <w:szCs w:val="20"/>
        </w:rPr>
        <w:t>ého</w:t>
      </w:r>
      <w:r w:rsidRPr="003844D6">
        <w:rPr>
          <w:rFonts w:ascii="Arial" w:hAnsi="Arial" w:cs="Arial"/>
          <w:szCs w:val="20"/>
        </w:rPr>
        <w:t xml:space="preserve"> znaleckým ústavem České vysoké </w:t>
      </w:r>
      <w:proofErr w:type="spellStart"/>
      <w:r w:rsidRPr="003844D6">
        <w:rPr>
          <w:rFonts w:ascii="Arial" w:hAnsi="Arial" w:cs="Arial"/>
          <w:szCs w:val="20"/>
        </w:rPr>
        <w:t>účení</w:t>
      </w:r>
      <w:proofErr w:type="spellEnd"/>
      <w:r w:rsidRPr="003844D6">
        <w:rPr>
          <w:rFonts w:ascii="Arial" w:hAnsi="Arial" w:cs="Arial"/>
          <w:szCs w:val="20"/>
        </w:rPr>
        <w:t xml:space="preserve"> technické v Praze, Fakulta stavební (dále jen „</w:t>
      </w:r>
      <w:r w:rsidRPr="003844D6">
        <w:rPr>
          <w:rFonts w:ascii="Arial" w:hAnsi="Arial" w:cs="Arial"/>
          <w:b/>
          <w:szCs w:val="20"/>
        </w:rPr>
        <w:t>Znalecký posudek</w:t>
      </w:r>
      <w:r w:rsidRPr="003844D6">
        <w:rPr>
          <w:rFonts w:ascii="Arial" w:hAnsi="Arial" w:cs="Arial"/>
          <w:szCs w:val="20"/>
        </w:rPr>
        <w:t>“), mění Smlouvu o dílo způsobem níže uvedeným.</w:t>
      </w:r>
    </w:p>
    <w:p w:rsidR="000C7D4C" w:rsidRPr="006F3A91" w:rsidRDefault="000C7D4C" w:rsidP="000C7D4C">
      <w:pPr>
        <w:pStyle w:val="Bezmezer"/>
        <w:keepNext/>
        <w:numPr>
          <w:ilvl w:val="0"/>
          <w:numId w:val="1"/>
        </w:numPr>
        <w:tabs>
          <w:tab w:val="clear" w:pos="357"/>
        </w:tabs>
        <w:spacing w:before="480"/>
        <w:ind w:left="-357" w:firstLine="79"/>
        <w:jc w:val="center"/>
        <w:rPr>
          <w:rFonts w:ascii="Arial" w:hAnsi="Arial" w:cs="Arial"/>
          <w:b/>
          <w:sz w:val="24"/>
          <w:szCs w:val="20"/>
        </w:rPr>
      </w:pPr>
      <w:r w:rsidRPr="006F3A91">
        <w:rPr>
          <w:rFonts w:ascii="Arial" w:hAnsi="Arial" w:cs="Arial"/>
          <w:b/>
          <w:sz w:val="24"/>
          <w:szCs w:val="20"/>
        </w:rPr>
        <w:t>Předmět Dodatku č. 1</w:t>
      </w:r>
    </w:p>
    <w:p w:rsidR="000C7D4C" w:rsidRPr="006F3A91" w:rsidRDefault="000C7D4C" w:rsidP="000C7D4C">
      <w:pPr>
        <w:pStyle w:val="Bezmezer"/>
        <w:jc w:val="both"/>
        <w:rPr>
          <w:rFonts w:ascii="Arial" w:hAnsi="Arial" w:cs="Arial"/>
          <w:sz w:val="18"/>
          <w:szCs w:val="20"/>
        </w:rPr>
      </w:pPr>
    </w:p>
    <w:p w:rsidR="000C7D4C" w:rsidRPr="003844D6" w:rsidRDefault="000C7D4C" w:rsidP="000C7D4C">
      <w:pPr>
        <w:pStyle w:val="Bezmezer"/>
        <w:numPr>
          <w:ilvl w:val="1"/>
          <w:numId w:val="4"/>
        </w:numPr>
        <w:jc w:val="both"/>
        <w:rPr>
          <w:rFonts w:ascii="Arial" w:hAnsi="Arial" w:cs="Arial"/>
          <w:szCs w:val="20"/>
        </w:rPr>
      </w:pPr>
      <w:r w:rsidRPr="003844D6">
        <w:rPr>
          <w:rFonts w:ascii="Arial" w:hAnsi="Arial" w:cs="Arial"/>
          <w:szCs w:val="20"/>
        </w:rPr>
        <w:t>Smluvní strany tímto mění termín dokončení a předání díla Objednateli, tj. termín pro provedení díla dle odstavce 5.4. Smlouvy o dílo, z původního termínu „</w:t>
      </w:r>
      <w:r w:rsidRPr="003844D6">
        <w:rPr>
          <w:rFonts w:ascii="Arial" w:hAnsi="Arial" w:cs="Arial"/>
          <w:i/>
          <w:szCs w:val="20"/>
        </w:rPr>
        <w:t>do 2. 12. 2016</w:t>
      </w:r>
      <w:r w:rsidRPr="003844D6">
        <w:rPr>
          <w:rFonts w:ascii="Arial" w:hAnsi="Arial" w:cs="Arial"/>
          <w:szCs w:val="20"/>
        </w:rPr>
        <w:t>“ na termín „</w:t>
      </w:r>
      <w:r w:rsidRPr="003844D6">
        <w:rPr>
          <w:rFonts w:ascii="Arial" w:hAnsi="Arial" w:cs="Arial"/>
          <w:b/>
          <w:i/>
          <w:szCs w:val="20"/>
        </w:rPr>
        <w:t>do 24. 5. 2017</w:t>
      </w:r>
      <w:r w:rsidRPr="003844D6">
        <w:rPr>
          <w:rFonts w:ascii="Arial" w:hAnsi="Arial" w:cs="Arial"/>
          <w:szCs w:val="20"/>
        </w:rPr>
        <w:t xml:space="preserve">“ dle závěrů vyplývajících ze Znaleckého posudku. </w:t>
      </w:r>
    </w:p>
    <w:p w:rsidR="000C7D4C" w:rsidRPr="003844D6" w:rsidRDefault="000C7D4C" w:rsidP="000C7D4C">
      <w:pPr>
        <w:pStyle w:val="Bezmezer"/>
        <w:ind w:left="360"/>
        <w:jc w:val="both"/>
        <w:rPr>
          <w:rFonts w:ascii="Arial" w:hAnsi="Arial" w:cs="Arial"/>
          <w:szCs w:val="20"/>
        </w:rPr>
      </w:pPr>
    </w:p>
    <w:p w:rsidR="000C7D4C" w:rsidRPr="003844D6" w:rsidRDefault="000C7D4C" w:rsidP="000C7D4C">
      <w:pPr>
        <w:pStyle w:val="Bezmezer"/>
        <w:numPr>
          <w:ilvl w:val="1"/>
          <w:numId w:val="4"/>
        </w:numPr>
        <w:jc w:val="both"/>
        <w:rPr>
          <w:rFonts w:ascii="Arial" w:hAnsi="Arial" w:cs="Arial"/>
          <w:szCs w:val="20"/>
        </w:rPr>
      </w:pPr>
      <w:r w:rsidRPr="003844D6">
        <w:rPr>
          <w:rFonts w:ascii="Arial" w:hAnsi="Arial" w:cs="Arial"/>
          <w:szCs w:val="20"/>
        </w:rPr>
        <w:t xml:space="preserve">Smluvní strany potvrzují, že dílo bylo dokončeno dne </w:t>
      </w:r>
      <w:r w:rsidRPr="003844D6">
        <w:rPr>
          <w:rFonts w:ascii="Arial" w:hAnsi="Arial" w:cs="Arial"/>
          <w:b/>
          <w:szCs w:val="20"/>
        </w:rPr>
        <w:t>16. 6. 2017</w:t>
      </w:r>
      <w:r w:rsidRPr="003844D6">
        <w:rPr>
          <w:rFonts w:ascii="Arial" w:hAnsi="Arial" w:cs="Arial"/>
          <w:szCs w:val="20"/>
        </w:rPr>
        <w:t xml:space="preserve">. </w:t>
      </w:r>
    </w:p>
    <w:p w:rsidR="000C7D4C" w:rsidRPr="003844D6" w:rsidRDefault="000C7D4C" w:rsidP="000C7D4C">
      <w:pPr>
        <w:pStyle w:val="Odstavecseseznamem"/>
        <w:spacing w:after="0"/>
        <w:rPr>
          <w:rFonts w:ascii="Arial" w:hAnsi="Arial" w:cs="Arial"/>
          <w:szCs w:val="20"/>
        </w:rPr>
      </w:pPr>
    </w:p>
    <w:p w:rsidR="000C7D4C" w:rsidRPr="00AD6E85" w:rsidRDefault="000C7D4C" w:rsidP="000C7D4C">
      <w:pPr>
        <w:pStyle w:val="Bezmezer"/>
        <w:numPr>
          <w:ilvl w:val="1"/>
          <w:numId w:val="4"/>
        </w:numPr>
        <w:jc w:val="both"/>
        <w:rPr>
          <w:rFonts w:ascii="Arial" w:hAnsi="Arial" w:cs="Arial"/>
          <w:szCs w:val="20"/>
        </w:rPr>
      </w:pPr>
      <w:r w:rsidRPr="003844D6">
        <w:rPr>
          <w:rFonts w:ascii="Arial" w:hAnsi="Arial" w:cs="Arial"/>
          <w:szCs w:val="20"/>
        </w:rPr>
        <w:t xml:space="preserve">Smluvní strany </w:t>
      </w:r>
      <w:proofErr w:type="spellStart"/>
      <w:r w:rsidRPr="003844D6">
        <w:rPr>
          <w:rFonts w:ascii="Arial" w:hAnsi="Arial" w:cs="Arial"/>
          <w:szCs w:val="20"/>
        </w:rPr>
        <w:t>potrvzují</w:t>
      </w:r>
      <w:proofErr w:type="spellEnd"/>
      <w:r w:rsidRPr="003844D6">
        <w:rPr>
          <w:rFonts w:ascii="Arial" w:hAnsi="Arial" w:cs="Arial"/>
          <w:szCs w:val="20"/>
        </w:rPr>
        <w:t xml:space="preserve">, že vady a nedodělky díla identifikované Smluvními stranami v části C) Zápisu o ukončení přejímacího řízení ze dne </w:t>
      </w:r>
      <w:proofErr w:type="gramStart"/>
      <w:r w:rsidRPr="003844D6">
        <w:rPr>
          <w:rFonts w:ascii="Arial" w:hAnsi="Arial" w:cs="Arial"/>
          <w:szCs w:val="20"/>
        </w:rPr>
        <w:t>30.8.2017</w:t>
      </w:r>
      <w:proofErr w:type="gramEnd"/>
      <w:r w:rsidRPr="003844D6">
        <w:rPr>
          <w:rFonts w:ascii="Arial" w:hAnsi="Arial" w:cs="Arial"/>
          <w:szCs w:val="20"/>
        </w:rPr>
        <w:t xml:space="preserve"> svo</w:t>
      </w:r>
      <w:r w:rsidRPr="002341E2">
        <w:rPr>
          <w:rFonts w:ascii="Arial" w:hAnsi="Arial" w:cs="Arial"/>
          <w:b/>
          <w:szCs w:val="20"/>
        </w:rPr>
        <w:t>jí povahou nebrání</w:t>
      </w:r>
      <w:r w:rsidRPr="003844D6">
        <w:rPr>
          <w:rFonts w:ascii="Arial" w:hAnsi="Arial" w:cs="Arial"/>
          <w:szCs w:val="20"/>
        </w:rPr>
        <w:t xml:space="preserve"> a </w:t>
      </w:r>
      <w:r w:rsidRPr="00AD6E85">
        <w:rPr>
          <w:rFonts w:ascii="Arial" w:hAnsi="Arial" w:cs="Arial"/>
          <w:szCs w:val="20"/>
        </w:rPr>
        <w:t>neomezují užívání díla, přičemž</w:t>
      </w:r>
      <w:r>
        <w:rPr>
          <w:rFonts w:ascii="Arial" w:hAnsi="Arial" w:cs="Arial"/>
          <w:szCs w:val="20"/>
        </w:rPr>
        <w:t xml:space="preserve"> </w:t>
      </w:r>
      <w:r w:rsidRPr="00AD6E85">
        <w:rPr>
          <w:rFonts w:ascii="Arial" w:hAnsi="Arial" w:cs="Arial"/>
          <w:szCs w:val="20"/>
        </w:rPr>
        <w:t>tyto vady nebudou Zhotovitelem odstraňovány</w:t>
      </w:r>
      <w:r>
        <w:rPr>
          <w:rFonts w:ascii="Arial" w:hAnsi="Arial" w:cs="Arial"/>
          <w:szCs w:val="20"/>
        </w:rPr>
        <w:t xml:space="preserve"> s ohledem na poskytnutí slevy z celkové ceny díla dle následujícího odstavce</w:t>
      </w:r>
      <w:r w:rsidRPr="00AD6E85">
        <w:rPr>
          <w:rFonts w:ascii="Arial" w:hAnsi="Arial" w:cs="Arial"/>
          <w:szCs w:val="20"/>
        </w:rPr>
        <w:t>.</w:t>
      </w:r>
    </w:p>
    <w:p w:rsidR="000C7D4C" w:rsidRPr="00AD6E85" w:rsidRDefault="000C7D4C" w:rsidP="000C7D4C">
      <w:pPr>
        <w:pStyle w:val="Bezmezer"/>
        <w:ind w:left="360"/>
        <w:jc w:val="both"/>
        <w:rPr>
          <w:rFonts w:ascii="Arial" w:hAnsi="Arial" w:cs="Arial"/>
          <w:szCs w:val="20"/>
        </w:rPr>
      </w:pPr>
    </w:p>
    <w:p w:rsidR="000C7D4C" w:rsidRPr="00AD6E85" w:rsidRDefault="000C7D4C" w:rsidP="000C7D4C">
      <w:pPr>
        <w:pStyle w:val="Bezmezer"/>
        <w:numPr>
          <w:ilvl w:val="1"/>
          <w:numId w:val="4"/>
        </w:numPr>
        <w:jc w:val="both"/>
        <w:rPr>
          <w:rFonts w:ascii="Arial" w:hAnsi="Arial" w:cs="Arial"/>
          <w:szCs w:val="20"/>
        </w:rPr>
      </w:pPr>
      <w:r w:rsidRPr="00AD6E85">
        <w:rPr>
          <w:rFonts w:ascii="Arial" w:hAnsi="Arial" w:cs="Arial"/>
          <w:szCs w:val="20"/>
        </w:rPr>
        <w:t>Zhotovitel poskytuje Objednateli slevu z celkové ceny díla dle odstavce 7.1. Smlouvy</w:t>
      </w:r>
      <w:r>
        <w:rPr>
          <w:rFonts w:ascii="Arial" w:hAnsi="Arial" w:cs="Arial"/>
          <w:szCs w:val="20"/>
        </w:rPr>
        <w:t xml:space="preserve"> o </w:t>
      </w:r>
      <w:r w:rsidRPr="00AD6E85">
        <w:rPr>
          <w:rFonts w:ascii="Arial" w:hAnsi="Arial" w:cs="Arial"/>
          <w:szCs w:val="20"/>
        </w:rPr>
        <w:t xml:space="preserve">dílo v rozsahu odpovídajícím nákladům na odstranění zjištěných vad a nedodělků, které nebrání a neomezují užívání díla dle odstavce 3. tohoto článku Dodatku č. 1, a to ve výši </w:t>
      </w:r>
      <w:r w:rsidRPr="00EE7EEC">
        <w:rPr>
          <w:rFonts w:ascii="Arial" w:hAnsi="Arial" w:cs="Arial"/>
          <w:szCs w:val="20"/>
        </w:rPr>
        <w:t>1.140.000,- Kč</w:t>
      </w:r>
      <w:r w:rsidRPr="00AD6E85">
        <w:rPr>
          <w:rFonts w:ascii="Arial" w:hAnsi="Arial" w:cs="Arial"/>
          <w:szCs w:val="20"/>
        </w:rPr>
        <w:t xml:space="preserve"> bez DPH. Smluvní strany sjednávají, že sleva z ceny díla dle předchozí věty se tímto započítává na </w:t>
      </w:r>
      <w:r>
        <w:rPr>
          <w:rFonts w:ascii="Arial" w:hAnsi="Arial" w:cs="Arial"/>
          <w:szCs w:val="20"/>
        </w:rPr>
        <w:t xml:space="preserve">odpovídající </w:t>
      </w:r>
      <w:r w:rsidRPr="00AD6E85">
        <w:rPr>
          <w:rFonts w:ascii="Arial" w:hAnsi="Arial" w:cs="Arial"/>
          <w:szCs w:val="20"/>
        </w:rPr>
        <w:t xml:space="preserve">část </w:t>
      </w:r>
      <w:r>
        <w:rPr>
          <w:rFonts w:ascii="Arial" w:hAnsi="Arial" w:cs="Arial"/>
          <w:szCs w:val="20"/>
        </w:rPr>
        <w:t>Pozastavených plateb za zhotovení díla</w:t>
      </w:r>
      <w:r w:rsidRPr="00AD6E85">
        <w:rPr>
          <w:rFonts w:ascii="Arial" w:hAnsi="Arial" w:cs="Arial"/>
          <w:szCs w:val="20"/>
        </w:rPr>
        <w:t>.</w:t>
      </w:r>
    </w:p>
    <w:p w:rsidR="000C7D4C" w:rsidRPr="00AD6E85" w:rsidRDefault="000C7D4C" w:rsidP="000C7D4C">
      <w:pPr>
        <w:pStyle w:val="Odstavecseseznamem"/>
        <w:spacing w:after="0"/>
        <w:rPr>
          <w:rFonts w:ascii="Arial" w:hAnsi="Arial" w:cs="Arial"/>
          <w:szCs w:val="20"/>
        </w:rPr>
      </w:pPr>
    </w:p>
    <w:p w:rsidR="000C7D4C" w:rsidRPr="00AD6E85" w:rsidRDefault="000C7D4C" w:rsidP="000C7D4C">
      <w:pPr>
        <w:pStyle w:val="Bezmezer"/>
        <w:numPr>
          <w:ilvl w:val="1"/>
          <w:numId w:val="4"/>
        </w:numPr>
        <w:jc w:val="both"/>
        <w:rPr>
          <w:rFonts w:ascii="Arial" w:hAnsi="Arial" w:cs="Arial"/>
          <w:szCs w:val="20"/>
        </w:rPr>
      </w:pPr>
      <w:r w:rsidRPr="00AD6E85">
        <w:rPr>
          <w:rFonts w:ascii="Arial" w:hAnsi="Arial" w:cs="Arial"/>
          <w:szCs w:val="20"/>
        </w:rPr>
        <w:t>Smluvní strany potvrzují, že v průběhu provádění díla byly realizovány vícepráce v celkové hodnotě</w:t>
      </w:r>
      <w:r>
        <w:rPr>
          <w:rFonts w:ascii="Arial" w:hAnsi="Arial" w:cs="Arial"/>
          <w:szCs w:val="20"/>
        </w:rPr>
        <w:t xml:space="preserve"> 6.357.534,57 Kč bez DPH</w:t>
      </w:r>
      <w:r w:rsidRPr="00AD6E85">
        <w:rPr>
          <w:rFonts w:ascii="Arial" w:hAnsi="Arial" w:cs="Arial"/>
          <w:szCs w:val="20"/>
        </w:rPr>
        <w:t xml:space="preserve"> a </w:t>
      </w:r>
      <w:proofErr w:type="spellStart"/>
      <w:r w:rsidRPr="00AD6E85">
        <w:rPr>
          <w:rFonts w:ascii="Arial" w:hAnsi="Arial" w:cs="Arial"/>
          <w:szCs w:val="20"/>
        </w:rPr>
        <w:t>méněprác</w:t>
      </w:r>
      <w:r>
        <w:rPr>
          <w:rFonts w:ascii="Arial" w:hAnsi="Arial" w:cs="Arial"/>
          <w:szCs w:val="20"/>
        </w:rPr>
        <w:t>e</w:t>
      </w:r>
      <w:proofErr w:type="spellEnd"/>
      <w:r w:rsidRPr="00AD6E85">
        <w:rPr>
          <w:rFonts w:ascii="Arial" w:hAnsi="Arial" w:cs="Arial"/>
          <w:szCs w:val="20"/>
        </w:rPr>
        <w:t xml:space="preserve"> v celkové hodnotě </w:t>
      </w:r>
      <w:r>
        <w:rPr>
          <w:rFonts w:ascii="Arial" w:hAnsi="Arial" w:cs="Arial"/>
          <w:szCs w:val="20"/>
        </w:rPr>
        <w:t>7.009.650,34 Kč bez DPH</w:t>
      </w:r>
      <w:r w:rsidRPr="00AD6E85">
        <w:rPr>
          <w:rFonts w:ascii="Arial" w:hAnsi="Arial" w:cs="Arial"/>
          <w:szCs w:val="20"/>
        </w:rPr>
        <w:t xml:space="preserve">, a to v rozsahu vymezeném ve změnových listech </w:t>
      </w:r>
      <w:r>
        <w:rPr>
          <w:rFonts w:ascii="Arial" w:hAnsi="Arial" w:cs="Arial"/>
          <w:szCs w:val="20"/>
        </w:rPr>
        <w:t xml:space="preserve">č. 1 až 9 </w:t>
      </w:r>
      <w:r w:rsidRPr="00AD6E85">
        <w:rPr>
          <w:rFonts w:ascii="Arial" w:hAnsi="Arial" w:cs="Arial"/>
          <w:szCs w:val="20"/>
        </w:rPr>
        <w:t xml:space="preserve">ze dne </w:t>
      </w:r>
      <w:proofErr w:type="gramStart"/>
      <w:r>
        <w:rPr>
          <w:rFonts w:ascii="Arial" w:hAnsi="Arial" w:cs="Arial"/>
          <w:szCs w:val="20"/>
        </w:rPr>
        <w:t>23.2.2017</w:t>
      </w:r>
      <w:proofErr w:type="gramEnd"/>
      <w:r w:rsidRPr="00AD6E85">
        <w:rPr>
          <w:rFonts w:ascii="Arial" w:hAnsi="Arial" w:cs="Arial"/>
          <w:szCs w:val="20"/>
        </w:rPr>
        <w:t xml:space="preserve"> a </w:t>
      </w:r>
      <w:r>
        <w:rPr>
          <w:rFonts w:ascii="Arial" w:hAnsi="Arial" w:cs="Arial"/>
          <w:szCs w:val="20"/>
        </w:rPr>
        <w:t xml:space="preserve">č. 10 </w:t>
      </w:r>
      <w:r w:rsidRPr="00AD6E85">
        <w:rPr>
          <w:rFonts w:ascii="Arial" w:hAnsi="Arial" w:cs="Arial"/>
          <w:szCs w:val="20"/>
        </w:rPr>
        <w:t xml:space="preserve">ze dne </w:t>
      </w:r>
      <w:r>
        <w:rPr>
          <w:rFonts w:ascii="Arial" w:hAnsi="Arial" w:cs="Arial"/>
          <w:szCs w:val="20"/>
        </w:rPr>
        <w:t xml:space="preserve">29.8.2017 </w:t>
      </w:r>
      <w:r w:rsidRPr="00AD6E85">
        <w:rPr>
          <w:rFonts w:ascii="Arial" w:hAnsi="Arial" w:cs="Arial"/>
          <w:szCs w:val="20"/>
        </w:rPr>
        <w:t>potvrzených zástupci Smluvních stran ve věcech technických</w:t>
      </w:r>
      <w:r>
        <w:rPr>
          <w:rFonts w:ascii="Arial" w:hAnsi="Arial" w:cs="Arial"/>
          <w:szCs w:val="20"/>
        </w:rPr>
        <w:t xml:space="preserve">, jejichž obsah je Smluvním stranám znám a na které se Smluvní strany tímto odkazují </w:t>
      </w:r>
      <w:r w:rsidRPr="00AD6E85">
        <w:rPr>
          <w:rFonts w:ascii="Arial" w:hAnsi="Arial" w:cs="Arial"/>
          <w:szCs w:val="20"/>
        </w:rPr>
        <w:t>.</w:t>
      </w:r>
    </w:p>
    <w:p w:rsidR="000C7D4C" w:rsidRPr="00AD6E85" w:rsidRDefault="000C7D4C" w:rsidP="000C7D4C">
      <w:pPr>
        <w:pStyle w:val="Odstavecseseznamem"/>
        <w:spacing w:after="0"/>
        <w:rPr>
          <w:rFonts w:ascii="Arial" w:hAnsi="Arial" w:cs="Arial"/>
          <w:szCs w:val="20"/>
        </w:rPr>
      </w:pPr>
    </w:p>
    <w:p w:rsidR="000C7D4C" w:rsidRPr="00AD6E85" w:rsidRDefault="000C7D4C" w:rsidP="000C7D4C">
      <w:pPr>
        <w:pStyle w:val="Bezmezer"/>
        <w:numPr>
          <w:ilvl w:val="1"/>
          <w:numId w:val="4"/>
        </w:numPr>
        <w:jc w:val="both"/>
        <w:rPr>
          <w:rFonts w:ascii="Arial" w:hAnsi="Arial" w:cs="Arial"/>
          <w:szCs w:val="20"/>
        </w:rPr>
      </w:pPr>
      <w:r w:rsidRPr="00AD6E85">
        <w:rPr>
          <w:rFonts w:ascii="Arial" w:hAnsi="Arial" w:cs="Arial"/>
          <w:szCs w:val="20"/>
        </w:rPr>
        <w:t xml:space="preserve">S ohledem na objem víceprací a </w:t>
      </w:r>
      <w:proofErr w:type="spellStart"/>
      <w:r w:rsidRPr="00AD6E85">
        <w:rPr>
          <w:rFonts w:ascii="Arial" w:hAnsi="Arial" w:cs="Arial"/>
          <w:szCs w:val="20"/>
        </w:rPr>
        <w:t>méněprací</w:t>
      </w:r>
      <w:proofErr w:type="spellEnd"/>
      <w:r w:rsidRPr="00AD6E85">
        <w:rPr>
          <w:rFonts w:ascii="Arial" w:hAnsi="Arial" w:cs="Arial"/>
          <w:szCs w:val="20"/>
        </w:rPr>
        <w:t xml:space="preserve"> provedených v rozsahu dle změnových listů </w:t>
      </w:r>
      <w:r>
        <w:rPr>
          <w:rFonts w:ascii="Arial" w:hAnsi="Arial" w:cs="Arial"/>
          <w:szCs w:val="20"/>
        </w:rPr>
        <w:t xml:space="preserve">č. 1 až 9 </w:t>
      </w:r>
      <w:r w:rsidRPr="00AD6E85">
        <w:rPr>
          <w:rFonts w:ascii="Arial" w:hAnsi="Arial" w:cs="Arial"/>
          <w:szCs w:val="20"/>
        </w:rPr>
        <w:t xml:space="preserve">ze dne </w:t>
      </w:r>
      <w:proofErr w:type="gramStart"/>
      <w:r>
        <w:rPr>
          <w:rFonts w:ascii="Arial" w:hAnsi="Arial" w:cs="Arial"/>
          <w:szCs w:val="20"/>
        </w:rPr>
        <w:t>23.2.2017</w:t>
      </w:r>
      <w:proofErr w:type="gramEnd"/>
      <w:r>
        <w:rPr>
          <w:rFonts w:ascii="Arial" w:hAnsi="Arial" w:cs="Arial"/>
          <w:szCs w:val="20"/>
        </w:rPr>
        <w:t xml:space="preserve"> a č. 10 ze dne 29.8.2017 </w:t>
      </w:r>
      <w:r w:rsidRPr="00AD6E85">
        <w:rPr>
          <w:rFonts w:ascii="Arial" w:hAnsi="Arial" w:cs="Arial"/>
          <w:szCs w:val="20"/>
        </w:rPr>
        <w:t>a s ohledem na slevu z ceny díla poskytnutou Objednateli ze strany Zhotovitele dle odstavce 4. tohoto článku Dodatku č. 1 Smluvní strany mění celkovou cenu za zhotovení díla dle odstavce 7.1. Smlouvy o dílo z původní částky „</w:t>
      </w:r>
      <w:r w:rsidRPr="00AD6E85">
        <w:rPr>
          <w:rFonts w:ascii="Arial" w:hAnsi="Arial" w:cs="Arial"/>
          <w:i/>
          <w:szCs w:val="20"/>
        </w:rPr>
        <w:t>78.799.230,17 Kč bez DPH</w:t>
      </w:r>
      <w:r w:rsidRPr="00AD6E85">
        <w:rPr>
          <w:rFonts w:ascii="Arial" w:hAnsi="Arial" w:cs="Arial"/>
          <w:szCs w:val="20"/>
        </w:rPr>
        <w:t>“ na částku „</w:t>
      </w:r>
      <w:r>
        <w:rPr>
          <w:rFonts w:ascii="Arial" w:hAnsi="Arial" w:cs="Arial"/>
          <w:szCs w:val="20"/>
        </w:rPr>
        <w:t>77.007.114,40</w:t>
      </w:r>
      <w:r w:rsidRPr="00AD6E85">
        <w:rPr>
          <w:rFonts w:ascii="Arial" w:hAnsi="Arial" w:cs="Arial"/>
          <w:i/>
          <w:szCs w:val="20"/>
        </w:rPr>
        <w:t xml:space="preserve"> Kč bez DPH</w:t>
      </w:r>
      <w:r w:rsidRPr="00AD6E85">
        <w:rPr>
          <w:rFonts w:ascii="Arial" w:hAnsi="Arial" w:cs="Arial"/>
          <w:szCs w:val="20"/>
        </w:rPr>
        <w:t>“.</w:t>
      </w:r>
    </w:p>
    <w:p w:rsidR="000C7D4C" w:rsidRPr="00AD6E85" w:rsidRDefault="000C7D4C" w:rsidP="000C7D4C">
      <w:pPr>
        <w:pStyle w:val="Odstavecseseznamem"/>
        <w:spacing w:after="0"/>
        <w:rPr>
          <w:rFonts w:ascii="Arial" w:hAnsi="Arial" w:cs="Arial"/>
          <w:szCs w:val="20"/>
        </w:rPr>
      </w:pPr>
    </w:p>
    <w:p w:rsidR="000C7D4C" w:rsidRPr="00AD6E85" w:rsidRDefault="000C7D4C" w:rsidP="000C7D4C">
      <w:pPr>
        <w:pStyle w:val="Bezmezer"/>
        <w:numPr>
          <w:ilvl w:val="1"/>
          <w:numId w:val="4"/>
        </w:numPr>
        <w:jc w:val="both"/>
        <w:rPr>
          <w:rFonts w:ascii="Arial" w:hAnsi="Arial" w:cs="Arial"/>
          <w:szCs w:val="20"/>
        </w:rPr>
      </w:pPr>
      <w:r w:rsidRPr="00AD6E85">
        <w:rPr>
          <w:rFonts w:ascii="Arial" w:hAnsi="Arial" w:cs="Arial"/>
          <w:szCs w:val="20"/>
        </w:rPr>
        <w:t>Smluvní strany sjednávají, že záruční doba dle člán</w:t>
      </w:r>
      <w:r>
        <w:rPr>
          <w:rFonts w:ascii="Arial" w:hAnsi="Arial" w:cs="Arial"/>
          <w:szCs w:val="20"/>
        </w:rPr>
        <w:t>k</w:t>
      </w:r>
      <w:r w:rsidRPr="00AD6E85">
        <w:rPr>
          <w:rFonts w:ascii="Arial" w:hAnsi="Arial" w:cs="Arial"/>
          <w:szCs w:val="20"/>
        </w:rPr>
        <w:t xml:space="preserve">u 9. Smlouvy o dílo činí </w:t>
      </w:r>
      <w:r w:rsidRPr="00AD6E85">
        <w:rPr>
          <w:rFonts w:ascii="Arial" w:hAnsi="Arial" w:cs="Arial"/>
          <w:b/>
          <w:szCs w:val="20"/>
        </w:rPr>
        <w:t>84 měsíců</w:t>
      </w:r>
      <w:r w:rsidRPr="00AD6E85">
        <w:rPr>
          <w:rFonts w:ascii="Arial" w:hAnsi="Arial" w:cs="Arial"/>
          <w:szCs w:val="20"/>
        </w:rPr>
        <w:t xml:space="preserve"> a</w:t>
      </w:r>
      <w:r>
        <w:rPr>
          <w:rFonts w:ascii="Arial" w:hAnsi="Arial" w:cs="Arial"/>
          <w:szCs w:val="20"/>
        </w:rPr>
        <w:t> </w:t>
      </w:r>
      <w:r w:rsidRPr="00AD6E85">
        <w:rPr>
          <w:rFonts w:ascii="Arial" w:hAnsi="Arial" w:cs="Arial"/>
          <w:szCs w:val="20"/>
        </w:rPr>
        <w:t xml:space="preserve">začíná běžet ode dne nabytí účinnosti tohoto dodatku. Smluvní strany </w:t>
      </w:r>
      <w:r>
        <w:rPr>
          <w:rFonts w:ascii="Arial" w:hAnsi="Arial" w:cs="Arial"/>
          <w:szCs w:val="20"/>
        </w:rPr>
        <w:t xml:space="preserve">dále </w:t>
      </w:r>
      <w:r w:rsidRPr="00AD6E85">
        <w:rPr>
          <w:rFonts w:ascii="Arial" w:hAnsi="Arial" w:cs="Arial"/>
          <w:szCs w:val="20"/>
        </w:rPr>
        <w:t>sjednávají</w:t>
      </w:r>
      <w:r>
        <w:rPr>
          <w:rFonts w:ascii="Arial" w:hAnsi="Arial" w:cs="Arial"/>
          <w:szCs w:val="20"/>
        </w:rPr>
        <w:t>, že záruční doba</w:t>
      </w:r>
      <w:r w:rsidRPr="00AD6E85">
        <w:rPr>
          <w:rFonts w:ascii="Arial" w:hAnsi="Arial" w:cs="Arial"/>
          <w:szCs w:val="20"/>
        </w:rPr>
        <w:t xml:space="preserve"> pro prefabrikované železobetonové zábradlí na koruně hráze </w:t>
      </w:r>
      <w:r>
        <w:rPr>
          <w:rFonts w:ascii="Arial" w:hAnsi="Arial" w:cs="Arial"/>
          <w:szCs w:val="20"/>
        </w:rPr>
        <w:t xml:space="preserve">se </w:t>
      </w:r>
      <w:r w:rsidRPr="00AD6E85">
        <w:rPr>
          <w:rFonts w:ascii="Arial" w:hAnsi="Arial" w:cs="Arial"/>
          <w:szCs w:val="20"/>
        </w:rPr>
        <w:t xml:space="preserve">rozšiřuje </w:t>
      </w:r>
      <w:r>
        <w:rPr>
          <w:rFonts w:ascii="Arial" w:hAnsi="Arial" w:cs="Arial"/>
          <w:szCs w:val="20"/>
        </w:rPr>
        <w:t>o 36 měsíců</w:t>
      </w:r>
      <w:r w:rsidRPr="00AD6E85">
        <w:rPr>
          <w:rFonts w:ascii="Arial" w:hAnsi="Arial" w:cs="Arial"/>
          <w:szCs w:val="20"/>
        </w:rPr>
        <w:t xml:space="preserve"> na </w:t>
      </w:r>
      <w:r w:rsidRPr="00AD6E85">
        <w:rPr>
          <w:rFonts w:ascii="Arial" w:hAnsi="Arial" w:cs="Arial"/>
          <w:b/>
          <w:szCs w:val="20"/>
        </w:rPr>
        <w:t>120 měsíců</w:t>
      </w:r>
      <w:r w:rsidRPr="00AD6E85">
        <w:rPr>
          <w:rFonts w:ascii="Arial" w:hAnsi="Arial" w:cs="Arial"/>
          <w:szCs w:val="20"/>
        </w:rPr>
        <w:t xml:space="preserve">. </w:t>
      </w:r>
    </w:p>
    <w:p w:rsidR="000C7D4C" w:rsidRPr="00AD6E85" w:rsidRDefault="000C7D4C" w:rsidP="000C7D4C">
      <w:pPr>
        <w:pStyle w:val="Bezmezer"/>
        <w:ind w:left="360"/>
        <w:jc w:val="both"/>
        <w:rPr>
          <w:rFonts w:ascii="Arial" w:hAnsi="Arial" w:cs="Arial"/>
          <w:szCs w:val="20"/>
        </w:rPr>
      </w:pPr>
    </w:p>
    <w:p w:rsidR="000C7D4C" w:rsidRPr="009564C1" w:rsidRDefault="000C7D4C" w:rsidP="000C7D4C">
      <w:pPr>
        <w:pStyle w:val="Bezmezer"/>
        <w:numPr>
          <w:ilvl w:val="1"/>
          <w:numId w:val="4"/>
        </w:numPr>
        <w:jc w:val="both"/>
        <w:rPr>
          <w:rFonts w:ascii="Arial" w:hAnsi="Arial" w:cs="Arial"/>
          <w:szCs w:val="20"/>
        </w:rPr>
      </w:pPr>
      <w:r w:rsidRPr="00AD6E85">
        <w:rPr>
          <w:rFonts w:ascii="Arial" w:hAnsi="Arial" w:cs="Arial"/>
          <w:szCs w:val="20"/>
        </w:rPr>
        <w:t xml:space="preserve">Smluvní strany </w:t>
      </w:r>
      <w:r>
        <w:rPr>
          <w:rFonts w:ascii="Arial" w:hAnsi="Arial" w:cs="Arial"/>
          <w:szCs w:val="20"/>
        </w:rPr>
        <w:t>berou na vědomí</w:t>
      </w:r>
      <w:r w:rsidRPr="00AD6E85">
        <w:rPr>
          <w:rFonts w:ascii="Arial" w:hAnsi="Arial" w:cs="Arial"/>
          <w:szCs w:val="20"/>
        </w:rPr>
        <w:t xml:space="preserve">, že </w:t>
      </w:r>
      <w:r>
        <w:rPr>
          <w:rFonts w:ascii="Arial" w:hAnsi="Arial" w:cs="Arial"/>
          <w:szCs w:val="20"/>
        </w:rPr>
        <w:t xml:space="preserve">Objednatel má nárok na </w:t>
      </w:r>
      <w:r w:rsidRPr="00AD6E85">
        <w:rPr>
          <w:rFonts w:ascii="Arial" w:hAnsi="Arial" w:cs="Arial"/>
          <w:szCs w:val="20"/>
        </w:rPr>
        <w:t>smluvní pokut</w:t>
      </w:r>
      <w:r>
        <w:rPr>
          <w:rFonts w:ascii="Arial" w:hAnsi="Arial" w:cs="Arial"/>
          <w:szCs w:val="20"/>
        </w:rPr>
        <w:t>u</w:t>
      </w:r>
      <w:r w:rsidRPr="00AD6E85">
        <w:rPr>
          <w:rFonts w:ascii="Arial" w:hAnsi="Arial" w:cs="Arial"/>
          <w:szCs w:val="20"/>
        </w:rPr>
        <w:t xml:space="preserve"> ve výši</w:t>
      </w:r>
      <w:r>
        <w:rPr>
          <w:rFonts w:ascii="Arial" w:hAnsi="Arial" w:cs="Arial"/>
          <w:szCs w:val="20"/>
        </w:rPr>
        <w:t xml:space="preserve"> 8.855.818,16</w:t>
      </w:r>
      <w:r w:rsidRPr="00AD6E85">
        <w:rPr>
          <w:rFonts w:ascii="Arial" w:hAnsi="Arial" w:cs="Arial"/>
          <w:szCs w:val="20"/>
        </w:rPr>
        <w:t xml:space="preserve"> Kč za prodlení Zhotovitele se splněním termínu provedení díla</w:t>
      </w:r>
      <w:r>
        <w:rPr>
          <w:rFonts w:ascii="Arial" w:hAnsi="Arial" w:cs="Arial"/>
          <w:szCs w:val="20"/>
        </w:rPr>
        <w:t xml:space="preserve"> </w:t>
      </w:r>
      <w:r w:rsidRPr="00AD6E85">
        <w:rPr>
          <w:rFonts w:ascii="Arial" w:hAnsi="Arial" w:cs="Arial"/>
          <w:szCs w:val="20"/>
        </w:rPr>
        <w:t>dle odstavce 15.2. Smlouvy o dílo</w:t>
      </w:r>
      <w:r>
        <w:rPr>
          <w:rFonts w:ascii="Arial" w:hAnsi="Arial" w:cs="Arial"/>
          <w:szCs w:val="20"/>
        </w:rPr>
        <w:t>. Smluvní strany sjednávají, že tato smluvní pokuta</w:t>
      </w:r>
      <w:r w:rsidRPr="00AD6E85">
        <w:rPr>
          <w:rFonts w:ascii="Arial" w:hAnsi="Arial" w:cs="Arial"/>
          <w:szCs w:val="20"/>
        </w:rPr>
        <w:t xml:space="preserve"> </w:t>
      </w:r>
      <w:r>
        <w:rPr>
          <w:rFonts w:ascii="Arial" w:hAnsi="Arial" w:cs="Arial"/>
          <w:szCs w:val="20"/>
        </w:rPr>
        <w:t>se tímto započítává</w:t>
      </w:r>
      <w:r w:rsidRPr="00AD6E85">
        <w:rPr>
          <w:rFonts w:ascii="Arial" w:hAnsi="Arial" w:cs="Arial"/>
          <w:szCs w:val="20"/>
        </w:rPr>
        <w:t xml:space="preserve"> na </w:t>
      </w:r>
      <w:r>
        <w:rPr>
          <w:rFonts w:ascii="Arial" w:hAnsi="Arial" w:cs="Arial"/>
          <w:szCs w:val="20"/>
        </w:rPr>
        <w:t xml:space="preserve">odpovídající </w:t>
      </w:r>
      <w:r w:rsidRPr="00AD6E85">
        <w:rPr>
          <w:rFonts w:ascii="Arial" w:hAnsi="Arial" w:cs="Arial"/>
          <w:szCs w:val="20"/>
        </w:rPr>
        <w:t xml:space="preserve">část </w:t>
      </w:r>
      <w:r w:rsidRPr="009564C1">
        <w:rPr>
          <w:rFonts w:ascii="Arial" w:hAnsi="Arial" w:cs="Arial"/>
          <w:szCs w:val="20"/>
        </w:rPr>
        <w:t>Pozastavených plateb za zhotovení díla.</w:t>
      </w:r>
      <w:r>
        <w:rPr>
          <w:rFonts w:ascii="Arial" w:hAnsi="Arial" w:cs="Arial"/>
          <w:szCs w:val="20"/>
        </w:rPr>
        <w:t xml:space="preserve"> </w:t>
      </w:r>
      <w:r w:rsidRPr="006F3A91">
        <w:rPr>
          <w:rFonts w:ascii="Arial" w:hAnsi="Arial" w:cs="Arial"/>
          <w:szCs w:val="20"/>
        </w:rPr>
        <w:t xml:space="preserve">Smluvní strany </w:t>
      </w:r>
      <w:r w:rsidRPr="006F3A91">
        <w:rPr>
          <w:rFonts w:ascii="Arial" w:hAnsi="Arial" w:cs="Arial"/>
          <w:szCs w:val="20"/>
        </w:rPr>
        <w:lastRenderedPageBreak/>
        <w:t>berou na vědomí, že Objednatel nemá vůči Zhotoviteli nárok na další smluvní pokuty či jiné peněžité plnění sjednané pro případ prodlení Zhotovitele s provedením díla v souvislosti s celkovým trváním přejímacího řízení a jeho ukončením dne 30. 8. 2017 od okamžiku předání díla dle článku III. odst. 2 tohoto Dodatku č. 1.</w:t>
      </w:r>
    </w:p>
    <w:p w:rsidR="000C7D4C" w:rsidRPr="003F79E2" w:rsidRDefault="000C7D4C" w:rsidP="000C7D4C">
      <w:pPr>
        <w:pStyle w:val="Bezmezer"/>
        <w:ind w:left="360"/>
        <w:jc w:val="both"/>
        <w:rPr>
          <w:rFonts w:ascii="Arial" w:hAnsi="Arial" w:cs="Arial"/>
          <w:szCs w:val="20"/>
        </w:rPr>
      </w:pPr>
    </w:p>
    <w:p w:rsidR="000C7D4C" w:rsidRPr="0082057D" w:rsidRDefault="000C7D4C" w:rsidP="000C7D4C">
      <w:pPr>
        <w:pStyle w:val="Bezmezer"/>
        <w:numPr>
          <w:ilvl w:val="1"/>
          <w:numId w:val="4"/>
        </w:numPr>
        <w:jc w:val="both"/>
        <w:rPr>
          <w:rFonts w:ascii="Arial" w:hAnsi="Arial" w:cs="Arial"/>
          <w:szCs w:val="20"/>
        </w:rPr>
      </w:pPr>
      <w:r w:rsidRPr="003F79E2">
        <w:rPr>
          <w:rFonts w:ascii="Arial" w:hAnsi="Arial" w:cs="Arial"/>
          <w:szCs w:val="20"/>
        </w:rPr>
        <w:t xml:space="preserve">Smluvní strany sjednávají, že příkaz </w:t>
      </w:r>
      <w:r w:rsidRPr="00AA2BA7">
        <w:rPr>
          <w:rFonts w:ascii="Arial" w:hAnsi="Arial" w:cs="Arial"/>
          <w:szCs w:val="20"/>
        </w:rPr>
        <w:t xml:space="preserve">k úhradě </w:t>
      </w:r>
      <w:r>
        <w:rPr>
          <w:rFonts w:ascii="Arial" w:hAnsi="Arial" w:cs="Arial"/>
          <w:szCs w:val="20"/>
        </w:rPr>
        <w:t xml:space="preserve">Pozastavených </w:t>
      </w:r>
      <w:r w:rsidRPr="00AA2BA7">
        <w:rPr>
          <w:rFonts w:ascii="Arial" w:hAnsi="Arial" w:cs="Arial"/>
          <w:szCs w:val="20"/>
        </w:rPr>
        <w:t>plateb bud</w:t>
      </w:r>
      <w:r>
        <w:rPr>
          <w:rFonts w:ascii="Arial" w:hAnsi="Arial" w:cs="Arial"/>
          <w:szCs w:val="20"/>
        </w:rPr>
        <w:t>e</w:t>
      </w:r>
      <w:r w:rsidRPr="00AA2BA7">
        <w:rPr>
          <w:rFonts w:ascii="Arial" w:hAnsi="Arial" w:cs="Arial"/>
          <w:szCs w:val="20"/>
        </w:rPr>
        <w:t xml:space="preserve"> proveden ve lhůtě do </w:t>
      </w:r>
      <w:r>
        <w:rPr>
          <w:rFonts w:ascii="Arial" w:hAnsi="Arial" w:cs="Arial"/>
          <w:szCs w:val="20"/>
        </w:rPr>
        <w:t>15</w:t>
      </w:r>
      <w:r w:rsidRPr="00AA2BA7">
        <w:rPr>
          <w:rFonts w:ascii="Arial" w:hAnsi="Arial" w:cs="Arial"/>
          <w:szCs w:val="20"/>
        </w:rPr>
        <w:t xml:space="preserve"> pracovníc</w:t>
      </w:r>
      <w:r>
        <w:rPr>
          <w:rFonts w:ascii="Arial" w:hAnsi="Arial" w:cs="Arial"/>
          <w:szCs w:val="20"/>
        </w:rPr>
        <w:t>h</w:t>
      </w:r>
      <w:r w:rsidRPr="00AA2BA7">
        <w:rPr>
          <w:rFonts w:ascii="Arial" w:hAnsi="Arial" w:cs="Arial"/>
          <w:szCs w:val="20"/>
        </w:rPr>
        <w:t xml:space="preserve"> dnů ode dne nabytí účinnosti tohoto Dodatku č. 1, a to ve výši zohledňující zápočet pohledávek Objednatele za Zhotovitelem dle odstavců 4. a </w:t>
      </w:r>
      <w:r>
        <w:rPr>
          <w:rFonts w:ascii="Arial" w:hAnsi="Arial" w:cs="Arial"/>
          <w:szCs w:val="20"/>
        </w:rPr>
        <w:t>8</w:t>
      </w:r>
      <w:r w:rsidRPr="00AA2BA7">
        <w:rPr>
          <w:rFonts w:ascii="Arial" w:hAnsi="Arial" w:cs="Arial"/>
          <w:szCs w:val="20"/>
        </w:rPr>
        <w:t xml:space="preserve">. tohoto článku Dodatku č. 1. Smluvní strany výslovně potvrzují, že </w:t>
      </w:r>
      <w:r>
        <w:rPr>
          <w:rFonts w:ascii="Arial" w:hAnsi="Arial" w:cs="Arial"/>
          <w:szCs w:val="20"/>
        </w:rPr>
        <w:t>Z</w:t>
      </w:r>
      <w:r w:rsidRPr="00AA2BA7">
        <w:rPr>
          <w:rFonts w:ascii="Arial" w:hAnsi="Arial" w:cs="Arial"/>
          <w:szCs w:val="20"/>
        </w:rPr>
        <w:t>hotoviteli v souvislosti s</w:t>
      </w:r>
      <w:r>
        <w:rPr>
          <w:rFonts w:ascii="Arial" w:hAnsi="Arial" w:cs="Arial"/>
          <w:szCs w:val="20"/>
        </w:rPr>
        <w:t> </w:t>
      </w:r>
      <w:r w:rsidRPr="00AA2BA7">
        <w:rPr>
          <w:rFonts w:ascii="Arial" w:hAnsi="Arial" w:cs="Arial"/>
          <w:szCs w:val="20"/>
        </w:rPr>
        <w:t>pozastavením předmětných plateb ceny nenáleží žádné peněžité plnění.</w:t>
      </w:r>
    </w:p>
    <w:p w:rsidR="000C7D4C" w:rsidRPr="00492335" w:rsidRDefault="000C7D4C" w:rsidP="000C7D4C">
      <w:pPr>
        <w:pStyle w:val="Bezmezer"/>
        <w:numPr>
          <w:ilvl w:val="0"/>
          <w:numId w:val="1"/>
        </w:numPr>
        <w:tabs>
          <w:tab w:val="clear" w:pos="357"/>
        </w:tabs>
        <w:spacing w:before="480"/>
        <w:ind w:left="-357" w:firstLine="79"/>
        <w:jc w:val="center"/>
        <w:rPr>
          <w:rFonts w:ascii="Arial" w:hAnsi="Arial" w:cs="Arial"/>
          <w:b/>
          <w:sz w:val="24"/>
          <w:szCs w:val="24"/>
        </w:rPr>
      </w:pPr>
      <w:bookmarkStart w:id="2" w:name="_Ref230499091"/>
      <w:r w:rsidRPr="00492335">
        <w:rPr>
          <w:rFonts w:ascii="Arial" w:hAnsi="Arial" w:cs="Arial"/>
          <w:b/>
          <w:sz w:val="24"/>
          <w:szCs w:val="24"/>
        </w:rPr>
        <w:t>Závěrečná ustanovení</w:t>
      </w:r>
    </w:p>
    <w:p w:rsidR="000C7D4C" w:rsidRDefault="000C7D4C" w:rsidP="000C7D4C">
      <w:pPr>
        <w:pStyle w:val="Bezmezer"/>
        <w:jc w:val="both"/>
        <w:rPr>
          <w:rFonts w:ascii="Arial" w:hAnsi="Arial" w:cs="Arial"/>
          <w:sz w:val="18"/>
          <w:szCs w:val="18"/>
        </w:rPr>
      </w:pPr>
    </w:p>
    <w:bookmarkEnd w:id="2"/>
    <w:p w:rsidR="000C7D4C" w:rsidRPr="00AD6E85" w:rsidRDefault="000C7D4C" w:rsidP="000C7D4C">
      <w:pPr>
        <w:pStyle w:val="Bezmezer"/>
        <w:numPr>
          <w:ilvl w:val="1"/>
          <w:numId w:val="5"/>
        </w:numPr>
        <w:jc w:val="both"/>
        <w:rPr>
          <w:rFonts w:ascii="Arial" w:hAnsi="Arial" w:cs="Arial"/>
          <w:szCs w:val="20"/>
        </w:rPr>
      </w:pPr>
      <w:r w:rsidRPr="00AD6E85">
        <w:rPr>
          <w:rFonts w:ascii="Arial" w:hAnsi="Arial" w:cs="Arial"/>
          <w:szCs w:val="20"/>
        </w:rPr>
        <w:t>Tento Dodatek č. 1 představuje úplnou dohodu Smluvních stran o předmětu tohoto Dodatku č. 1.</w:t>
      </w:r>
    </w:p>
    <w:p w:rsidR="000C7D4C" w:rsidRPr="00AD6E85" w:rsidRDefault="000C7D4C" w:rsidP="000C7D4C">
      <w:pPr>
        <w:pStyle w:val="Bezmezer"/>
        <w:ind w:left="360"/>
        <w:jc w:val="both"/>
        <w:rPr>
          <w:rFonts w:ascii="Arial" w:hAnsi="Arial" w:cs="Arial"/>
          <w:szCs w:val="20"/>
        </w:rPr>
      </w:pPr>
    </w:p>
    <w:p w:rsidR="000C7D4C" w:rsidRPr="00AD6E85" w:rsidRDefault="000C7D4C" w:rsidP="000C7D4C">
      <w:pPr>
        <w:numPr>
          <w:ilvl w:val="1"/>
          <w:numId w:val="5"/>
        </w:numPr>
        <w:spacing w:after="0"/>
        <w:jc w:val="both"/>
        <w:rPr>
          <w:rFonts w:ascii="Arial" w:hAnsi="Arial" w:cs="Arial"/>
          <w:szCs w:val="20"/>
        </w:rPr>
      </w:pPr>
      <w:r w:rsidRPr="00AD6E85">
        <w:rPr>
          <w:rFonts w:ascii="Arial" w:hAnsi="Arial" w:cs="Arial"/>
          <w:szCs w:val="20"/>
        </w:rPr>
        <w:t>Ostatní ustanovení Smlouvy o dílo a jejích příloh, nedotčená tímto Dodatkem č. 1, zůstávají beze změny.</w:t>
      </w:r>
    </w:p>
    <w:p w:rsidR="000C7D4C" w:rsidRPr="00AD6E85" w:rsidRDefault="000C7D4C" w:rsidP="000C7D4C">
      <w:pPr>
        <w:pStyle w:val="Bezmezer"/>
        <w:ind w:left="360"/>
        <w:jc w:val="both"/>
        <w:rPr>
          <w:rFonts w:ascii="Arial" w:hAnsi="Arial" w:cs="Arial"/>
          <w:szCs w:val="20"/>
        </w:rPr>
      </w:pPr>
    </w:p>
    <w:p w:rsidR="000C7D4C" w:rsidRPr="00AD6E85" w:rsidRDefault="000C7D4C" w:rsidP="000C7D4C">
      <w:pPr>
        <w:pStyle w:val="Bezmezer"/>
        <w:numPr>
          <w:ilvl w:val="1"/>
          <w:numId w:val="5"/>
        </w:numPr>
        <w:jc w:val="both"/>
        <w:rPr>
          <w:rFonts w:ascii="Arial" w:hAnsi="Arial" w:cs="Arial"/>
          <w:szCs w:val="20"/>
        </w:rPr>
      </w:pPr>
      <w:r w:rsidRPr="00AD6E85">
        <w:rPr>
          <w:rFonts w:ascii="Arial" w:hAnsi="Arial" w:cs="Arial"/>
          <w:szCs w:val="20"/>
        </w:rPr>
        <w:t>Tento Dodatek č. 1 byl vyhotoven a Smluvními stranami podepsán ve čtyřech (4) stejnopisech, přičemž každá Smluvní strana obdrží dva (2) stejnopisy.</w:t>
      </w:r>
    </w:p>
    <w:p w:rsidR="000C7D4C" w:rsidRPr="00AD6E85" w:rsidRDefault="000C7D4C" w:rsidP="000C7D4C">
      <w:pPr>
        <w:pStyle w:val="Bezmezer"/>
        <w:ind w:left="360"/>
        <w:jc w:val="both"/>
        <w:rPr>
          <w:rFonts w:ascii="Arial" w:hAnsi="Arial" w:cs="Arial"/>
          <w:szCs w:val="20"/>
        </w:rPr>
      </w:pPr>
    </w:p>
    <w:p w:rsidR="000C7D4C" w:rsidRPr="00AD6E85" w:rsidRDefault="000C7D4C" w:rsidP="000C7D4C">
      <w:pPr>
        <w:pStyle w:val="Bezmezer"/>
        <w:numPr>
          <w:ilvl w:val="1"/>
          <w:numId w:val="5"/>
        </w:numPr>
        <w:jc w:val="both"/>
        <w:rPr>
          <w:rFonts w:ascii="Arial" w:hAnsi="Arial" w:cs="Arial"/>
          <w:szCs w:val="20"/>
        </w:rPr>
      </w:pPr>
      <w:r w:rsidRPr="00AD6E85">
        <w:rPr>
          <w:rFonts w:ascii="Arial" w:hAnsi="Arial" w:cs="Arial"/>
          <w:szCs w:val="20"/>
        </w:rPr>
        <w:t>Smluvní strany berou na vědomí, že tento Dodatek č. 1 podle zákona č. 340/2015 Sb., o zvláštních podmínkách účinnosti některých smluv</w:t>
      </w:r>
      <w:r>
        <w:rPr>
          <w:rFonts w:ascii="Arial" w:hAnsi="Arial" w:cs="Arial"/>
          <w:szCs w:val="20"/>
        </w:rPr>
        <w:t>, uveřejňování těchto smluv a o </w:t>
      </w:r>
      <w:r w:rsidRPr="00AD6E85">
        <w:rPr>
          <w:rFonts w:ascii="Arial" w:hAnsi="Arial" w:cs="Arial"/>
          <w:szCs w:val="20"/>
        </w:rPr>
        <w:t>registru smluv (zákon o registru smluv), ve znění pozdějších předpisů, podléhá uveřejnění v registru smluv, přičemž účinnosti nabývá dnem svého uveřejnění v registru smluv.</w:t>
      </w:r>
      <w:r>
        <w:rPr>
          <w:rFonts w:ascii="Arial" w:hAnsi="Arial" w:cs="Arial"/>
          <w:szCs w:val="20"/>
        </w:rPr>
        <w:t xml:space="preserve"> V</w:t>
      </w:r>
      <w:r w:rsidRPr="00C702FD">
        <w:rPr>
          <w:rFonts w:ascii="Arial" w:hAnsi="Arial" w:cs="Arial"/>
          <w:szCs w:val="20"/>
        </w:rPr>
        <w:t xml:space="preserve"> případě zrušení</w:t>
      </w:r>
      <w:r>
        <w:rPr>
          <w:rFonts w:ascii="Arial" w:hAnsi="Arial" w:cs="Arial"/>
          <w:szCs w:val="20"/>
        </w:rPr>
        <w:t xml:space="preserve"> tohoto</w:t>
      </w:r>
      <w:r w:rsidRPr="00C702FD">
        <w:rPr>
          <w:rFonts w:ascii="Arial" w:hAnsi="Arial" w:cs="Arial"/>
          <w:szCs w:val="20"/>
        </w:rPr>
        <w:t xml:space="preserve"> </w:t>
      </w:r>
      <w:r>
        <w:rPr>
          <w:rFonts w:ascii="Arial" w:hAnsi="Arial" w:cs="Arial"/>
          <w:szCs w:val="20"/>
        </w:rPr>
        <w:t>Dodatku č. 1</w:t>
      </w:r>
      <w:r w:rsidRPr="00C702FD">
        <w:rPr>
          <w:rFonts w:ascii="Arial" w:hAnsi="Arial" w:cs="Arial"/>
          <w:szCs w:val="20"/>
        </w:rPr>
        <w:t xml:space="preserve"> </w:t>
      </w:r>
      <w:r>
        <w:rPr>
          <w:rFonts w:ascii="Arial" w:hAnsi="Arial" w:cs="Arial"/>
          <w:szCs w:val="20"/>
        </w:rPr>
        <w:t xml:space="preserve">v důsledku jeho </w:t>
      </w:r>
      <w:r w:rsidRPr="00C702FD">
        <w:rPr>
          <w:rFonts w:ascii="Arial" w:hAnsi="Arial" w:cs="Arial"/>
          <w:szCs w:val="20"/>
        </w:rPr>
        <w:t>neuveřejnění v</w:t>
      </w:r>
      <w:r>
        <w:rPr>
          <w:rFonts w:ascii="Arial" w:hAnsi="Arial" w:cs="Arial"/>
          <w:szCs w:val="20"/>
        </w:rPr>
        <w:t> </w:t>
      </w:r>
      <w:r w:rsidRPr="00C702FD">
        <w:rPr>
          <w:rFonts w:ascii="Arial" w:hAnsi="Arial" w:cs="Arial"/>
          <w:szCs w:val="20"/>
        </w:rPr>
        <w:t>registru</w:t>
      </w:r>
      <w:r>
        <w:rPr>
          <w:rFonts w:ascii="Arial" w:hAnsi="Arial" w:cs="Arial"/>
          <w:szCs w:val="20"/>
        </w:rPr>
        <w:t xml:space="preserve"> smluv</w:t>
      </w:r>
      <w:r w:rsidRPr="00C702FD">
        <w:rPr>
          <w:rFonts w:ascii="Arial" w:hAnsi="Arial" w:cs="Arial"/>
          <w:szCs w:val="20"/>
        </w:rPr>
        <w:t xml:space="preserve"> </w:t>
      </w:r>
      <w:r>
        <w:rPr>
          <w:rFonts w:ascii="Arial" w:hAnsi="Arial" w:cs="Arial"/>
          <w:szCs w:val="20"/>
        </w:rPr>
        <w:t>Smluvní</w:t>
      </w:r>
      <w:r w:rsidRPr="00C702FD">
        <w:rPr>
          <w:rFonts w:ascii="Arial" w:hAnsi="Arial" w:cs="Arial"/>
          <w:szCs w:val="20"/>
        </w:rPr>
        <w:t xml:space="preserve"> strany bezodkladně uzavřou dodatek</w:t>
      </w:r>
      <w:r>
        <w:rPr>
          <w:rFonts w:ascii="Arial" w:hAnsi="Arial" w:cs="Arial"/>
          <w:szCs w:val="20"/>
        </w:rPr>
        <w:t xml:space="preserve"> shodného znění</w:t>
      </w:r>
      <w:r w:rsidRPr="00C702FD">
        <w:rPr>
          <w:rFonts w:ascii="Arial" w:hAnsi="Arial" w:cs="Arial"/>
          <w:szCs w:val="20"/>
        </w:rPr>
        <w:t xml:space="preserve"> a zajistí jeho řádné uveřejnění v</w:t>
      </w:r>
      <w:r>
        <w:rPr>
          <w:rFonts w:ascii="Arial" w:hAnsi="Arial" w:cs="Arial"/>
          <w:szCs w:val="20"/>
        </w:rPr>
        <w:t> </w:t>
      </w:r>
      <w:r w:rsidRPr="00C702FD">
        <w:rPr>
          <w:rFonts w:ascii="Arial" w:hAnsi="Arial" w:cs="Arial"/>
          <w:szCs w:val="20"/>
        </w:rPr>
        <w:t>registru</w:t>
      </w:r>
      <w:r>
        <w:rPr>
          <w:rFonts w:ascii="Arial" w:hAnsi="Arial" w:cs="Arial"/>
          <w:szCs w:val="20"/>
        </w:rPr>
        <w:t xml:space="preserve"> smluv.</w:t>
      </w:r>
    </w:p>
    <w:p w:rsidR="000C7D4C" w:rsidRPr="00AD6E85" w:rsidRDefault="000C7D4C" w:rsidP="000C7D4C">
      <w:pPr>
        <w:pStyle w:val="Bezmezer"/>
        <w:ind w:left="360"/>
        <w:jc w:val="both"/>
        <w:rPr>
          <w:rFonts w:ascii="Arial" w:hAnsi="Arial" w:cs="Arial"/>
          <w:szCs w:val="20"/>
        </w:rPr>
      </w:pPr>
    </w:p>
    <w:p w:rsidR="000C7D4C" w:rsidRPr="00AD6E85" w:rsidRDefault="000C7D4C" w:rsidP="000C7D4C">
      <w:pPr>
        <w:pStyle w:val="Bezmezer"/>
        <w:jc w:val="center"/>
        <w:rPr>
          <w:rFonts w:ascii="Arial" w:hAnsi="Arial" w:cs="Arial"/>
          <w:b/>
          <w:szCs w:val="20"/>
        </w:rPr>
      </w:pPr>
    </w:p>
    <w:p w:rsidR="000C7D4C" w:rsidRDefault="000C7D4C" w:rsidP="000C7D4C">
      <w:pPr>
        <w:pStyle w:val="Bezmezer"/>
        <w:jc w:val="center"/>
        <w:rPr>
          <w:rFonts w:ascii="Arial" w:hAnsi="Arial" w:cs="Arial"/>
          <w:b/>
          <w:szCs w:val="20"/>
        </w:rPr>
      </w:pPr>
      <w:r w:rsidRPr="00AD6E85">
        <w:rPr>
          <w:rFonts w:ascii="Arial" w:hAnsi="Arial" w:cs="Arial"/>
          <w:b/>
          <w:szCs w:val="20"/>
        </w:rPr>
        <w:t>Smluvní strany prohlašují, že si tento Dodatek č. 1 přečetly, že s jeho obsahem souhlasí a na důkaz toho k němu připojují svoje podpisy.</w:t>
      </w:r>
    </w:p>
    <w:p w:rsidR="000C7D4C" w:rsidRPr="00AD6E85" w:rsidRDefault="000C7D4C" w:rsidP="000C7D4C">
      <w:pPr>
        <w:pStyle w:val="Bezmezer"/>
        <w:jc w:val="center"/>
        <w:rPr>
          <w:rFonts w:ascii="Arial" w:hAnsi="Arial" w:cs="Arial"/>
          <w:sz w:val="20"/>
          <w:szCs w:val="18"/>
        </w:rPr>
      </w:pPr>
    </w:p>
    <w:tbl>
      <w:tblPr>
        <w:tblW w:w="0" w:type="auto"/>
        <w:jc w:val="center"/>
        <w:tblLook w:val="04A0"/>
      </w:tblPr>
      <w:tblGrid>
        <w:gridCol w:w="4016"/>
        <w:gridCol w:w="567"/>
        <w:gridCol w:w="4299"/>
      </w:tblGrid>
      <w:tr w:rsidR="000C7D4C" w:rsidRPr="00AD6E85" w:rsidTr="00FB6698">
        <w:trPr>
          <w:trHeight w:val="291"/>
          <w:jc w:val="center"/>
        </w:trPr>
        <w:tc>
          <w:tcPr>
            <w:tcW w:w="4016" w:type="dxa"/>
            <w:vAlign w:val="center"/>
          </w:tcPr>
          <w:p w:rsidR="000C7D4C" w:rsidRPr="00AD6E85" w:rsidRDefault="000C7D4C" w:rsidP="00FB6698">
            <w:pPr>
              <w:keepNext/>
              <w:spacing w:after="0" w:line="240" w:lineRule="auto"/>
              <w:rPr>
                <w:rFonts w:ascii="Arial" w:hAnsi="Arial" w:cs="Arial"/>
                <w:b/>
                <w:szCs w:val="20"/>
              </w:rPr>
            </w:pPr>
            <w:r w:rsidRPr="00AD6E85">
              <w:rPr>
                <w:rFonts w:ascii="Arial" w:hAnsi="Arial" w:cs="Arial"/>
                <w:b/>
                <w:szCs w:val="20"/>
              </w:rPr>
              <w:t>Objednatel:</w:t>
            </w: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B6698">
            <w:pPr>
              <w:keepNext/>
              <w:spacing w:after="0" w:line="240" w:lineRule="auto"/>
              <w:rPr>
                <w:rFonts w:ascii="Arial" w:hAnsi="Arial" w:cs="Arial"/>
                <w:b/>
                <w:szCs w:val="20"/>
              </w:rPr>
            </w:pPr>
            <w:r w:rsidRPr="00AD6E85">
              <w:rPr>
                <w:rFonts w:ascii="Arial" w:hAnsi="Arial" w:cs="Arial"/>
                <w:b/>
                <w:szCs w:val="20"/>
              </w:rPr>
              <w:t>Zhotovitel:</w:t>
            </w:r>
          </w:p>
        </w:tc>
      </w:tr>
      <w:tr w:rsidR="000C7D4C" w:rsidRPr="00AD6E85" w:rsidTr="00FB6698">
        <w:trPr>
          <w:trHeight w:val="1120"/>
          <w:jc w:val="center"/>
        </w:trPr>
        <w:tc>
          <w:tcPr>
            <w:tcW w:w="4016" w:type="dxa"/>
          </w:tcPr>
          <w:p w:rsidR="000C7D4C" w:rsidRPr="00AD6E85" w:rsidRDefault="000C7D4C" w:rsidP="00FB6698">
            <w:pPr>
              <w:keepNext/>
              <w:spacing w:after="0" w:line="240" w:lineRule="auto"/>
              <w:rPr>
                <w:rFonts w:ascii="Arial" w:hAnsi="Arial" w:cs="Arial"/>
                <w:szCs w:val="20"/>
              </w:rPr>
            </w:pPr>
          </w:p>
        </w:tc>
        <w:tc>
          <w:tcPr>
            <w:tcW w:w="567" w:type="dxa"/>
          </w:tcPr>
          <w:p w:rsidR="000C7D4C" w:rsidRPr="00AD6E85" w:rsidRDefault="000C7D4C" w:rsidP="00FB6698">
            <w:pPr>
              <w:keepNext/>
              <w:spacing w:after="0" w:line="240" w:lineRule="auto"/>
              <w:rPr>
                <w:rFonts w:ascii="Arial" w:hAnsi="Arial" w:cs="Arial"/>
                <w:szCs w:val="20"/>
              </w:rPr>
            </w:pPr>
          </w:p>
        </w:tc>
        <w:tc>
          <w:tcPr>
            <w:tcW w:w="4299" w:type="dxa"/>
          </w:tcPr>
          <w:p w:rsidR="000C7D4C" w:rsidRPr="00AD6E85" w:rsidRDefault="000C7D4C" w:rsidP="00FB6698">
            <w:pPr>
              <w:keepNext/>
              <w:spacing w:after="0" w:line="240" w:lineRule="auto"/>
              <w:rPr>
                <w:rFonts w:ascii="Arial" w:hAnsi="Arial" w:cs="Arial"/>
                <w:szCs w:val="20"/>
              </w:rPr>
            </w:pPr>
          </w:p>
        </w:tc>
      </w:tr>
      <w:tr w:rsidR="000C7D4C" w:rsidRPr="00AD6E85" w:rsidTr="00FB6698">
        <w:trPr>
          <w:trHeight w:val="370"/>
          <w:jc w:val="center"/>
        </w:trPr>
        <w:tc>
          <w:tcPr>
            <w:tcW w:w="4016" w:type="dxa"/>
            <w:vAlign w:val="center"/>
          </w:tcPr>
          <w:p w:rsidR="000C7D4C" w:rsidRPr="00AD6E85" w:rsidRDefault="000C7D4C" w:rsidP="00FB6698">
            <w:pPr>
              <w:keepNext/>
              <w:spacing w:after="0" w:line="240" w:lineRule="auto"/>
              <w:rPr>
                <w:rFonts w:ascii="Arial" w:hAnsi="Arial" w:cs="Arial"/>
                <w:szCs w:val="20"/>
              </w:rPr>
            </w:pPr>
            <w:r w:rsidRPr="00AD6E85">
              <w:rPr>
                <w:rFonts w:ascii="Arial" w:hAnsi="Arial" w:cs="Arial"/>
                <w:b/>
                <w:bCs/>
                <w:szCs w:val="20"/>
              </w:rPr>
              <w:t>Povodí Odry, státní podnik</w:t>
            </w: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B6698">
            <w:pPr>
              <w:keepNext/>
              <w:spacing w:after="0" w:line="240" w:lineRule="auto"/>
              <w:rPr>
                <w:rFonts w:ascii="Arial" w:hAnsi="Arial" w:cs="Arial"/>
                <w:szCs w:val="20"/>
              </w:rPr>
            </w:pPr>
            <w:r w:rsidRPr="00AD6E85">
              <w:rPr>
                <w:rFonts w:ascii="Arial" w:hAnsi="Arial" w:cs="Arial"/>
                <w:b/>
                <w:szCs w:val="20"/>
              </w:rPr>
              <w:t>SMP CZ, a.s.</w:t>
            </w:r>
          </w:p>
        </w:tc>
      </w:tr>
      <w:tr w:rsidR="000C7D4C" w:rsidRPr="00AD6E85" w:rsidTr="00FB6698">
        <w:trPr>
          <w:trHeight w:val="291"/>
          <w:jc w:val="center"/>
        </w:trPr>
        <w:tc>
          <w:tcPr>
            <w:tcW w:w="4016" w:type="dxa"/>
            <w:vAlign w:val="center"/>
          </w:tcPr>
          <w:p w:rsidR="000C7D4C" w:rsidRPr="00AD6E85" w:rsidRDefault="000C7D4C" w:rsidP="00FB6698">
            <w:pPr>
              <w:keepNext/>
              <w:spacing w:after="0" w:line="240" w:lineRule="auto"/>
              <w:rPr>
                <w:rFonts w:ascii="Arial" w:hAnsi="Arial" w:cs="Arial"/>
                <w:szCs w:val="20"/>
              </w:rPr>
            </w:pPr>
            <w:r w:rsidRPr="00AD6E85">
              <w:rPr>
                <w:rFonts w:ascii="Arial" w:hAnsi="Arial" w:cs="Arial"/>
                <w:bCs/>
                <w:szCs w:val="20"/>
              </w:rPr>
              <w:t xml:space="preserve">Ing. Jiří </w:t>
            </w:r>
            <w:proofErr w:type="spellStart"/>
            <w:r w:rsidRPr="00AD6E85">
              <w:rPr>
                <w:rFonts w:ascii="Arial" w:hAnsi="Arial" w:cs="Arial"/>
                <w:bCs/>
                <w:szCs w:val="20"/>
              </w:rPr>
              <w:t>Pagáč</w:t>
            </w:r>
            <w:proofErr w:type="spellEnd"/>
            <w:r w:rsidRPr="00AD6E85">
              <w:rPr>
                <w:rFonts w:ascii="Arial" w:hAnsi="Arial" w:cs="Arial"/>
                <w:bCs/>
                <w:szCs w:val="20"/>
              </w:rPr>
              <w:t>, generální ředitel</w:t>
            </w:r>
            <w:r w:rsidRPr="00AD6E85">
              <w:rPr>
                <w:rFonts w:ascii="Arial" w:hAnsi="Arial" w:cs="Arial"/>
                <w:szCs w:val="20"/>
              </w:rPr>
              <w:t xml:space="preserve"> </w:t>
            </w: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B6698">
            <w:pPr>
              <w:keepNext/>
              <w:spacing w:after="0" w:line="240" w:lineRule="auto"/>
              <w:rPr>
                <w:rFonts w:ascii="Arial" w:hAnsi="Arial" w:cs="Arial"/>
                <w:szCs w:val="20"/>
              </w:rPr>
            </w:pPr>
            <w:r w:rsidRPr="00AD6E85">
              <w:rPr>
                <w:rFonts w:ascii="Arial" w:hAnsi="Arial" w:cs="Arial"/>
                <w:szCs w:val="20"/>
              </w:rPr>
              <w:t xml:space="preserve">Ing. Martin </w:t>
            </w:r>
            <w:proofErr w:type="spellStart"/>
            <w:r w:rsidRPr="00AD6E85">
              <w:rPr>
                <w:rFonts w:ascii="Arial" w:hAnsi="Arial" w:cs="Arial"/>
                <w:szCs w:val="20"/>
              </w:rPr>
              <w:t>Doksanský</w:t>
            </w:r>
            <w:proofErr w:type="spellEnd"/>
            <w:r w:rsidRPr="00AD6E85">
              <w:rPr>
                <w:rFonts w:ascii="Arial" w:hAnsi="Arial" w:cs="Arial"/>
                <w:szCs w:val="20"/>
              </w:rPr>
              <w:t>, předseda představenstva</w:t>
            </w:r>
          </w:p>
        </w:tc>
      </w:tr>
      <w:tr w:rsidR="000C7D4C" w:rsidRPr="00AD6E85" w:rsidTr="00FB6698">
        <w:trPr>
          <w:trHeight w:val="291"/>
          <w:jc w:val="center"/>
        </w:trPr>
        <w:tc>
          <w:tcPr>
            <w:tcW w:w="4016" w:type="dxa"/>
            <w:vAlign w:val="center"/>
          </w:tcPr>
          <w:p w:rsidR="000C7D4C" w:rsidRPr="00AD6E85" w:rsidRDefault="000C7D4C" w:rsidP="00FF7870">
            <w:pPr>
              <w:keepNext/>
              <w:spacing w:after="0" w:line="240" w:lineRule="auto"/>
              <w:rPr>
                <w:rFonts w:ascii="Arial" w:hAnsi="Arial" w:cs="Arial"/>
                <w:szCs w:val="20"/>
              </w:rPr>
            </w:pPr>
            <w:r w:rsidRPr="00AD6E85">
              <w:rPr>
                <w:rFonts w:ascii="Arial" w:hAnsi="Arial" w:cs="Arial"/>
                <w:szCs w:val="20"/>
              </w:rPr>
              <w:t>V _</w:t>
            </w:r>
            <w:r w:rsidR="00FF7870">
              <w:rPr>
                <w:rFonts w:ascii="Arial" w:hAnsi="Arial" w:cs="Arial"/>
                <w:szCs w:val="20"/>
              </w:rPr>
              <w:t>Ostravě</w:t>
            </w:r>
            <w:r w:rsidRPr="00AD6E85">
              <w:rPr>
                <w:rFonts w:ascii="Arial" w:hAnsi="Arial" w:cs="Arial"/>
                <w:szCs w:val="20"/>
              </w:rPr>
              <w:t xml:space="preserve">  dne </w:t>
            </w:r>
            <w:proofErr w:type="gramStart"/>
            <w:r w:rsidR="00FF7870">
              <w:rPr>
                <w:rFonts w:ascii="Arial" w:hAnsi="Arial" w:cs="Arial"/>
                <w:szCs w:val="20"/>
              </w:rPr>
              <w:t>7.9.2017</w:t>
            </w:r>
            <w:proofErr w:type="gramEnd"/>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F7870">
            <w:pPr>
              <w:keepNext/>
              <w:spacing w:after="0" w:line="240" w:lineRule="auto"/>
              <w:rPr>
                <w:rFonts w:ascii="Arial" w:hAnsi="Arial" w:cs="Arial"/>
                <w:szCs w:val="20"/>
              </w:rPr>
            </w:pPr>
            <w:r w:rsidRPr="00AD6E85">
              <w:rPr>
                <w:rFonts w:ascii="Arial" w:hAnsi="Arial" w:cs="Arial"/>
                <w:szCs w:val="20"/>
              </w:rPr>
              <w:t>V</w:t>
            </w:r>
            <w:r w:rsidRPr="00AD6E85">
              <w:rPr>
                <w:rFonts w:ascii="Arial" w:hAnsi="Arial" w:cs="Arial"/>
                <w:b/>
                <w:szCs w:val="20"/>
              </w:rPr>
              <w:t xml:space="preserve"> </w:t>
            </w:r>
            <w:r w:rsidR="00FF7870">
              <w:rPr>
                <w:rFonts w:ascii="Arial" w:hAnsi="Arial" w:cs="Arial"/>
                <w:szCs w:val="20"/>
              </w:rPr>
              <w:t xml:space="preserve">Praze </w:t>
            </w:r>
            <w:r w:rsidRPr="00AD6E85">
              <w:rPr>
                <w:rFonts w:ascii="Arial" w:hAnsi="Arial" w:cs="Arial"/>
                <w:szCs w:val="20"/>
              </w:rPr>
              <w:t xml:space="preserve">dne </w:t>
            </w:r>
            <w:proofErr w:type="gramStart"/>
            <w:r w:rsidR="00FF7870">
              <w:rPr>
                <w:rFonts w:ascii="Arial" w:hAnsi="Arial" w:cs="Arial"/>
                <w:szCs w:val="20"/>
              </w:rPr>
              <w:t>31.8.2017</w:t>
            </w:r>
            <w:proofErr w:type="gramEnd"/>
          </w:p>
        </w:tc>
      </w:tr>
      <w:tr w:rsidR="000C7D4C" w:rsidRPr="00AD6E85" w:rsidTr="00FB6698">
        <w:trPr>
          <w:trHeight w:val="291"/>
          <w:jc w:val="center"/>
        </w:trPr>
        <w:tc>
          <w:tcPr>
            <w:tcW w:w="4016" w:type="dxa"/>
            <w:vAlign w:val="center"/>
          </w:tcPr>
          <w:p w:rsidR="000C7D4C" w:rsidRPr="00AD6E85" w:rsidRDefault="000C7D4C" w:rsidP="00FB6698">
            <w:pPr>
              <w:keepNext/>
              <w:spacing w:after="0" w:line="240" w:lineRule="auto"/>
              <w:rPr>
                <w:rFonts w:ascii="Arial" w:hAnsi="Arial" w:cs="Arial"/>
                <w:szCs w:val="20"/>
              </w:rPr>
            </w:pP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B6698">
            <w:pPr>
              <w:keepNext/>
              <w:spacing w:after="0" w:line="240" w:lineRule="auto"/>
              <w:rPr>
                <w:rFonts w:ascii="Arial" w:hAnsi="Arial" w:cs="Arial"/>
                <w:szCs w:val="20"/>
              </w:rPr>
            </w:pPr>
          </w:p>
        </w:tc>
      </w:tr>
      <w:tr w:rsidR="000C7D4C" w:rsidRPr="00AD6E85" w:rsidTr="00FB6698">
        <w:trPr>
          <w:trHeight w:val="74"/>
          <w:jc w:val="center"/>
        </w:trPr>
        <w:tc>
          <w:tcPr>
            <w:tcW w:w="4016" w:type="dxa"/>
            <w:vAlign w:val="center"/>
          </w:tcPr>
          <w:p w:rsidR="000C7D4C" w:rsidRPr="00AD6E85" w:rsidRDefault="000C7D4C" w:rsidP="00FB6698">
            <w:pPr>
              <w:keepNext/>
              <w:spacing w:after="0" w:line="240" w:lineRule="auto"/>
              <w:rPr>
                <w:rFonts w:ascii="Arial" w:hAnsi="Arial" w:cs="Arial"/>
                <w:szCs w:val="20"/>
              </w:rPr>
            </w:pP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B6698">
            <w:pPr>
              <w:keepNext/>
              <w:spacing w:after="0" w:line="240" w:lineRule="auto"/>
              <w:rPr>
                <w:rFonts w:ascii="Arial" w:hAnsi="Arial" w:cs="Arial"/>
                <w:szCs w:val="20"/>
              </w:rPr>
            </w:pPr>
          </w:p>
        </w:tc>
      </w:tr>
      <w:tr w:rsidR="000C7D4C" w:rsidRPr="00AD6E85" w:rsidTr="00FB6698">
        <w:trPr>
          <w:trHeight w:val="74"/>
          <w:jc w:val="center"/>
        </w:trPr>
        <w:tc>
          <w:tcPr>
            <w:tcW w:w="4016" w:type="dxa"/>
            <w:vAlign w:val="center"/>
          </w:tcPr>
          <w:p w:rsidR="000C7D4C" w:rsidRPr="00AD6E85" w:rsidRDefault="000C7D4C" w:rsidP="00FB6698">
            <w:pPr>
              <w:keepNext/>
              <w:spacing w:after="0" w:line="240" w:lineRule="auto"/>
              <w:rPr>
                <w:rFonts w:ascii="Arial" w:hAnsi="Arial" w:cs="Arial"/>
                <w:szCs w:val="20"/>
              </w:rPr>
            </w:pP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B6698">
            <w:pPr>
              <w:keepNext/>
              <w:spacing w:after="0" w:line="240" w:lineRule="auto"/>
              <w:rPr>
                <w:rFonts w:ascii="Arial" w:hAnsi="Arial" w:cs="Arial"/>
                <w:szCs w:val="20"/>
              </w:rPr>
            </w:pPr>
          </w:p>
        </w:tc>
      </w:tr>
      <w:tr w:rsidR="000C7D4C" w:rsidRPr="00AD6E85" w:rsidTr="00FB6698">
        <w:trPr>
          <w:trHeight w:val="291"/>
          <w:jc w:val="center"/>
        </w:trPr>
        <w:tc>
          <w:tcPr>
            <w:tcW w:w="4016" w:type="dxa"/>
            <w:vAlign w:val="center"/>
          </w:tcPr>
          <w:p w:rsidR="000C7D4C" w:rsidRPr="00AD6E85" w:rsidRDefault="000C7D4C" w:rsidP="00FB6698">
            <w:pPr>
              <w:keepNext/>
              <w:spacing w:after="0" w:line="240" w:lineRule="auto"/>
              <w:rPr>
                <w:rFonts w:ascii="Arial" w:hAnsi="Arial" w:cs="Arial"/>
                <w:szCs w:val="20"/>
              </w:rPr>
            </w:pP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B6698">
            <w:pPr>
              <w:keepNext/>
              <w:spacing w:after="0" w:line="240" w:lineRule="auto"/>
              <w:rPr>
                <w:rFonts w:ascii="Arial" w:hAnsi="Arial" w:cs="Arial"/>
                <w:szCs w:val="20"/>
              </w:rPr>
            </w:pPr>
          </w:p>
        </w:tc>
      </w:tr>
      <w:tr w:rsidR="000C7D4C" w:rsidRPr="00AD6E85" w:rsidTr="00FB6698">
        <w:trPr>
          <w:trHeight w:val="291"/>
          <w:jc w:val="center"/>
        </w:trPr>
        <w:tc>
          <w:tcPr>
            <w:tcW w:w="4016" w:type="dxa"/>
            <w:vAlign w:val="center"/>
          </w:tcPr>
          <w:p w:rsidR="000C7D4C" w:rsidRPr="00AD6E85" w:rsidRDefault="000C7D4C" w:rsidP="00FB6698">
            <w:pPr>
              <w:keepNext/>
              <w:spacing w:after="0" w:line="240" w:lineRule="auto"/>
              <w:rPr>
                <w:rFonts w:ascii="Arial" w:hAnsi="Arial" w:cs="Arial"/>
                <w:szCs w:val="20"/>
              </w:rPr>
            </w:pP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B6698">
            <w:pPr>
              <w:keepNext/>
              <w:spacing w:after="0" w:line="240" w:lineRule="auto"/>
              <w:rPr>
                <w:rFonts w:ascii="Arial" w:hAnsi="Arial" w:cs="Arial"/>
                <w:szCs w:val="20"/>
              </w:rPr>
            </w:pPr>
            <w:r w:rsidRPr="00AD6E85">
              <w:rPr>
                <w:rFonts w:ascii="Arial" w:hAnsi="Arial" w:cs="Arial"/>
                <w:b/>
                <w:szCs w:val="20"/>
              </w:rPr>
              <w:t>SMP CZ, a.s.</w:t>
            </w:r>
          </w:p>
        </w:tc>
      </w:tr>
      <w:tr w:rsidR="000C7D4C" w:rsidRPr="00AD6E85" w:rsidTr="00FB6698">
        <w:trPr>
          <w:trHeight w:val="291"/>
          <w:jc w:val="center"/>
        </w:trPr>
        <w:tc>
          <w:tcPr>
            <w:tcW w:w="4016" w:type="dxa"/>
            <w:vAlign w:val="center"/>
          </w:tcPr>
          <w:p w:rsidR="000C7D4C" w:rsidRPr="00AD6E85" w:rsidRDefault="000C7D4C" w:rsidP="00FB6698">
            <w:pPr>
              <w:keepNext/>
              <w:spacing w:after="0" w:line="240" w:lineRule="auto"/>
              <w:rPr>
                <w:rFonts w:ascii="Arial" w:hAnsi="Arial" w:cs="Arial"/>
                <w:szCs w:val="20"/>
              </w:rPr>
            </w:pP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B6698">
            <w:pPr>
              <w:keepNext/>
              <w:spacing w:after="0" w:line="240" w:lineRule="auto"/>
              <w:rPr>
                <w:rFonts w:ascii="Arial" w:hAnsi="Arial" w:cs="Arial"/>
                <w:szCs w:val="20"/>
              </w:rPr>
            </w:pPr>
            <w:proofErr w:type="spellStart"/>
            <w:proofErr w:type="gramStart"/>
            <w:r>
              <w:rPr>
                <w:rFonts w:ascii="Arial" w:hAnsi="Arial" w:cs="Arial"/>
                <w:szCs w:val="20"/>
              </w:rPr>
              <w:t>Ing.Jan</w:t>
            </w:r>
            <w:proofErr w:type="spellEnd"/>
            <w:proofErr w:type="gramEnd"/>
            <w:r>
              <w:rPr>
                <w:rFonts w:ascii="Arial" w:hAnsi="Arial" w:cs="Arial"/>
                <w:szCs w:val="20"/>
              </w:rPr>
              <w:t xml:space="preserve"> </w:t>
            </w:r>
            <w:proofErr w:type="spellStart"/>
            <w:r>
              <w:rPr>
                <w:rFonts w:ascii="Arial" w:hAnsi="Arial" w:cs="Arial"/>
                <w:szCs w:val="20"/>
              </w:rPr>
              <w:t>Freudl</w:t>
            </w:r>
            <w:proofErr w:type="spellEnd"/>
            <w:r w:rsidRPr="00AD6E85">
              <w:rPr>
                <w:rFonts w:ascii="Arial" w:hAnsi="Arial" w:cs="Arial"/>
                <w:szCs w:val="20"/>
              </w:rPr>
              <w:t>, člen představenstva</w:t>
            </w:r>
          </w:p>
        </w:tc>
      </w:tr>
      <w:tr w:rsidR="000C7D4C" w:rsidRPr="00AD6E85" w:rsidTr="00FB6698">
        <w:trPr>
          <w:trHeight w:val="291"/>
          <w:jc w:val="center"/>
        </w:trPr>
        <w:tc>
          <w:tcPr>
            <w:tcW w:w="4016" w:type="dxa"/>
            <w:vAlign w:val="center"/>
          </w:tcPr>
          <w:p w:rsidR="000C7D4C" w:rsidRPr="00AD6E85" w:rsidRDefault="000C7D4C" w:rsidP="00FB6698">
            <w:pPr>
              <w:keepNext/>
              <w:spacing w:after="0" w:line="240" w:lineRule="auto"/>
              <w:rPr>
                <w:rFonts w:ascii="Arial" w:hAnsi="Arial" w:cs="Arial"/>
                <w:szCs w:val="20"/>
              </w:rPr>
            </w:pPr>
          </w:p>
        </w:tc>
        <w:tc>
          <w:tcPr>
            <w:tcW w:w="567" w:type="dxa"/>
            <w:vAlign w:val="center"/>
          </w:tcPr>
          <w:p w:rsidR="000C7D4C" w:rsidRPr="00AD6E85" w:rsidRDefault="000C7D4C" w:rsidP="00FB6698">
            <w:pPr>
              <w:keepNext/>
              <w:spacing w:after="0" w:line="240" w:lineRule="auto"/>
              <w:rPr>
                <w:rFonts w:ascii="Arial" w:hAnsi="Arial" w:cs="Arial"/>
                <w:szCs w:val="20"/>
              </w:rPr>
            </w:pPr>
          </w:p>
        </w:tc>
        <w:tc>
          <w:tcPr>
            <w:tcW w:w="4299" w:type="dxa"/>
            <w:vAlign w:val="center"/>
          </w:tcPr>
          <w:p w:rsidR="000C7D4C" w:rsidRPr="00AD6E85" w:rsidRDefault="000C7D4C" w:rsidP="00FF7870">
            <w:pPr>
              <w:keepNext/>
              <w:spacing w:after="0" w:line="240" w:lineRule="auto"/>
              <w:rPr>
                <w:rFonts w:ascii="Arial" w:hAnsi="Arial" w:cs="Arial"/>
                <w:szCs w:val="20"/>
              </w:rPr>
            </w:pPr>
            <w:r w:rsidRPr="00AD6E85">
              <w:rPr>
                <w:rFonts w:ascii="Arial" w:hAnsi="Arial" w:cs="Arial"/>
                <w:szCs w:val="20"/>
              </w:rPr>
              <w:t>V</w:t>
            </w:r>
            <w:r w:rsidRPr="00AD6E85">
              <w:rPr>
                <w:rFonts w:ascii="Arial" w:hAnsi="Arial" w:cs="Arial"/>
                <w:b/>
                <w:szCs w:val="20"/>
              </w:rPr>
              <w:t xml:space="preserve"> </w:t>
            </w:r>
            <w:r w:rsidR="00FF7870">
              <w:rPr>
                <w:rFonts w:ascii="Arial" w:hAnsi="Arial" w:cs="Arial"/>
                <w:szCs w:val="20"/>
              </w:rPr>
              <w:t xml:space="preserve">Praze </w:t>
            </w:r>
            <w:r w:rsidRPr="00AD6E85">
              <w:rPr>
                <w:rFonts w:ascii="Arial" w:hAnsi="Arial" w:cs="Arial"/>
                <w:szCs w:val="20"/>
              </w:rPr>
              <w:t xml:space="preserve">dne </w:t>
            </w:r>
            <w:proofErr w:type="gramStart"/>
            <w:r w:rsidR="00FF7870">
              <w:rPr>
                <w:rFonts w:ascii="Arial" w:hAnsi="Arial" w:cs="Arial"/>
                <w:szCs w:val="20"/>
              </w:rPr>
              <w:t>31.8.2017</w:t>
            </w:r>
            <w:proofErr w:type="gramEnd"/>
          </w:p>
        </w:tc>
      </w:tr>
    </w:tbl>
    <w:p w:rsidR="000C7D4C" w:rsidRPr="00AD6E85" w:rsidRDefault="000C7D4C" w:rsidP="000C7D4C">
      <w:pPr>
        <w:pStyle w:val="Bezmezer"/>
        <w:keepNext/>
        <w:tabs>
          <w:tab w:val="left" w:pos="0"/>
        </w:tabs>
        <w:jc w:val="both"/>
        <w:rPr>
          <w:rFonts w:ascii="Arial" w:hAnsi="Arial" w:cs="Arial"/>
          <w:sz w:val="20"/>
          <w:szCs w:val="18"/>
        </w:rPr>
      </w:pPr>
    </w:p>
    <w:p w:rsidR="002C2AC2" w:rsidRDefault="000C7D4C" w:rsidP="000C7D4C">
      <w:pPr>
        <w:pStyle w:val="Bezmezer"/>
        <w:tabs>
          <w:tab w:val="left" w:pos="2700"/>
        </w:tabs>
        <w:ind w:left="2700" w:hanging="2700"/>
        <w:jc w:val="both"/>
      </w:pPr>
      <w:r w:rsidRPr="00AD6E85">
        <w:rPr>
          <w:rFonts w:ascii="Arial" w:hAnsi="Arial" w:cs="Arial"/>
          <w:sz w:val="20"/>
          <w:szCs w:val="18"/>
        </w:rPr>
        <w:tab/>
      </w:r>
    </w:p>
    <w:sectPr w:rsidR="002C2AC2" w:rsidSect="0060563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166" w:rsidRDefault="00045166" w:rsidP="00F87DD8">
      <w:pPr>
        <w:spacing w:after="0" w:line="240" w:lineRule="auto"/>
      </w:pPr>
      <w:r>
        <w:separator/>
      </w:r>
    </w:p>
  </w:endnote>
  <w:endnote w:type="continuationSeparator" w:id="0">
    <w:p w:rsidR="00045166" w:rsidRDefault="00045166" w:rsidP="00F87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C6" w:rsidRDefault="0004516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5D" w:rsidRPr="001A3E73" w:rsidRDefault="00F87DD8">
    <w:pPr>
      <w:pStyle w:val="Zpat"/>
      <w:jc w:val="center"/>
      <w:rPr>
        <w:rFonts w:ascii="Arial" w:hAnsi="Arial" w:cs="Arial"/>
        <w:sz w:val="22"/>
        <w:szCs w:val="22"/>
      </w:rPr>
    </w:pPr>
    <w:r w:rsidRPr="001A3E73">
      <w:rPr>
        <w:rFonts w:ascii="Arial" w:hAnsi="Arial" w:cs="Arial"/>
        <w:sz w:val="22"/>
        <w:szCs w:val="22"/>
      </w:rPr>
      <w:fldChar w:fldCharType="begin"/>
    </w:r>
    <w:r w:rsidR="000C7D4C" w:rsidRPr="001A3E73">
      <w:rPr>
        <w:rFonts w:ascii="Arial" w:hAnsi="Arial" w:cs="Arial"/>
        <w:sz w:val="22"/>
        <w:szCs w:val="22"/>
      </w:rPr>
      <w:instrText xml:space="preserve"> PAGE   \* MERGEFORMAT </w:instrText>
    </w:r>
    <w:r w:rsidRPr="001A3E73">
      <w:rPr>
        <w:rFonts w:ascii="Arial" w:hAnsi="Arial" w:cs="Arial"/>
        <w:sz w:val="22"/>
        <w:szCs w:val="22"/>
      </w:rPr>
      <w:fldChar w:fldCharType="separate"/>
    </w:r>
    <w:r w:rsidR="00FF7870">
      <w:rPr>
        <w:rFonts w:ascii="Arial" w:hAnsi="Arial" w:cs="Arial"/>
        <w:noProof/>
        <w:sz w:val="22"/>
        <w:szCs w:val="22"/>
      </w:rPr>
      <w:t>1</w:t>
    </w:r>
    <w:r w:rsidRPr="001A3E73">
      <w:rPr>
        <w:rFonts w:ascii="Arial" w:hAnsi="Arial"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C6" w:rsidRDefault="0004516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166" w:rsidRDefault="00045166" w:rsidP="00F87DD8">
      <w:pPr>
        <w:spacing w:after="0" w:line="240" w:lineRule="auto"/>
      </w:pPr>
      <w:r>
        <w:separator/>
      </w:r>
    </w:p>
  </w:footnote>
  <w:footnote w:type="continuationSeparator" w:id="0">
    <w:p w:rsidR="00045166" w:rsidRDefault="00045166" w:rsidP="00F87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C6" w:rsidRDefault="00045166">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6BF" w:rsidRDefault="00045166" w:rsidP="00D726BF">
    <w:pPr>
      <w:pStyle w:val="Zhlav"/>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C6" w:rsidRDefault="0004516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1C49"/>
    <w:multiLevelType w:val="multilevel"/>
    <w:tmpl w:val="B4EA1954"/>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26427AE2"/>
    <w:multiLevelType w:val="hybridMultilevel"/>
    <w:tmpl w:val="72906CB6"/>
    <w:lvl w:ilvl="0" w:tplc="04050013">
      <w:start w:val="1"/>
      <w:numFmt w:val="upperRoman"/>
      <w:lvlText w:val="%1."/>
      <w:lvlJc w:val="right"/>
      <w:pPr>
        <w:tabs>
          <w:tab w:val="num" w:pos="357"/>
        </w:tabs>
        <w:ind w:left="340" w:firstLine="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04050019">
      <w:start w:val="1"/>
      <w:numFmt w:val="lowerLetter"/>
      <w:lvlText w:val="%4."/>
      <w:lvlJc w:val="left"/>
      <w:pPr>
        <w:tabs>
          <w:tab w:val="num" w:pos="785"/>
        </w:tabs>
        <w:ind w:left="785"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D8D23F0"/>
    <w:multiLevelType w:val="multilevel"/>
    <w:tmpl w:val="17740F06"/>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59991D85"/>
    <w:multiLevelType w:val="multilevel"/>
    <w:tmpl w:val="17740F06"/>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785F1FE4"/>
    <w:multiLevelType w:val="multilevel"/>
    <w:tmpl w:val="84C27398"/>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C7D4C"/>
    <w:rsid w:val="00045166"/>
    <w:rsid w:val="000C7D4C"/>
    <w:rsid w:val="002C2AC2"/>
    <w:rsid w:val="00500272"/>
    <w:rsid w:val="00F87DD8"/>
    <w:rsid w:val="00FF787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7D4C"/>
    <w:pPr>
      <w:spacing w:after="200" w:line="276" w:lineRule="auto"/>
      <w:ind w:left="0"/>
      <w:jc w:val="left"/>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0C7D4C"/>
    <w:pPr>
      <w:spacing w:after="0"/>
      <w:ind w:left="0"/>
      <w:jc w:val="left"/>
    </w:pPr>
    <w:rPr>
      <w:rFonts w:ascii="Calibri" w:eastAsia="Calibri" w:hAnsi="Calibri" w:cs="Times New Roman"/>
    </w:rPr>
  </w:style>
  <w:style w:type="character" w:customStyle="1" w:styleId="BezmezerChar">
    <w:name w:val="Bez mezer Char"/>
    <w:link w:val="Bezmezer"/>
    <w:uiPriority w:val="1"/>
    <w:rsid w:val="000C7D4C"/>
    <w:rPr>
      <w:rFonts w:ascii="Calibri" w:eastAsia="Calibri" w:hAnsi="Calibri" w:cs="Times New Roman"/>
    </w:rPr>
  </w:style>
  <w:style w:type="paragraph" w:styleId="Zhlav">
    <w:name w:val="header"/>
    <w:basedOn w:val="Normln"/>
    <w:link w:val="ZhlavChar"/>
    <w:uiPriority w:val="99"/>
    <w:unhideWhenUsed/>
    <w:rsid w:val="000C7D4C"/>
    <w:pPr>
      <w:tabs>
        <w:tab w:val="center" w:pos="4536"/>
        <w:tab w:val="right" w:pos="9072"/>
      </w:tabs>
    </w:pPr>
    <w:rPr>
      <w:sz w:val="20"/>
      <w:szCs w:val="20"/>
    </w:rPr>
  </w:style>
  <w:style w:type="character" w:customStyle="1" w:styleId="ZhlavChar">
    <w:name w:val="Záhlaví Char"/>
    <w:basedOn w:val="Standardnpsmoodstavce"/>
    <w:link w:val="Zhlav"/>
    <w:uiPriority w:val="99"/>
    <w:rsid w:val="000C7D4C"/>
    <w:rPr>
      <w:rFonts w:ascii="Calibri" w:eastAsia="Calibri" w:hAnsi="Calibri" w:cs="Times New Roman"/>
      <w:sz w:val="20"/>
      <w:szCs w:val="20"/>
    </w:rPr>
  </w:style>
  <w:style w:type="paragraph" w:styleId="Zpat">
    <w:name w:val="footer"/>
    <w:basedOn w:val="Normln"/>
    <w:link w:val="ZpatChar"/>
    <w:uiPriority w:val="99"/>
    <w:unhideWhenUsed/>
    <w:rsid w:val="000C7D4C"/>
    <w:pPr>
      <w:tabs>
        <w:tab w:val="center" w:pos="4536"/>
        <w:tab w:val="right" w:pos="9072"/>
      </w:tabs>
    </w:pPr>
    <w:rPr>
      <w:sz w:val="20"/>
      <w:szCs w:val="20"/>
    </w:rPr>
  </w:style>
  <w:style w:type="character" w:customStyle="1" w:styleId="ZpatChar">
    <w:name w:val="Zápatí Char"/>
    <w:basedOn w:val="Standardnpsmoodstavce"/>
    <w:link w:val="Zpat"/>
    <w:uiPriority w:val="99"/>
    <w:rsid w:val="000C7D4C"/>
    <w:rPr>
      <w:rFonts w:ascii="Calibri" w:eastAsia="Calibri" w:hAnsi="Calibri" w:cs="Times New Roman"/>
      <w:sz w:val="20"/>
      <w:szCs w:val="20"/>
    </w:rPr>
  </w:style>
  <w:style w:type="character" w:styleId="Odkaznakoment">
    <w:name w:val="annotation reference"/>
    <w:semiHidden/>
    <w:rsid w:val="000C7D4C"/>
    <w:rPr>
      <w:sz w:val="16"/>
      <w:szCs w:val="16"/>
    </w:rPr>
  </w:style>
  <w:style w:type="paragraph" w:styleId="Textkomente">
    <w:name w:val="annotation text"/>
    <w:basedOn w:val="Normln"/>
    <w:link w:val="TextkomenteChar"/>
    <w:semiHidden/>
    <w:rsid w:val="000C7D4C"/>
    <w:rPr>
      <w:sz w:val="20"/>
      <w:szCs w:val="20"/>
    </w:rPr>
  </w:style>
  <w:style w:type="character" w:customStyle="1" w:styleId="TextkomenteChar">
    <w:name w:val="Text komentáře Char"/>
    <w:basedOn w:val="Standardnpsmoodstavce"/>
    <w:link w:val="Textkomente"/>
    <w:semiHidden/>
    <w:rsid w:val="000C7D4C"/>
    <w:rPr>
      <w:rFonts w:ascii="Calibri" w:eastAsia="Calibri" w:hAnsi="Calibri" w:cs="Times New Roman"/>
      <w:sz w:val="20"/>
      <w:szCs w:val="20"/>
    </w:rPr>
  </w:style>
  <w:style w:type="paragraph" w:styleId="Odstavecseseznamem">
    <w:name w:val="List Paragraph"/>
    <w:basedOn w:val="Normln"/>
    <w:uiPriority w:val="34"/>
    <w:qFormat/>
    <w:rsid w:val="000C7D4C"/>
    <w:pPr>
      <w:ind w:left="708"/>
    </w:pPr>
  </w:style>
  <w:style w:type="paragraph" w:styleId="Textbubliny">
    <w:name w:val="Balloon Text"/>
    <w:basedOn w:val="Normln"/>
    <w:link w:val="TextbublinyChar"/>
    <w:uiPriority w:val="99"/>
    <w:semiHidden/>
    <w:unhideWhenUsed/>
    <w:rsid w:val="000C7D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D4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215EA-7E9F-4F76-8602-BEA62676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1082</Words>
  <Characters>6390</Characters>
  <Application>Microsoft Office Word</Application>
  <DocSecurity>0</DocSecurity>
  <Lines>53</Lines>
  <Paragraphs>14</Paragraphs>
  <ScaleCrop>false</ScaleCrop>
  <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2</cp:revision>
  <dcterms:created xsi:type="dcterms:W3CDTF">2017-09-26T06:06:00Z</dcterms:created>
  <dcterms:modified xsi:type="dcterms:W3CDTF">2017-09-26T06:06:00Z</dcterms:modified>
</cp:coreProperties>
</file>