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MU-ISOIS/89998/2017/557952/CZS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240</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2017-2019</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S.Seifullin Kazakh Aro Technical University</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S.Seifullin Kazakh Aro Technical University</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KATU</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S.Seifullin Kazakh Aro Technical University</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Kazakhstan</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Astana</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www.kazatu.kz</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www.kazatu.kz</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Astana</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Astana</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KATU</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Russian</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Advanced (C1) for English for students</w:t>
              <w:br/>
              <w:t>Advanced (C1) for English for staff</w:t>
              <w:br/>
              <w:t>Mastery or proficiency (C2) for Russian for students</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KATU</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KATU</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KATU</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KATU</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September</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 February</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KATU</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45</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2</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http://cic.muni.cz/images/files/Incoming/Student/practicalities/_Grading_system_at_MU-new.pdf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KATU</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www.kazatu.kz</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http://cic.muni.cz/en/left-incoming-mobility/incoming-student/incoming-student-practicalities/85-incoming-mobility/student/393-incoming-student-practicalities-visa</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KATU</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www.kazatu.kz</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http://cic.muni.cz/en/left-incoming-mobility/incoming-student/incoming-student-preparatorycourses/85-incoming-mobility/student/394-incoming-student-practicalities-insurance</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KATU</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www.kazatu.kz</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http://cic.muni.cz/en/left-incoming-mobility/incoming-student/incoming-student-preparatorycourses/85-incoming-mobility/student/395-incoming-student-practicalities-accommodation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KATU</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www.kazatu.kz</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S.Seifullin Kazakh Aro Technical University</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Astana</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Kazakhstan</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