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78B8" w14:textId="77777777" w:rsidR="0048117A" w:rsidRDefault="005B1212">
      <w:pPr>
        <w:spacing w:after="204" w:line="259" w:lineRule="auto"/>
        <w:ind w:left="29"/>
        <w:jc w:val="center"/>
      </w:pPr>
      <w:r>
        <w:rPr>
          <w:u w:val="single" w:color="000000"/>
        </w:rPr>
        <w:t>SMLOUVA O UMĚLECKÉM VÝKONU</w:t>
      </w:r>
    </w:p>
    <w:p w14:paraId="3942194A" w14:textId="77777777" w:rsidR="0048117A" w:rsidRDefault="005B1212">
      <w:pPr>
        <w:spacing w:after="0" w:line="259" w:lineRule="auto"/>
        <w:ind w:left="33" w:hanging="10"/>
        <w:jc w:val="left"/>
      </w:pPr>
      <w:proofErr w:type="spellStart"/>
      <w:r>
        <w:rPr>
          <w:sz w:val="24"/>
        </w:rPr>
        <w:t>Název</w:t>
      </w:r>
      <w:proofErr w:type="spellEnd"/>
      <w:r>
        <w:rPr>
          <w:sz w:val="24"/>
        </w:rPr>
        <w:t xml:space="preserve">: Kino 99 </w:t>
      </w:r>
      <w:proofErr w:type="spellStart"/>
      <w:r>
        <w:rPr>
          <w:sz w:val="24"/>
        </w:rPr>
        <w:t>Kolín</w:t>
      </w:r>
      <w:proofErr w:type="spellEnd"/>
    </w:p>
    <w:p w14:paraId="37D0FBD5" w14:textId="77777777" w:rsidR="0048117A" w:rsidRDefault="005B1212">
      <w:pPr>
        <w:spacing w:after="29"/>
        <w:ind w:left="33" w:right="14"/>
      </w:pPr>
      <w:proofErr w:type="spellStart"/>
      <w:r>
        <w:t>Sídlo</w:t>
      </w:r>
      <w:proofErr w:type="spellEnd"/>
      <w:r>
        <w:t xml:space="preserve">: Kino 99 </w:t>
      </w:r>
      <w:proofErr w:type="spellStart"/>
      <w:r>
        <w:t>Kolín</w:t>
      </w:r>
      <w:proofErr w:type="spellEnd"/>
      <w:r>
        <w:t xml:space="preserve">, </w:t>
      </w:r>
      <w:proofErr w:type="spellStart"/>
      <w:r>
        <w:t>Smetanova</w:t>
      </w:r>
      <w:proofErr w:type="spellEnd"/>
      <w:r>
        <w:t xml:space="preserve"> 764, </w:t>
      </w:r>
      <w:proofErr w:type="spellStart"/>
      <w:r>
        <w:t>Kolín</w:t>
      </w:r>
      <w:proofErr w:type="spellEnd"/>
      <w:r>
        <w:t xml:space="preserve"> IV., 280 02</w:t>
      </w:r>
    </w:p>
    <w:p w14:paraId="6759ECF3" w14:textId="77777777" w:rsidR="0048117A" w:rsidRDefault="005B1212">
      <w:pPr>
        <w:spacing w:after="29"/>
        <w:ind w:left="33" w:right="14"/>
      </w:pPr>
      <w:r>
        <w:t>IČO: 00353566</w:t>
      </w:r>
    </w:p>
    <w:p w14:paraId="7FE4068E" w14:textId="1B73E3D0" w:rsidR="0048117A" w:rsidRDefault="005B1212">
      <w:pPr>
        <w:spacing w:after="802"/>
        <w:ind w:left="33" w:right="6293"/>
      </w:pPr>
      <w:proofErr w:type="spellStart"/>
      <w:r>
        <w:t>Kontaktní</w:t>
      </w:r>
      <w:proofErr w:type="spellEnd"/>
      <w:r>
        <w:t xml:space="preserve"> </w:t>
      </w:r>
      <w:proofErr w:type="spellStart"/>
      <w:proofErr w:type="gramStart"/>
      <w:r>
        <w:t>osoba</w:t>
      </w:r>
      <w:proofErr w:type="spellEnd"/>
      <w:r>
        <w:t xml:space="preserve"> :</w:t>
      </w:r>
      <w:proofErr w:type="gramEnd"/>
      <w:r>
        <w:t xml:space="preserve"> Petr Hejcman </w:t>
      </w:r>
      <w:proofErr w:type="gramStart"/>
      <w:r>
        <w:t>email</w:t>
      </w:r>
      <w:proofErr w:type="gramEnd"/>
      <w:r w:rsidR="000A2E96" w:rsidRPr="000A2E96">
        <w:rPr>
          <w:highlight w:val="black"/>
        </w:rPr>
        <w:t>………………….</w:t>
      </w: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Producent</w:t>
      </w:r>
      <w:proofErr w:type="spellEnd"/>
      <w:r>
        <w:t>”)</w:t>
      </w:r>
    </w:p>
    <w:p w14:paraId="69DC8572" w14:textId="0FB123AA" w:rsidR="0048117A" w:rsidRDefault="005B1212">
      <w:pPr>
        <w:spacing w:after="0"/>
        <w:ind w:left="33" w:right="5026"/>
      </w:pPr>
      <w:r>
        <w:t xml:space="preserve">Patrik Ulrich - STUDIO INSPIRATIV se </w:t>
      </w:r>
      <w:proofErr w:type="spellStart"/>
      <w:r>
        <w:t>sídlem</w:t>
      </w:r>
      <w:proofErr w:type="spellEnd"/>
      <w:r>
        <w:t xml:space="preserve">: Pardubice 530 03 </w:t>
      </w:r>
    </w:p>
    <w:p w14:paraId="4BF85D06" w14:textId="0EC870D6" w:rsidR="0048117A" w:rsidRDefault="005B1212">
      <w:pPr>
        <w:spacing w:after="412" w:line="322" w:lineRule="auto"/>
        <w:ind w:left="33" w:right="1963"/>
      </w:pPr>
      <w:proofErr w:type="spellStart"/>
      <w:r>
        <w:t>č.ú</w:t>
      </w:r>
      <w:proofErr w:type="spellEnd"/>
      <w:r w:rsidR="000A2E96" w:rsidRPr="000A2E96">
        <w:rPr>
          <w:highlight w:val="black"/>
        </w:rPr>
        <w:t>……………………….</w:t>
      </w: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Umělec</w:t>
      </w:r>
      <w:proofErr w:type="spellEnd"/>
      <w:r>
        <w:t xml:space="preserve">")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>”):</w:t>
      </w:r>
      <w:r>
        <w:rPr>
          <w:noProof/>
        </w:rPr>
        <w:drawing>
          <wp:inline distT="0" distB="0" distL="0" distR="0" wp14:anchorId="796D6F53" wp14:editId="7654B650">
            <wp:extent cx="3048" cy="6098"/>
            <wp:effectExtent l="0" t="0" r="0" b="0"/>
            <wp:docPr id="1373" name="Picture 1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" name="Picture 13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59DA1" w14:textId="77777777" w:rsidR="0048117A" w:rsidRDefault="005B1212">
      <w:pPr>
        <w:spacing w:after="0" w:line="259" w:lineRule="auto"/>
        <w:ind w:left="58" w:right="58" w:hanging="10"/>
        <w:jc w:val="center"/>
      </w:pPr>
      <w:proofErr w:type="spellStart"/>
      <w:r>
        <w:rPr>
          <w:sz w:val="24"/>
        </w:rPr>
        <w:t>Článek</w:t>
      </w:r>
      <w:proofErr w:type="spellEnd"/>
      <w:r>
        <w:rPr>
          <w:sz w:val="24"/>
        </w:rPr>
        <w:t xml:space="preserve"> l.</w:t>
      </w:r>
    </w:p>
    <w:p w14:paraId="624CD2EC" w14:textId="77777777" w:rsidR="0048117A" w:rsidRDefault="005B1212">
      <w:pPr>
        <w:spacing w:after="244" w:line="259" w:lineRule="auto"/>
        <w:ind w:left="58" w:right="48" w:hanging="10"/>
        <w:jc w:val="center"/>
      </w:pP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</w:p>
    <w:p w14:paraId="384492BC" w14:textId="77777777" w:rsidR="0048117A" w:rsidRDefault="005B1212">
      <w:pPr>
        <w:spacing w:after="47"/>
        <w:ind w:left="383" w:right="14" w:hanging="350"/>
      </w:pPr>
      <w:r>
        <w:t xml:space="preserve">1.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umělecký</w:t>
      </w:r>
      <w:proofErr w:type="spellEnd"/>
      <w:r>
        <w:t xml:space="preserve">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—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hudebního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- </w:t>
      </w:r>
      <w:proofErr w:type="spellStart"/>
      <w:r>
        <w:t>koncertu</w:t>
      </w:r>
      <w:proofErr w:type="spellEnd"/>
      <w:r>
        <w:t xml:space="preserve"> </w:t>
      </w:r>
      <w:proofErr w:type="spellStart"/>
      <w:r>
        <w:t>osobně</w:t>
      </w:r>
      <w:proofErr w:type="spellEnd"/>
      <w:r>
        <w:t xml:space="preserve"> a </w:t>
      </w:r>
      <w:proofErr w:type="spellStart"/>
      <w:r>
        <w:t>veřejně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„</w:t>
      </w:r>
      <w:proofErr w:type="spellStart"/>
      <w:r>
        <w:t>Dílo</w:t>
      </w:r>
      <w:proofErr w:type="spellEnd"/>
      <w:r>
        <w:t xml:space="preserve">”). Za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zaplatí</w:t>
      </w:r>
      <w:proofErr w:type="spellEnd"/>
      <w:r>
        <w:t xml:space="preserve"> </w:t>
      </w:r>
      <w:proofErr w:type="spellStart"/>
      <w:r>
        <w:t>Producent</w:t>
      </w:r>
      <w:proofErr w:type="spellEnd"/>
      <w:r>
        <w:t xml:space="preserve"> </w:t>
      </w:r>
      <w:proofErr w:type="spellStart"/>
      <w:r>
        <w:t>Umělci</w:t>
      </w:r>
      <w:proofErr w:type="spellEnd"/>
      <w:r>
        <w:t xml:space="preserve"> </w:t>
      </w:r>
      <w:proofErr w:type="spellStart"/>
      <w:r>
        <w:t>odměnu</w:t>
      </w:r>
      <w:proofErr w:type="spellEnd"/>
      <w:r>
        <w:t>.</w:t>
      </w:r>
    </w:p>
    <w:tbl>
      <w:tblPr>
        <w:tblStyle w:val="TableGrid"/>
        <w:tblW w:w="8328" w:type="dxa"/>
        <w:tblInd w:w="5" w:type="dxa"/>
        <w:tblCellMar>
          <w:bottom w:w="13" w:type="dxa"/>
        </w:tblCellMar>
        <w:tblLook w:val="04A0" w:firstRow="1" w:lastRow="0" w:firstColumn="1" w:lastColumn="0" w:noHBand="0" w:noVBand="1"/>
      </w:tblPr>
      <w:tblGrid>
        <w:gridCol w:w="355"/>
        <w:gridCol w:w="1670"/>
        <w:gridCol w:w="6303"/>
      </w:tblGrid>
      <w:tr w:rsidR="0048117A" w14:paraId="5224E435" w14:textId="77777777">
        <w:trPr>
          <w:trHeight w:val="353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9BDF876" w14:textId="77777777" w:rsidR="0048117A" w:rsidRDefault="005B1212">
            <w:pPr>
              <w:spacing w:after="0" w:line="259" w:lineRule="auto"/>
              <w:ind w:left="10"/>
              <w:jc w:val="left"/>
            </w:pPr>
            <w:r>
              <w:t>2.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14:paraId="47F18941" w14:textId="77777777" w:rsidR="0048117A" w:rsidRDefault="005B1212">
            <w:pPr>
              <w:spacing w:after="0" w:line="259" w:lineRule="auto"/>
              <w:ind w:left="19"/>
              <w:jc w:val="left"/>
            </w:pPr>
            <w:r>
              <w:rPr>
                <w:sz w:val="24"/>
              </w:rPr>
              <w:t xml:space="preserve">Datum a </w:t>
            </w:r>
            <w:proofErr w:type="spellStart"/>
            <w:r>
              <w:rPr>
                <w:sz w:val="24"/>
              </w:rPr>
              <w:t>čas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</w:tcPr>
          <w:p w14:paraId="182B59E8" w14:textId="77777777" w:rsidR="0048117A" w:rsidRDefault="005B1212">
            <w:pPr>
              <w:spacing w:after="0" w:line="259" w:lineRule="auto"/>
              <w:ind w:left="125"/>
              <w:jc w:val="left"/>
            </w:pPr>
            <w:r>
              <w:t>20.10.2025, 19.00</w:t>
            </w:r>
          </w:p>
        </w:tc>
      </w:tr>
      <w:tr w:rsidR="0048117A" w14:paraId="3F3C9E1B" w14:textId="77777777">
        <w:trPr>
          <w:trHeight w:val="629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3B7AB" w14:textId="77777777" w:rsidR="0048117A" w:rsidRDefault="005B1212">
            <w:pPr>
              <w:spacing w:after="0" w:line="259" w:lineRule="auto"/>
              <w:ind w:left="10"/>
              <w:jc w:val="left"/>
            </w:pPr>
            <w:r>
              <w:rPr>
                <w:sz w:val="24"/>
              </w:rPr>
              <w:t>3.</w:t>
            </w:r>
          </w:p>
          <w:p w14:paraId="62BA02F8" w14:textId="77777777" w:rsidR="0048117A" w:rsidRDefault="005B1212">
            <w:pPr>
              <w:spacing w:after="0" w:line="259" w:lineRule="auto"/>
              <w:ind w:left="0"/>
              <w:jc w:val="left"/>
            </w:pPr>
            <w:r>
              <w:rPr>
                <w:sz w:val="24"/>
              </w:rPr>
              <w:t>4.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14:paraId="1510DB02" w14:textId="77777777" w:rsidR="0048117A" w:rsidRDefault="005B1212">
            <w:pPr>
              <w:spacing w:after="0" w:line="259" w:lineRule="auto"/>
              <w:ind w:left="19"/>
              <w:jc w:val="left"/>
            </w:pPr>
            <w:proofErr w:type="spellStart"/>
            <w:r>
              <w:rPr>
                <w:sz w:val="24"/>
              </w:rPr>
              <w:t>Místo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konání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E9951" w14:textId="77777777" w:rsidR="0048117A" w:rsidRDefault="005B1212">
            <w:pPr>
              <w:spacing w:after="0" w:line="259" w:lineRule="auto"/>
              <w:ind w:left="130"/>
              <w:jc w:val="left"/>
            </w:pPr>
            <w:r>
              <w:rPr>
                <w:sz w:val="24"/>
              </w:rPr>
              <w:t xml:space="preserve">Kino 99 </w:t>
            </w:r>
            <w:proofErr w:type="spellStart"/>
            <w:r>
              <w:rPr>
                <w:sz w:val="24"/>
              </w:rPr>
              <w:t>Kolín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Smetanova</w:t>
            </w:r>
            <w:proofErr w:type="spellEnd"/>
            <w:r>
              <w:rPr>
                <w:sz w:val="24"/>
              </w:rPr>
              <w:t xml:space="preserve"> 764, </w:t>
            </w:r>
            <w:proofErr w:type="spellStart"/>
            <w:r>
              <w:rPr>
                <w:sz w:val="24"/>
              </w:rPr>
              <w:t>Kolín</w:t>
            </w:r>
            <w:proofErr w:type="spellEnd"/>
            <w:r>
              <w:rPr>
                <w:sz w:val="24"/>
              </w:rPr>
              <w:t xml:space="preserve"> IV, 280 02</w:t>
            </w:r>
          </w:p>
        </w:tc>
      </w:tr>
      <w:tr w:rsidR="0048117A" w14:paraId="01660085" w14:textId="77777777">
        <w:trPr>
          <w:trHeight w:val="407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138A37F2" w14:textId="77777777" w:rsidR="0048117A" w:rsidRDefault="005B1212">
            <w:pPr>
              <w:spacing w:after="0" w:line="259" w:lineRule="auto"/>
              <w:ind w:left="10"/>
              <w:jc w:val="left"/>
            </w:pPr>
            <w:r>
              <w:t>5.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14:paraId="3890F2FD" w14:textId="77777777" w:rsidR="0048117A" w:rsidRDefault="005B1212">
            <w:pPr>
              <w:spacing w:after="0" w:line="259" w:lineRule="auto"/>
              <w:ind w:left="19"/>
              <w:jc w:val="left"/>
            </w:pPr>
            <w:proofErr w:type="spellStart"/>
            <w:r>
              <w:rPr>
                <w:sz w:val="24"/>
              </w:rPr>
              <w:t>Program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</w:tcPr>
          <w:p w14:paraId="2BC6B6F8" w14:textId="77777777" w:rsidR="0048117A" w:rsidRDefault="005B1212">
            <w:pPr>
              <w:spacing w:after="0" w:line="259" w:lineRule="auto"/>
              <w:ind w:left="120"/>
              <w:jc w:val="left"/>
            </w:pPr>
            <w:r>
              <w:rPr>
                <w:sz w:val="24"/>
              </w:rPr>
              <w:t xml:space="preserve">ŠANSONÁRIUM - </w:t>
            </w:r>
            <w:proofErr w:type="spellStart"/>
            <w:r>
              <w:rPr>
                <w:sz w:val="24"/>
              </w:rPr>
              <w:t>písňový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koncert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texty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Miloně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Čepelky</w:t>
            </w:r>
            <w:proofErr w:type="spellEnd"/>
          </w:p>
        </w:tc>
      </w:tr>
      <w:tr w:rsidR="0048117A" w14:paraId="6F3DC175" w14:textId="77777777">
        <w:trPr>
          <w:trHeight w:val="37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E992D" w14:textId="77777777" w:rsidR="0048117A" w:rsidRDefault="005B1212">
            <w:pPr>
              <w:spacing w:after="0" w:line="259" w:lineRule="auto"/>
              <w:ind w:left="5"/>
              <w:jc w:val="left"/>
            </w:pPr>
            <w:r>
              <w:rPr>
                <w:sz w:val="24"/>
              </w:rPr>
              <w:t>6.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7294B" w14:textId="77777777" w:rsidR="0048117A" w:rsidRDefault="005B1212">
            <w:pPr>
              <w:spacing w:after="0" w:line="259" w:lineRule="auto"/>
              <w:ind w:left="19"/>
              <w:jc w:val="left"/>
            </w:pPr>
            <w:proofErr w:type="spellStart"/>
            <w:r>
              <w:rPr>
                <w:sz w:val="24"/>
              </w:rPr>
              <w:t>Účinkující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7EE4D" w14:textId="77777777" w:rsidR="0048117A" w:rsidRDefault="005B1212">
            <w:pPr>
              <w:spacing w:after="0" w:line="259" w:lineRule="auto"/>
              <w:ind w:left="130"/>
              <w:jc w:val="left"/>
            </w:pPr>
            <w:r>
              <w:rPr>
                <w:sz w:val="24"/>
              </w:rPr>
              <w:t xml:space="preserve">Petra Tenorová, </w:t>
            </w:r>
            <w:proofErr w:type="spellStart"/>
            <w:r>
              <w:rPr>
                <w:sz w:val="24"/>
              </w:rPr>
              <w:t>zpěv</w:t>
            </w:r>
            <w:proofErr w:type="spellEnd"/>
            <w:r>
              <w:rPr>
                <w:sz w:val="24"/>
              </w:rPr>
              <w:t xml:space="preserve"> / /P. Ulrich, </w:t>
            </w:r>
            <w:proofErr w:type="spellStart"/>
            <w:r>
              <w:rPr>
                <w:sz w:val="24"/>
              </w:rPr>
              <w:t>klavír</w:t>
            </w:r>
            <w:proofErr w:type="spellEnd"/>
            <w:r>
              <w:rPr>
                <w:sz w:val="24"/>
              </w:rPr>
              <w:t xml:space="preserve"> / M. </w:t>
            </w:r>
            <w:proofErr w:type="spellStart"/>
            <w:r>
              <w:rPr>
                <w:sz w:val="24"/>
              </w:rPr>
              <w:t>Čepelka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mluvené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slovo</w:t>
            </w:r>
            <w:proofErr w:type="spellEnd"/>
          </w:p>
        </w:tc>
      </w:tr>
    </w:tbl>
    <w:p w14:paraId="2F339C44" w14:textId="77777777" w:rsidR="0048117A" w:rsidRDefault="005B1212">
      <w:pPr>
        <w:spacing w:after="0" w:line="259" w:lineRule="auto"/>
        <w:ind w:left="58" w:right="72" w:hanging="10"/>
        <w:jc w:val="center"/>
      </w:pPr>
      <w:proofErr w:type="spellStart"/>
      <w:r>
        <w:rPr>
          <w:sz w:val="24"/>
        </w:rPr>
        <w:t>Článek</w:t>
      </w:r>
      <w:proofErr w:type="spellEnd"/>
      <w:r>
        <w:rPr>
          <w:sz w:val="24"/>
        </w:rPr>
        <w:t xml:space="preserve"> II.</w:t>
      </w:r>
    </w:p>
    <w:p w14:paraId="69FEB2CB" w14:textId="77777777" w:rsidR="0048117A" w:rsidRDefault="005B1212">
      <w:pPr>
        <w:spacing w:after="251" w:line="259" w:lineRule="auto"/>
        <w:ind w:left="58" w:right="72" w:hanging="10"/>
        <w:jc w:val="center"/>
      </w:pPr>
      <w:proofErr w:type="spellStart"/>
      <w:r>
        <w:rPr>
          <w:sz w:val="24"/>
        </w:rPr>
        <w:t>Odměna</w:t>
      </w:r>
      <w:proofErr w:type="spellEnd"/>
    </w:p>
    <w:p w14:paraId="6B1E0AA2" w14:textId="77777777" w:rsidR="0048117A" w:rsidRDefault="005B1212">
      <w:pPr>
        <w:numPr>
          <w:ilvl w:val="0"/>
          <w:numId w:val="1"/>
        </w:numPr>
        <w:spacing w:after="129"/>
        <w:ind w:right="14" w:hanging="360"/>
      </w:pPr>
      <w:r>
        <w:t xml:space="preserve">Za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a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a </w:t>
      </w:r>
      <w:proofErr w:type="spellStart"/>
      <w:r>
        <w:t>licence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náleží</w:t>
      </w:r>
      <w:proofErr w:type="spellEnd"/>
      <w:r>
        <w:t xml:space="preserve"> </w:t>
      </w:r>
      <w:proofErr w:type="spellStart"/>
      <w:r>
        <w:t>Umělci</w:t>
      </w:r>
      <w:proofErr w:type="spellEnd"/>
      <w:r>
        <w:t xml:space="preserve"> </w:t>
      </w:r>
      <w:proofErr w:type="spellStart"/>
      <w:r>
        <w:t>odměna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80% </w:t>
      </w:r>
      <w:proofErr w:type="spellStart"/>
      <w:r>
        <w:t>ze</w:t>
      </w:r>
      <w:proofErr w:type="spellEnd"/>
      <w:r>
        <w:t xml:space="preserve"> </w:t>
      </w:r>
      <w:proofErr w:type="spellStart"/>
      <w:r>
        <w:t>vstupného</w:t>
      </w:r>
      <w:proofErr w:type="spellEnd"/>
      <w:r>
        <w:t xml:space="preserve"> na </w:t>
      </w:r>
      <w:proofErr w:type="spellStart"/>
      <w:r>
        <w:t>představení</w:t>
      </w:r>
      <w:proofErr w:type="spellEnd"/>
      <w:r>
        <w:t xml:space="preserve"> </w:t>
      </w:r>
      <w:proofErr w:type="spellStart"/>
      <w:r>
        <w:t>pořadu</w:t>
      </w:r>
      <w:proofErr w:type="spellEnd"/>
      <w:r>
        <w:t xml:space="preserve"> </w:t>
      </w:r>
      <w:proofErr w:type="spellStart"/>
      <w:r>
        <w:t>Šansonárium.Vstupné</w:t>
      </w:r>
      <w:proofErr w:type="spellEnd"/>
      <w:r>
        <w:t xml:space="preserve"> na </w:t>
      </w:r>
      <w:proofErr w:type="spellStart"/>
      <w:r>
        <w:t>představení</w:t>
      </w:r>
      <w:proofErr w:type="spellEnd"/>
      <w:r>
        <w:t xml:space="preserve"> je </w:t>
      </w:r>
      <w:proofErr w:type="spellStart"/>
      <w:r>
        <w:t>stanoveno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300,-. ZTP i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na 50% </w:t>
      </w:r>
      <w:proofErr w:type="spellStart"/>
      <w:r>
        <w:t>slevu</w:t>
      </w:r>
      <w:proofErr w:type="spellEnd"/>
      <w:r>
        <w:t>.</w:t>
      </w:r>
    </w:p>
    <w:p w14:paraId="7A8AD079" w14:textId="77777777" w:rsidR="0048117A" w:rsidRDefault="005B1212">
      <w:pPr>
        <w:numPr>
          <w:ilvl w:val="0"/>
          <w:numId w:val="1"/>
        </w:numPr>
        <w:ind w:right="14" w:hanging="360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uhrazena</w:t>
      </w:r>
      <w:proofErr w:type="spellEnd"/>
      <w:r>
        <w:t xml:space="preserve"> </w:t>
      </w:r>
      <w:proofErr w:type="spellStart"/>
      <w:r>
        <w:t>Umělci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vystaví</w:t>
      </w:r>
      <w:proofErr w:type="spellEnd"/>
      <w:r>
        <w:t xml:space="preserve"> </w:t>
      </w:r>
      <w:proofErr w:type="spellStart"/>
      <w:r>
        <w:t>umělec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hotovosti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s </w:t>
      </w:r>
      <w:proofErr w:type="spellStart"/>
      <w:r>
        <w:t>producentem</w:t>
      </w:r>
      <w:proofErr w:type="spellEnd"/>
      <w:r>
        <w:t>.</w:t>
      </w:r>
    </w:p>
    <w:p w14:paraId="3A6CBA41" w14:textId="77777777" w:rsidR="0048117A" w:rsidRDefault="005B1212">
      <w:pPr>
        <w:numPr>
          <w:ilvl w:val="0"/>
          <w:numId w:val="1"/>
        </w:numPr>
        <w:ind w:right="14" w:hanging="360"/>
      </w:pPr>
      <w:r>
        <w:t xml:space="preserve">V </w:t>
      </w:r>
      <w:proofErr w:type="spellStart"/>
      <w:r>
        <w:t>dohodnuté</w:t>
      </w:r>
      <w:proofErr w:type="spellEnd"/>
      <w:r>
        <w:t xml:space="preserve">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zahrnuty</w:t>
      </w:r>
      <w:proofErr w:type="spellEnd"/>
      <w:r>
        <w:t xml:space="preserve"> i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provedením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cestovní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, </w:t>
      </w:r>
      <w:proofErr w:type="spellStart"/>
      <w:r>
        <w:t>náklady</w:t>
      </w:r>
      <w:proofErr w:type="spellEnd"/>
      <w:r>
        <w:t xml:space="preserve"> na </w:t>
      </w:r>
      <w:proofErr w:type="spellStart"/>
      <w:r>
        <w:t>notový</w:t>
      </w:r>
      <w:proofErr w:type="spellEnd"/>
      <w:r>
        <w:t xml:space="preserve"> </w:t>
      </w:r>
      <w:proofErr w:type="spellStart"/>
      <w:r>
        <w:t>materiál</w:t>
      </w:r>
      <w:proofErr w:type="spellEnd"/>
      <w:r>
        <w:t xml:space="preserve"> </w:t>
      </w:r>
      <w:proofErr w:type="spellStart"/>
      <w:r>
        <w:t>atd</w:t>
      </w:r>
      <w:proofErr w:type="spellEnd"/>
      <w:r>
        <w:t>.)</w:t>
      </w:r>
    </w:p>
    <w:p w14:paraId="783212AC" w14:textId="77777777" w:rsidR="0048117A" w:rsidRDefault="005B1212">
      <w:pPr>
        <w:numPr>
          <w:ilvl w:val="0"/>
          <w:numId w:val="1"/>
        </w:numPr>
        <w:spacing w:after="1373"/>
        <w:ind w:right="14" w:hanging="360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zájmu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je </w:t>
      </w:r>
      <w:proofErr w:type="spellStart"/>
      <w:r>
        <w:t>producent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ubytování</w:t>
      </w:r>
      <w:proofErr w:type="spellEnd"/>
      <w:r>
        <w:t xml:space="preserve"> v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koncertu</w:t>
      </w:r>
      <w:proofErr w:type="spellEnd"/>
      <w:r>
        <w:rPr>
          <w:noProof/>
        </w:rPr>
        <w:drawing>
          <wp:inline distT="0" distB="0" distL="0" distR="0" wp14:anchorId="2AE3224F" wp14:editId="66A8054B">
            <wp:extent cx="30480" cy="36586"/>
            <wp:effectExtent l="0" t="0" r="0" b="0"/>
            <wp:docPr id="11912" name="Picture 11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2" name="Picture 119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34021" w14:textId="77777777" w:rsidR="0048117A" w:rsidRDefault="005B1212">
      <w:pPr>
        <w:pStyle w:val="Nadpis1"/>
        <w:ind w:left="53" w:right="67"/>
      </w:pPr>
      <w:r>
        <w:t>-1—</w:t>
      </w:r>
    </w:p>
    <w:p w14:paraId="7BBFFE56" w14:textId="77777777" w:rsidR="0048117A" w:rsidRDefault="005B1212">
      <w:pPr>
        <w:spacing w:after="0" w:line="259" w:lineRule="auto"/>
        <w:ind w:left="58" w:right="5" w:hanging="10"/>
        <w:jc w:val="center"/>
      </w:pPr>
      <w:proofErr w:type="spellStart"/>
      <w:r>
        <w:rPr>
          <w:sz w:val="24"/>
        </w:rPr>
        <w:t>Článek</w:t>
      </w:r>
      <w:proofErr w:type="spellEnd"/>
      <w:r>
        <w:rPr>
          <w:sz w:val="24"/>
        </w:rPr>
        <w:t xml:space="preserve"> Ill.</w:t>
      </w:r>
    </w:p>
    <w:p w14:paraId="0F8D2CF8" w14:textId="77777777" w:rsidR="0048117A" w:rsidRDefault="005B1212">
      <w:pPr>
        <w:spacing w:after="226" w:line="259" w:lineRule="auto"/>
        <w:ind w:left="58" w:hanging="10"/>
        <w:jc w:val="center"/>
      </w:pP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</w:p>
    <w:p w14:paraId="3602E629" w14:textId="77777777" w:rsidR="0048117A" w:rsidRDefault="005B1212">
      <w:pPr>
        <w:numPr>
          <w:ilvl w:val="0"/>
          <w:numId w:val="2"/>
        </w:numPr>
        <w:ind w:right="14" w:hanging="370"/>
      </w:pPr>
      <w:proofErr w:type="spellStart"/>
      <w:r>
        <w:lastRenderedPageBreak/>
        <w:t>Producent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Umělci</w:t>
      </w:r>
      <w:proofErr w:type="spellEnd"/>
      <w:r>
        <w:t xml:space="preserve"> 6 </w:t>
      </w:r>
      <w:proofErr w:type="spellStart"/>
      <w:r>
        <w:t>volných</w:t>
      </w:r>
      <w:proofErr w:type="spellEnd"/>
      <w:r>
        <w:t xml:space="preserve"> </w:t>
      </w:r>
      <w:proofErr w:type="spellStart"/>
      <w:r>
        <w:t>vstupenek</w:t>
      </w:r>
      <w:proofErr w:type="spellEnd"/>
      <w:r>
        <w:t xml:space="preserve"> na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koncert</w:t>
      </w:r>
      <w:proofErr w:type="spellEnd"/>
      <w:r>
        <w:t>.</w:t>
      </w:r>
    </w:p>
    <w:p w14:paraId="284471FC" w14:textId="77777777" w:rsidR="0048117A" w:rsidRDefault="005B1212">
      <w:pPr>
        <w:numPr>
          <w:ilvl w:val="0"/>
          <w:numId w:val="2"/>
        </w:numPr>
        <w:ind w:right="14" w:hanging="370"/>
      </w:pPr>
      <w:proofErr w:type="spellStart"/>
      <w:r>
        <w:t>Umělec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k </w:t>
      </w:r>
      <w:proofErr w:type="spellStart"/>
      <w:r>
        <w:t>dodržování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specifikovaného</w:t>
      </w:r>
      <w:proofErr w:type="spellEnd"/>
      <w:r>
        <w:t xml:space="preserve"> </w:t>
      </w:r>
      <w:proofErr w:type="spellStart"/>
      <w:r>
        <w:t>harmonogramu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obzvláště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na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s </w:t>
      </w:r>
      <w:proofErr w:type="spellStart"/>
      <w:r>
        <w:t>dostatečným</w:t>
      </w:r>
      <w:proofErr w:type="spellEnd"/>
      <w:r>
        <w:t xml:space="preserve"> </w:t>
      </w:r>
      <w:proofErr w:type="spellStart"/>
      <w:r>
        <w:t>předstihem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</w:t>
      </w:r>
      <w:proofErr w:type="spellStart"/>
      <w:r>
        <w:t>aby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připraven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smluveném</w:t>
      </w:r>
      <w:proofErr w:type="spellEnd"/>
      <w:r>
        <w:t xml:space="preserve"> </w:t>
      </w:r>
      <w:proofErr w:type="spellStart"/>
      <w:r>
        <w:t>čase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jiném</w:t>
      </w:r>
      <w:proofErr w:type="spellEnd"/>
      <w:r>
        <w:t xml:space="preserve"> </w:t>
      </w:r>
      <w:proofErr w:type="spellStart"/>
      <w:r>
        <w:t>čase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. </w:t>
      </w:r>
      <w:proofErr w:type="spellStart"/>
      <w:r>
        <w:t>Umělec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postupovat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interpretačními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zhotoveno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tvůrci</w:t>
      </w:r>
      <w:proofErr w:type="spellEnd"/>
      <w:r>
        <w:t>.</w:t>
      </w:r>
    </w:p>
    <w:p w14:paraId="64D5A823" w14:textId="77777777" w:rsidR="0048117A" w:rsidRDefault="005B1212">
      <w:pPr>
        <w:numPr>
          <w:ilvl w:val="0"/>
          <w:numId w:val="2"/>
        </w:numPr>
        <w:ind w:right="14" w:hanging="370"/>
      </w:pPr>
      <w:proofErr w:type="spellStart"/>
      <w:r>
        <w:t>Umělec</w:t>
      </w:r>
      <w:proofErr w:type="spellEnd"/>
      <w:r>
        <w:t xml:space="preserve"> </w:t>
      </w:r>
      <w:proofErr w:type="spellStart"/>
      <w:r>
        <w:t>zaručuje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vázán</w:t>
      </w:r>
      <w:proofErr w:type="spellEnd"/>
      <w:r>
        <w:t xml:space="preserve"> </w:t>
      </w:r>
      <w:proofErr w:type="spellStart"/>
      <w:r>
        <w:t>žádnou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vylučovala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nepřiměřeně</w:t>
      </w:r>
      <w:proofErr w:type="spellEnd"/>
      <w:r>
        <w:t xml:space="preserve"> </w:t>
      </w:r>
      <w:proofErr w:type="spellStart"/>
      <w:r>
        <w:t>ztěžovala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neuzavře</w:t>
      </w:r>
      <w:proofErr w:type="spellEnd"/>
      <w:r>
        <w:t xml:space="preserve"> </w:t>
      </w:r>
      <w:proofErr w:type="spellStart"/>
      <w:r>
        <w:t>žádnou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nepřijme</w:t>
      </w:r>
      <w:proofErr w:type="spellEnd"/>
      <w:r>
        <w:t xml:space="preserve"> </w:t>
      </w:r>
      <w:proofErr w:type="spellStart"/>
      <w:r>
        <w:t>jakýkoli</w:t>
      </w:r>
      <w:proofErr w:type="spellEnd"/>
      <w:r>
        <w:t xml:space="preserve"> </w:t>
      </w:r>
      <w:proofErr w:type="spellStart"/>
      <w:r>
        <w:t>jiný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bránil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ohrozil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Producent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vytvořit</w:t>
      </w:r>
      <w:proofErr w:type="spellEnd"/>
      <w:r>
        <w:t xml:space="preserve">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pro </w:t>
      </w:r>
      <w:proofErr w:type="spellStart"/>
      <w:r>
        <w:t>vytváření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standardům</w:t>
      </w:r>
      <w:proofErr w:type="spellEnd"/>
      <w:r>
        <w:t xml:space="preserve"> </w:t>
      </w:r>
      <w:proofErr w:type="spellStart"/>
      <w:r>
        <w:t>profesionální</w:t>
      </w:r>
      <w:proofErr w:type="spellEnd"/>
      <w:r>
        <w:t xml:space="preserve"> </w:t>
      </w:r>
      <w:proofErr w:type="spellStart"/>
      <w:r>
        <w:t>tvorby</w:t>
      </w:r>
      <w:proofErr w:type="spellEnd"/>
      <w:r>
        <w:t xml:space="preserve">. </w:t>
      </w:r>
      <w:proofErr w:type="spellStart"/>
      <w:r>
        <w:t>Producent</w:t>
      </w:r>
      <w:proofErr w:type="spellEnd"/>
      <w:r>
        <w:t xml:space="preserve"> </w:t>
      </w:r>
      <w:proofErr w:type="spellStart"/>
      <w:r>
        <w:t>neodpovídá</w:t>
      </w:r>
      <w:proofErr w:type="spellEnd"/>
      <w:r>
        <w:t xml:space="preserve"> </w:t>
      </w:r>
      <w:proofErr w:type="spellStart"/>
      <w:r>
        <w:t>Umělci</w:t>
      </w:r>
      <w:proofErr w:type="spellEnd"/>
      <w:r>
        <w:t xml:space="preserve"> </w:t>
      </w:r>
      <w:proofErr w:type="spellStart"/>
      <w:r>
        <w:t>zaviněné</w:t>
      </w:r>
      <w:proofErr w:type="spellEnd"/>
      <w:r>
        <w:t xml:space="preserve"> </w:t>
      </w:r>
      <w:proofErr w:type="spellStart"/>
      <w:r>
        <w:t>ztráty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újmy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na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členů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hudebních</w:t>
      </w:r>
      <w:proofErr w:type="spellEnd"/>
      <w:r>
        <w:t xml:space="preserve"> </w:t>
      </w:r>
      <w:proofErr w:type="spellStart"/>
      <w:r>
        <w:t>nástrojů</w:t>
      </w:r>
      <w:proofErr w:type="spellEnd"/>
      <w:r>
        <w:t xml:space="preserve">)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Producenta</w:t>
      </w:r>
      <w:proofErr w:type="spellEnd"/>
      <w:r>
        <w:t xml:space="preserve">, </w:t>
      </w:r>
      <w:proofErr w:type="spellStart"/>
      <w:r>
        <w:t>utrpěné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ním</w:t>
      </w:r>
      <w:proofErr w:type="spellEnd"/>
      <w:r>
        <w:t>.</w:t>
      </w:r>
    </w:p>
    <w:p w14:paraId="73A02D83" w14:textId="77777777" w:rsidR="0048117A" w:rsidRDefault="005B1212">
      <w:pPr>
        <w:numPr>
          <w:ilvl w:val="0"/>
          <w:numId w:val="2"/>
        </w:numPr>
        <w:ind w:right="14" w:hanging="370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producent</w:t>
      </w:r>
      <w:proofErr w:type="spellEnd"/>
      <w:r>
        <w:t xml:space="preserve"> </w:t>
      </w:r>
      <w:proofErr w:type="spellStart"/>
      <w:r>
        <w:t>obstará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profesionální</w:t>
      </w:r>
      <w:proofErr w:type="spellEnd"/>
      <w:r>
        <w:t xml:space="preserve"> </w:t>
      </w:r>
      <w:proofErr w:type="spellStart"/>
      <w:r>
        <w:t>nazvučení</w:t>
      </w:r>
      <w:proofErr w:type="spellEnd"/>
      <w:r>
        <w:t xml:space="preserve"> a </w:t>
      </w:r>
      <w:proofErr w:type="spellStart"/>
      <w:r>
        <w:t>nasvícení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. </w:t>
      </w:r>
      <w:proofErr w:type="spellStart"/>
      <w:r>
        <w:t>Producent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v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hudební</w:t>
      </w:r>
      <w:proofErr w:type="spellEnd"/>
      <w:r>
        <w:t xml:space="preserve"> </w:t>
      </w:r>
      <w:proofErr w:type="spellStart"/>
      <w:r>
        <w:t>nástroj</w:t>
      </w:r>
      <w:proofErr w:type="spellEnd"/>
      <w:r>
        <w:t xml:space="preserve"> — </w:t>
      </w:r>
      <w:proofErr w:type="spellStart"/>
      <w:r>
        <w:t>klavír</w:t>
      </w:r>
      <w:proofErr w:type="spellEnd"/>
      <w:r>
        <w:t xml:space="preserve"> (</w:t>
      </w:r>
      <w:proofErr w:type="spellStart"/>
      <w:r>
        <w:t>koncertní</w:t>
      </w:r>
      <w:proofErr w:type="spellEnd"/>
      <w:r>
        <w:t xml:space="preserve"> </w:t>
      </w:r>
      <w:proofErr w:type="spellStart"/>
      <w:r>
        <w:t>křídlo</w:t>
      </w:r>
      <w:proofErr w:type="spellEnd"/>
      <w:r>
        <w:t xml:space="preserve">, </w:t>
      </w:r>
      <w:proofErr w:type="spellStart"/>
      <w:r>
        <w:t>pianino</w:t>
      </w:r>
      <w:proofErr w:type="spellEnd"/>
      <w:r>
        <w:t xml:space="preserve">,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klávesy</w:t>
      </w:r>
      <w:proofErr w:type="spellEnd"/>
      <w:r>
        <w:t xml:space="preserve">), </w:t>
      </w:r>
      <w:proofErr w:type="spellStart"/>
      <w:r>
        <w:t>není</w:t>
      </w:r>
      <w:proofErr w:type="spellEnd"/>
      <w:r>
        <w:t xml:space="preserve">-li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sjednáno</w:t>
      </w:r>
      <w:proofErr w:type="spellEnd"/>
      <w:r>
        <w:t xml:space="preserve"> </w:t>
      </w:r>
      <w:proofErr w:type="spellStart"/>
      <w:r>
        <w:t>jinak</w:t>
      </w:r>
      <w:proofErr w:type="spellEnd"/>
      <w:r>
        <w:t>.</w:t>
      </w:r>
    </w:p>
    <w:p w14:paraId="62FF02E2" w14:textId="77777777" w:rsidR="0048117A" w:rsidRDefault="005B1212">
      <w:pPr>
        <w:numPr>
          <w:ilvl w:val="0"/>
          <w:numId w:val="2"/>
        </w:numPr>
        <w:ind w:right="14" w:hanging="370"/>
      </w:pPr>
      <w:proofErr w:type="spellStart"/>
      <w:r>
        <w:t>Umělec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fotografie</w:t>
      </w:r>
      <w:proofErr w:type="spellEnd"/>
      <w:r>
        <w:t xml:space="preserve">, </w:t>
      </w:r>
      <w:proofErr w:type="spellStart"/>
      <w:r>
        <w:t>životopisné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propagace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plakáty</w:t>
      </w:r>
      <w:proofErr w:type="spellEnd"/>
      <w:r>
        <w:t xml:space="preserve">, </w:t>
      </w:r>
      <w:proofErr w:type="spellStart"/>
      <w:r>
        <w:t>hudební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audiovizuální</w:t>
      </w:r>
      <w:proofErr w:type="spellEnd"/>
      <w:r>
        <w:t xml:space="preserve"> </w:t>
      </w:r>
      <w:proofErr w:type="spellStart"/>
      <w:r>
        <w:t>nahrávky</w:t>
      </w:r>
      <w:proofErr w:type="spellEnd"/>
      <w:r>
        <w:t xml:space="preserve">. </w:t>
      </w:r>
      <w:proofErr w:type="spellStart"/>
      <w:r>
        <w:t>Umělec</w:t>
      </w:r>
      <w:proofErr w:type="spellEnd"/>
      <w:r>
        <w:t xml:space="preserve"> </w:t>
      </w:r>
      <w:proofErr w:type="spellStart"/>
      <w:r>
        <w:t>uděluje</w:t>
      </w:r>
      <w:proofErr w:type="spellEnd"/>
      <w:r>
        <w:t xml:space="preserve"> </w:t>
      </w:r>
      <w:proofErr w:type="spellStart"/>
      <w:r>
        <w:t>Producentovi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s </w:t>
      </w:r>
      <w:proofErr w:type="spellStart"/>
      <w:r>
        <w:t>pořízením</w:t>
      </w:r>
      <w:proofErr w:type="spellEnd"/>
      <w:r>
        <w:t xml:space="preserve"> </w:t>
      </w:r>
      <w:proofErr w:type="spellStart"/>
      <w:r>
        <w:t>fotografií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obrazových</w:t>
      </w:r>
      <w:proofErr w:type="spellEnd"/>
      <w:r>
        <w:t xml:space="preserve">, </w:t>
      </w:r>
      <w:proofErr w:type="spellStart"/>
      <w:r>
        <w:t>zvukových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zvukově</w:t>
      </w:r>
      <w:proofErr w:type="spellEnd"/>
      <w:r>
        <w:t xml:space="preserve"> </w:t>
      </w:r>
      <w:proofErr w:type="spellStart"/>
      <w:r>
        <w:t>obrazových</w:t>
      </w:r>
      <w:proofErr w:type="spellEnd"/>
      <w:r>
        <w:t xml:space="preserve"> </w:t>
      </w:r>
      <w:proofErr w:type="spellStart"/>
      <w:r>
        <w:t>záznamů</w:t>
      </w:r>
      <w:proofErr w:type="spellEnd"/>
      <w:r>
        <w:t xml:space="preserve"> </w:t>
      </w:r>
      <w:proofErr w:type="spellStart"/>
      <w:r>
        <w:t>projevů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povahy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a s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užitím</w:t>
      </w:r>
      <w:proofErr w:type="spellEnd"/>
      <w:r>
        <w:t xml:space="preserve"> v </w:t>
      </w:r>
      <w:proofErr w:type="spellStart"/>
      <w:r>
        <w:t>televizním</w:t>
      </w:r>
      <w:proofErr w:type="spellEnd"/>
      <w:r>
        <w:t xml:space="preserve"> a </w:t>
      </w:r>
      <w:proofErr w:type="spellStart"/>
      <w:r>
        <w:t>rozhlasovém</w:t>
      </w:r>
      <w:proofErr w:type="spellEnd"/>
      <w:r>
        <w:t xml:space="preserve"> </w:t>
      </w:r>
      <w:proofErr w:type="spellStart"/>
      <w:r>
        <w:t>vysílání</w:t>
      </w:r>
      <w:proofErr w:type="spellEnd"/>
      <w:r>
        <w:t xml:space="preserve">, na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v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médiích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pro </w:t>
      </w:r>
      <w:proofErr w:type="spellStart"/>
      <w:r>
        <w:t>zpravodajské</w:t>
      </w:r>
      <w:proofErr w:type="spellEnd"/>
      <w:r>
        <w:t xml:space="preserve">, </w:t>
      </w:r>
      <w:proofErr w:type="spellStart"/>
      <w:r>
        <w:t>propagační</w:t>
      </w:r>
      <w:proofErr w:type="spellEnd"/>
      <w:r>
        <w:t xml:space="preserve"> a </w:t>
      </w:r>
      <w:proofErr w:type="spellStart"/>
      <w:r>
        <w:t>marketingové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, </w:t>
      </w:r>
      <w:proofErr w:type="spellStart"/>
      <w:r>
        <w:t>nikoliv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komerční</w:t>
      </w:r>
      <w:proofErr w:type="spellEnd"/>
      <w:r>
        <w:t>.</w:t>
      </w:r>
    </w:p>
    <w:p w14:paraId="6C1E8186" w14:textId="77777777" w:rsidR="0048117A" w:rsidRDefault="005B1212">
      <w:pPr>
        <w:numPr>
          <w:ilvl w:val="0"/>
          <w:numId w:val="2"/>
        </w:numPr>
        <w:spacing w:after="502"/>
        <w:ind w:right="14" w:hanging="370"/>
      </w:pPr>
      <w:proofErr w:type="spellStart"/>
      <w:r>
        <w:t>Producent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Umělci</w:t>
      </w:r>
      <w:proofErr w:type="spellEnd"/>
      <w:r>
        <w:t xml:space="preserve"> </w:t>
      </w:r>
      <w:proofErr w:type="spellStart"/>
      <w:r>
        <w:t>občerstvení</w:t>
      </w:r>
      <w:proofErr w:type="spellEnd"/>
      <w:r>
        <w:t xml:space="preserve"> a </w:t>
      </w:r>
      <w:proofErr w:type="spellStart"/>
      <w:r>
        <w:t>nápoje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uměleckého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rPr>
          <w:noProof/>
        </w:rPr>
        <w:drawing>
          <wp:inline distT="0" distB="0" distL="0" distR="0" wp14:anchorId="56DFEADB" wp14:editId="6741C0E0">
            <wp:extent cx="24384" cy="24391"/>
            <wp:effectExtent l="0" t="0" r="0" b="0"/>
            <wp:docPr id="3910" name="Picture 3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" name="Picture 39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BE152" w14:textId="77777777" w:rsidR="0048117A" w:rsidRDefault="005B1212">
      <w:pPr>
        <w:spacing w:after="0" w:line="259" w:lineRule="auto"/>
        <w:ind w:left="58" w:right="19" w:hanging="10"/>
        <w:jc w:val="center"/>
      </w:pPr>
      <w:proofErr w:type="spellStart"/>
      <w:r>
        <w:rPr>
          <w:sz w:val="24"/>
        </w:rPr>
        <w:t>Článek</w:t>
      </w:r>
      <w:proofErr w:type="spellEnd"/>
      <w:r>
        <w:rPr>
          <w:sz w:val="24"/>
        </w:rPr>
        <w:t xml:space="preserve"> IV.</w:t>
      </w:r>
    </w:p>
    <w:p w14:paraId="04DFF982" w14:textId="77777777" w:rsidR="0048117A" w:rsidRDefault="005B1212">
      <w:pPr>
        <w:spacing w:after="219" w:line="259" w:lineRule="auto"/>
        <w:ind w:left="58" w:hanging="10"/>
        <w:jc w:val="center"/>
      </w:pP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ujednání</w:t>
      </w:r>
      <w:proofErr w:type="spellEnd"/>
    </w:p>
    <w:p w14:paraId="1F73A73A" w14:textId="77777777" w:rsidR="0048117A" w:rsidRDefault="005B1212">
      <w:pPr>
        <w:numPr>
          <w:ilvl w:val="0"/>
          <w:numId w:val="3"/>
        </w:numPr>
        <w:ind w:right="14" w:hanging="35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Producent</w:t>
      </w:r>
      <w:proofErr w:type="spellEnd"/>
      <w:r>
        <w:t xml:space="preserve"> z </w:t>
      </w:r>
      <w:proofErr w:type="spellStart"/>
      <w:r>
        <w:t>důvodů</w:t>
      </w:r>
      <w:proofErr w:type="spellEnd"/>
      <w:r>
        <w:t xml:space="preserve"> na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odvolá</w:t>
      </w:r>
      <w:proofErr w:type="spellEnd"/>
      <w:r>
        <w:t xml:space="preserve"> </w:t>
      </w:r>
      <w:proofErr w:type="spellStart"/>
      <w:r>
        <w:t>pořádání</w:t>
      </w:r>
      <w:proofErr w:type="spellEnd"/>
      <w:r>
        <w:t xml:space="preserve"> </w:t>
      </w:r>
      <w:proofErr w:type="spellStart"/>
      <w:r>
        <w:t>předmětného</w:t>
      </w:r>
      <w:proofErr w:type="spellEnd"/>
      <w:r>
        <w:t xml:space="preserve"> </w:t>
      </w:r>
      <w:proofErr w:type="spellStart"/>
      <w:r>
        <w:t>koncertu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kratší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1 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sjednaným</w:t>
      </w:r>
      <w:proofErr w:type="spellEnd"/>
      <w:r>
        <w:t xml:space="preserve"> </w:t>
      </w:r>
      <w:proofErr w:type="spellStart"/>
      <w:r>
        <w:t>termínem</w:t>
      </w:r>
      <w:proofErr w:type="spellEnd"/>
      <w:r>
        <w:t xml:space="preserve">,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Umělci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50% </w:t>
      </w:r>
      <w:proofErr w:type="spellStart"/>
      <w:r>
        <w:t>částky</w:t>
      </w:r>
      <w:proofErr w:type="spellEnd"/>
      <w:r>
        <w:t xml:space="preserve">; </w:t>
      </w:r>
      <w:proofErr w:type="spellStart"/>
      <w:r>
        <w:t>Umělec</w:t>
      </w:r>
      <w:proofErr w:type="spellEnd"/>
      <w:r>
        <w:t xml:space="preserve">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na </w:t>
      </w:r>
      <w:proofErr w:type="spellStart"/>
      <w:r>
        <w:t>jakoukoli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 </w:t>
      </w:r>
      <w:proofErr w:type="spellStart"/>
      <w:r>
        <w:t>úplatu</w:t>
      </w:r>
      <w:proofErr w:type="spellEnd"/>
      <w:r>
        <w:t>.</w:t>
      </w:r>
    </w:p>
    <w:p w14:paraId="32E31BFC" w14:textId="77777777" w:rsidR="0048117A" w:rsidRDefault="005B1212">
      <w:pPr>
        <w:numPr>
          <w:ilvl w:val="0"/>
          <w:numId w:val="3"/>
        </w:numPr>
        <w:spacing w:after="3062"/>
        <w:ind w:right="14" w:hanging="350"/>
      </w:pPr>
      <w:proofErr w:type="spellStart"/>
      <w:r>
        <w:t>Každá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je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pro </w:t>
      </w:r>
      <w:proofErr w:type="spellStart"/>
      <w:r>
        <w:t>nepředvídatelné</w:t>
      </w:r>
      <w:proofErr w:type="spellEnd"/>
      <w:r>
        <w:t xml:space="preserve"> </w:t>
      </w:r>
      <w:proofErr w:type="spellStart"/>
      <w:r>
        <w:t>okolnosti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nastaly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zavinění</w:t>
      </w:r>
      <w:proofErr w:type="spellEnd"/>
      <w:r>
        <w:t xml:space="preserve"> a pro </w:t>
      </w:r>
      <w:proofErr w:type="spellStart"/>
      <w:r>
        <w:t>něž</w:t>
      </w:r>
      <w:proofErr w:type="spellEnd"/>
      <w:r>
        <w:t xml:space="preserve"> na </w:t>
      </w:r>
      <w:proofErr w:type="spellStart"/>
      <w:r>
        <w:t>ní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spravedlivě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Důvody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oznámeny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, </w:t>
      </w:r>
      <w:proofErr w:type="spellStart"/>
      <w:r>
        <w:t>jakmile</w:t>
      </w:r>
      <w:proofErr w:type="spellEnd"/>
      <w:r>
        <w:t xml:space="preserve"> se o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dozví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nemoci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</w:t>
      </w:r>
      <w:proofErr w:type="spellStart"/>
      <w:r>
        <w:t>doloží</w:t>
      </w:r>
      <w:proofErr w:type="spellEnd"/>
      <w:r>
        <w:t xml:space="preserve"> </w:t>
      </w:r>
      <w:proofErr w:type="spellStart"/>
      <w:r>
        <w:t>Umělec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neschopnost</w:t>
      </w:r>
      <w:proofErr w:type="spellEnd"/>
      <w:r>
        <w:t xml:space="preserve"> </w:t>
      </w:r>
      <w:proofErr w:type="spellStart"/>
      <w:r>
        <w:t>lékařským</w:t>
      </w:r>
      <w:proofErr w:type="spellEnd"/>
      <w:r>
        <w:t xml:space="preserve"> </w:t>
      </w:r>
      <w:proofErr w:type="spellStart"/>
      <w:r>
        <w:t>potvrzením</w:t>
      </w:r>
      <w:proofErr w:type="spellEnd"/>
      <w:r>
        <w:t>.</w:t>
      </w:r>
    </w:p>
    <w:p w14:paraId="4DB56A10" w14:textId="77777777" w:rsidR="0048117A" w:rsidRDefault="005B1212">
      <w:pPr>
        <w:pStyle w:val="Nadpis1"/>
        <w:ind w:left="53" w:right="0"/>
      </w:pPr>
      <w:r>
        <w:lastRenderedPageBreak/>
        <w:t>-2—</w:t>
      </w:r>
    </w:p>
    <w:p w14:paraId="43B2C7A5" w14:textId="77777777" w:rsidR="0048117A" w:rsidRDefault="005B1212">
      <w:pPr>
        <w:spacing w:after="0" w:line="259" w:lineRule="auto"/>
        <w:ind w:left="58" w:right="19" w:hanging="10"/>
        <w:jc w:val="center"/>
      </w:pPr>
      <w:proofErr w:type="spellStart"/>
      <w:r>
        <w:rPr>
          <w:sz w:val="24"/>
        </w:rPr>
        <w:t>Článek</w:t>
      </w:r>
      <w:proofErr w:type="spellEnd"/>
      <w:r>
        <w:rPr>
          <w:sz w:val="24"/>
        </w:rPr>
        <w:t xml:space="preserve"> V.</w:t>
      </w:r>
    </w:p>
    <w:p w14:paraId="3CA1EAFF" w14:textId="77777777" w:rsidR="0048117A" w:rsidRDefault="005B1212">
      <w:pPr>
        <w:spacing w:after="170" w:line="259" w:lineRule="auto"/>
        <w:ind w:left="58" w:right="14" w:hanging="10"/>
        <w:jc w:val="center"/>
      </w:pP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</w:t>
      </w:r>
      <w:proofErr w:type="spellEnd"/>
    </w:p>
    <w:p w14:paraId="2AC0FB40" w14:textId="77777777" w:rsidR="0048117A" w:rsidRDefault="005B1212">
      <w:pPr>
        <w:spacing w:after="577"/>
        <w:ind w:left="33" w:right="14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uzavřením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.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Producent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konstatují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neobsahuje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neměla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uveřejněna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poskytla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nějaké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uvedením</w:t>
      </w:r>
      <w:proofErr w:type="spellEnd"/>
      <w:r>
        <w:t xml:space="preserve"> v </w:t>
      </w:r>
      <w:proofErr w:type="spellStart"/>
      <w:r>
        <w:t>textu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uveřejněném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; </w:t>
      </w:r>
      <w:proofErr w:type="spellStart"/>
      <w:r>
        <w:t>jestliže</w:t>
      </w:r>
      <w:proofErr w:type="spellEnd"/>
      <w:r>
        <w:t xml:space="preserve"> </w:t>
      </w:r>
      <w:proofErr w:type="spellStart"/>
      <w:r>
        <w:t>poskytla</w:t>
      </w:r>
      <w:proofErr w:type="spellEnd"/>
      <w:r>
        <w:t xml:space="preserve"> </w:t>
      </w:r>
      <w:proofErr w:type="spellStart"/>
      <w:r>
        <w:t>nějaké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prohlašuje</w:t>
      </w:r>
      <w:proofErr w:type="spellEnd"/>
      <w:r>
        <w:t xml:space="preserve"> a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takový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i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dotčené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ledaže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dotčené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nebyl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</w:t>
      </w:r>
      <w:proofErr w:type="spellStart"/>
      <w:r>
        <w:t>nutný</w:t>
      </w:r>
      <w:proofErr w:type="spellEnd"/>
      <w:r>
        <w:t>.</w:t>
      </w:r>
    </w:p>
    <w:p w14:paraId="48738C15" w14:textId="77777777" w:rsidR="0048117A" w:rsidRDefault="005B1212">
      <w:pPr>
        <w:spacing w:after="0" w:line="259" w:lineRule="auto"/>
        <w:ind w:left="58" w:right="48" w:hanging="10"/>
        <w:jc w:val="center"/>
      </w:pPr>
      <w:proofErr w:type="spellStart"/>
      <w:r>
        <w:rPr>
          <w:sz w:val="24"/>
        </w:rPr>
        <w:t>Článek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</w:t>
      </w:r>
      <w:proofErr w:type="spellEnd"/>
      <w:r>
        <w:rPr>
          <w:sz w:val="24"/>
        </w:rPr>
        <w:t>.</w:t>
      </w:r>
    </w:p>
    <w:p w14:paraId="13D1E68F" w14:textId="77777777" w:rsidR="0048117A" w:rsidRDefault="005B1212">
      <w:pPr>
        <w:spacing w:after="239" w:line="259" w:lineRule="auto"/>
        <w:ind w:left="5"/>
        <w:jc w:val="center"/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7686C91F" w14:textId="77777777" w:rsidR="0048117A" w:rsidRDefault="005B1212">
      <w:pPr>
        <w:numPr>
          <w:ilvl w:val="0"/>
          <w:numId w:val="4"/>
        </w:numPr>
        <w:spacing w:after="29"/>
        <w:ind w:right="14" w:hanging="360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řádem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zákona</w:t>
      </w:r>
      <w:proofErr w:type="spellEnd"/>
    </w:p>
    <w:p w14:paraId="2BDEADEA" w14:textId="77777777" w:rsidR="0048117A" w:rsidRDefault="005B1212">
      <w:pPr>
        <w:spacing w:after="314"/>
        <w:ind w:left="379" w:right="14"/>
      </w:pPr>
      <w:r>
        <w:t xml:space="preserve">č. 89/2012 Sb.,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</w:t>
      </w:r>
      <w:proofErr w:type="spellStart"/>
      <w:r>
        <w:t>zákona</w:t>
      </w:r>
      <w:proofErr w:type="spellEnd"/>
      <w:r>
        <w:t xml:space="preserve"> č. 121/2000 Sb., </w:t>
      </w:r>
      <w:proofErr w:type="spellStart"/>
      <w:r>
        <w:t>autorského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.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z </w:t>
      </w:r>
      <w:proofErr w:type="spellStart"/>
      <w:r>
        <w:t>ní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rozhodnuty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soudy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>.</w:t>
      </w:r>
    </w:p>
    <w:p w14:paraId="18C2A308" w14:textId="77777777" w:rsidR="0048117A" w:rsidRDefault="005B1212">
      <w:pPr>
        <w:numPr>
          <w:ilvl w:val="0"/>
          <w:numId w:val="4"/>
        </w:numPr>
        <w:spacing w:after="332"/>
        <w:ind w:right="14" w:hanging="36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shledáno</w:t>
      </w:r>
      <w:proofErr w:type="spellEnd"/>
      <w:r>
        <w:t xml:space="preserve"> </w:t>
      </w:r>
      <w:proofErr w:type="spellStart"/>
      <w:r>
        <w:t>neplatným</w:t>
      </w:r>
      <w:proofErr w:type="spellEnd"/>
      <w:r>
        <w:t xml:space="preserve">, </w:t>
      </w:r>
      <w:proofErr w:type="spellStart"/>
      <w:r>
        <w:t>neúčinným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nevynutitelným</w:t>
      </w:r>
      <w:proofErr w:type="spellEnd"/>
      <w:r>
        <w:t xml:space="preserve">,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ustanovením</w:t>
      </w:r>
      <w:proofErr w:type="spellEnd"/>
      <w:r>
        <w:t xml:space="preserve"> </w:t>
      </w:r>
      <w:proofErr w:type="spellStart"/>
      <w:r>
        <w:t>platným</w:t>
      </w:r>
      <w:proofErr w:type="spellEnd"/>
      <w:r>
        <w:t xml:space="preserve">, </w:t>
      </w:r>
      <w:proofErr w:type="spellStart"/>
      <w:r>
        <w:t>účinným</w:t>
      </w:r>
      <w:proofErr w:type="spellEnd"/>
      <w:r>
        <w:t xml:space="preserve"> a </w:t>
      </w:r>
      <w:proofErr w:type="spellStart"/>
      <w:r>
        <w:t>vynutitelným</w:t>
      </w:r>
      <w:proofErr w:type="spellEnd"/>
      <w:r>
        <w:t xml:space="preserve">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účel</w:t>
      </w:r>
      <w:proofErr w:type="spellEnd"/>
      <w:r>
        <w:t xml:space="preserve"> a </w:t>
      </w:r>
      <w:proofErr w:type="spellStart"/>
      <w:r>
        <w:t>význam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totožný</w:t>
      </w:r>
      <w:proofErr w:type="spellEnd"/>
      <w:r>
        <w:t xml:space="preserve">, </w:t>
      </w:r>
      <w:proofErr w:type="spellStart"/>
      <w:r>
        <w:t>popřípadě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</w:t>
      </w:r>
      <w:proofErr w:type="spellStart"/>
      <w:r>
        <w:t>nejbližší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a </w:t>
      </w:r>
      <w:proofErr w:type="spellStart"/>
      <w:r>
        <w:t>významu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neplatného</w:t>
      </w:r>
      <w:proofErr w:type="spellEnd"/>
      <w:r>
        <w:t xml:space="preserve">, </w:t>
      </w:r>
      <w:proofErr w:type="spellStart"/>
      <w:r>
        <w:t>neúčinného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nevynutitelného</w:t>
      </w:r>
      <w:proofErr w:type="spellEnd"/>
      <w:r>
        <w:t>.</w:t>
      </w:r>
    </w:p>
    <w:p w14:paraId="7DF52625" w14:textId="77777777" w:rsidR="0048117A" w:rsidRDefault="005B1212">
      <w:pPr>
        <w:numPr>
          <w:ilvl w:val="0"/>
          <w:numId w:val="4"/>
        </w:numPr>
        <w:spacing w:after="251"/>
        <w:ind w:right="14" w:hanging="360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provedeních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jednom</w:t>
      </w:r>
      <w:proofErr w:type="spellEnd"/>
      <w:r>
        <w:t>.</w:t>
      </w:r>
    </w:p>
    <w:p w14:paraId="40C55B24" w14:textId="77777777" w:rsidR="0048117A" w:rsidRDefault="005B1212">
      <w:pPr>
        <w:numPr>
          <w:ilvl w:val="0"/>
          <w:numId w:val="4"/>
        </w:numPr>
        <w:spacing w:after="545"/>
        <w:ind w:right="14" w:hanging="360"/>
      </w:pPr>
      <w:proofErr w:type="spellStart"/>
      <w:r>
        <w:t>Veškeré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a </w:t>
      </w:r>
      <w:proofErr w:type="spellStart"/>
      <w:r>
        <w:t>doplňky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musejí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učiněny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číslovaných</w:t>
      </w:r>
      <w:proofErr w:type="spellEnd"/>
      <w:r>
        <w:t xml:space="preserve"> </w:t>
      </w:r>
      <w:proofErr w:type="spellStart"/>
      <w:r>
        <w:t>dodatků</w:t>
      </w:r>
      <w:proofErr w:type="spellEnd"/>
      <w:r>
        <w:t xml:space="preserve"> </w:t>
      </w:r>
      <w:proofErr w:type="spellStart"/>
      <w:r>
        <w:t>podepsaných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</w:p>
    <w:tbl>
      <w:tblPr>
        <w:tblStyle w:val="TableGrid"/>
        <w:tblW w:w="8366" w:type="dxa"/>
        <w:tblInd w:w="10" w:type="dxa"/>
        <w:tblCellMar>
          <w:top w:w="2" w:type="dxa"/>
          <w:bottom w:w="21" w:type="dxa"/>
        </w:tblCellMar>
        <w:tblLook w:val="04A0" w:firstRow="1" w:lastRow="0" w:firstColumn="1" w:lastColumn="0" w:noHBand="0" w:noVBand="1"/>
      </w:tblPr>
      <w:tblGrid>
        <w:gridCol w:w="1613"/>
        <w:gridCol w:w="2688"/>
        <w:gridCol w:w="4065"/>
      </w:tblGrid>
      <w:tr w:rsidR="0048117A" w14:paraId="6F86C4BA" w14:textId="77777777">
        <w:trPr>
          <w:trHeight w:val="463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6E465E19" w14:textId="77777777" w:rsidR="0048117A" w:rsidRDefault="005B1212">
            <w:pPr>
              <w:spacing w:after="0" w:line="259" w:lineRule="auto"/>
              <w:ind w:left="0"/>
              <w:jc w:val="left"/>
            </w:pPr>
            <w:r>
              <w:t xml:space="preserve">V </w:t>
            </w:r>
            <w:proofErr w:type="spellStart"/>
            <w:r>
              <w:t>Praze</w:t>
            </w:r>
            <w:proofErr w:type="spellEnd"/>
            <w:r>
              <w:t xml:space="preserve"> </w:t>
            </w:r>
            <w:proofErr w:type="spellStart"/>
            <w:r>
              <w:t>dne</w:t>
            </w:r>
            <w:proofErr w:type="spellEnd"/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4E61C" w14:textId="5D30DDFD" w:rsidR="0048117A" w:rsidRDefault="005B1212">
            <w:pPr>
              <w:spacing w:after="0" w:line="259" w:lineRule="auto"/>
              <w:ind w:left="0"/>
              <w:jc w:val="left"/>
            </w:pPr>
            <w:r>
              <w:t xml:space="preserve">2 5 -06- </w:t>
            </w:r>
            <w:r w:rsidR="000A2E96">
              <w:t>2025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174C91EC" w14:textId="77777777" w:rsidR="0048117A" w:rsidRDefault="005B1212">
            <w:pPr>
              <w:spacing w:after="0" w:line="259" w:lineRule="auto"/>
              <w:ind w:left="0"/>
              <w:jc w:val="right"/>
            </w:pPr>
            <w:r>
              <w:t xml:space="preserve">V </w:t>
            </w:r>
            <w:proofErr w:type="spellStart"/>
            <w:r>
              <w:t>Praze</w:t>
            </w:r>
            <w:proofErr w:type="spellEnd"/>
            <w:r>
              <w:t xml:space="preserve"> </w:t>
            </w:r>
            <w:proofErr w:type="spellStart"/>
            <w:r>
              <w:t>dne</w:t>
            </w:r>
            <w:proofErr w:type="spellEnd"/>
            <w:r>
              <w:t xml:space="preserve"> 9. 6. 2025</w:t>
            </w:r>
          </w:p>
        </w:tc>
      </w:tr>
    </w:tbl>
    <w:p w14:paraId="2036040A" w14:textId="276CC152" w:rsidR="0048117A" w:rsidRDefault="0048117A">
      <w:pPr>
        <w:spacing w:after="0" w:line="259" w:lineRule="auto"/>
        <w:ind w:left="-149"/>
        <w:jc w:val="left"/>
      </w:pPr>
    </w:p>
    <w:p w14:paraId="5345BFD6" w14:textId="77777777" w:rsidR="0048117A" w:rsidRDefault="005B1212">
      <w:pPr>
        <w:tabs>
          <w:tab w:val="center" w:pos="1073"/>
          <w:tab w:val="center" w:pos="7404"/>
        </w:tabs>
        <w:spacing w:after="444"/>
        <w:ind w:left="0"/>
        <w:jc w:val="left"/>
      </w:pPr>
      <w:r>
        <w:tab/>
      </w:r>
      <w:proofErr w:type="spellStart"/>
      <w:r>
        <w:t>Producent</w:t>
      </w:r>
      <w:proofErr w:type="spellEnd"/>
      <w:r>
        <w:tab/>
      </w:r>
      <w:proofErr w:type="spellStart"/>
      <w:r>
        <w:t>Umělec</w:t>
      </w:r>
      <w:proofErr w:type="spellEnd"/>
    </w:p>
    <w:p w14:paraId="2FB2CCF4" w14:textId="77777777" w:rsidR="0048117A" w:rsidRDefault="005B1212">
      <w:pPr>
        <w:spacing w:after="0" w:line="259" w:lineRule="auto"/>
        <w:ind w:left="0" w:right="14"/>
        <w:jc w:val="center"/>
      </w:pPr>
      <w:r>
        <w:rPr>
          <w:sz w:val="38"/>
        </w:rPr>
        <w:t xml:space="preserve">- 3 </w:t>
      </w:r>
      <w:r>
        <w:rPr>
          <w:noProof/>
        </w:rPr>
        <w:drawing>
          <wp:inline distT="0" distB="0" distL="0" distR="0" wp14:anchorId="79B0581B" wp14:editId="7D30FF5D">
            <wp:extent cx="94488" cy="12195"/>
            <wp:effectExtent l="0" t="0" r="0" b="0"/>
            <wp:docPr id="5968" name="Picture 5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8" name="Picture 59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117A">
      <w:pgSz w:w="11904" w:h="16834"/>
      <w:pgMar w:top="1398" w:right="1426" w:bottom="629" w:left="13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0AEC"/>
    <w:multiLevelType w:val="hybridMultilevel"/>
    <w:tmpl w:val="501E090E"/>
    <w:lvl w:ilvl="0" w:tplc="C608C7E0">
      <w:start w:val="1"/>
      <w:numFmt w:val="decimal"/>
      <w:lvlText w:val="%1."/>
      <w:lvlJc w:val="left"/>
      <w:pPr>
        <w:ind w:left="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6541E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2A24E4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763594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C88C22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E9496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22F15E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5EAAD2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7099B6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F91016"/>
    <w:multiLevelType w:val="hybridMultilevel"/>
    <w:tmpl w:val="8A4AC286"/>
    <w:lvl w:ilvl="0" w:tplc="25DCE114">
      <w:start w:val="1"/>
      <w:numFmt w:val="decimal"/>
      <w:lvlText w:val="%1."/>
      <w:lvlJc w:val="left"/>
      <w:pPr>
        <w:ind w:left="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B2BC34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3A4DBA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1AFD3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02C7C8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8FF46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E1AE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6C6446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9A5192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4B7F3D"/>
    <w:multiLevelType w:val="hybridMultilevel"/>
    <w:tmpl w:val="38B4DFC4"/>
    <w:lvl w:ilvl="0" w:tplc="DE588062">
      <w:start w:val="1"/>
      <w:numFmt w:val="decimal"/>
      <w:lvlText w:val="%1."/>
      <w:lvlJc w:val="left"/>
      <w:pPr>
        <w:ind w:left="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BA0FBC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BE8314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C714E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F02C7C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8FB80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A6A880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E0FAA6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B87336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33431C"/>
    <w:multiLevelType w:val="hybridMultilevel"/>
    <w:tmpl w:val="91921ECE"/>
    <w:lvl w:ilvl="0" w:tplc="21D8B316">
      <w:start w:val="1"/>
      <w:numFmt w:val="decimal"/>
      <w:lvlText w:val="%1."/>
      <w:lvlJc w:val="left"/>
      <w:pPr>
        <w:ind w:left="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A86ABA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267A5E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B69C84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AED6D2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419DA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187530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66426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746DA8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3196282">
    <w:abstractNumId w:val="0"/>
  </w:num>
  <w:num w:numId="2" w16cid:durableId="116605668">
    <w:abstractNumId w:val="2"/>
  </w:num>
  <w:num w:numId="3" w16cid:durableId="884026757">
    <w:abstractNumId w:val="1"/>
  </w:num>
  <w:num w:numId="4" w16cid:durableId="1503929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7A"/>
    <w:rsid w:val="000A2E96"/>
    <w:rsid w:val="0048117A"/>
    <w:rsid w:val="005B1212"/>
    <w:rsid w:val="0091710B"/>
    <w:rsid w:val="00AA3627"/>
    <w:rsid w:val="00E1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5B5D"/>
  <w15:docId w15:val="{7AEC9686-EEB1-4B70-887A-35896C64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81" w:line="227" w:lineRule="auto"/>
      <w:ind w:left="34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43"/>
      <w:ind w:left="10" w:right="24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885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Účetní</cp:lastModifiedBy>
  <cp:revision>2</cp:revision>
  <dcterms:created xsi:type="dcterms:W3CDTF">2026-04-10T11:23:00Z</dcterms:created>
  <dcterms:modified xsi:type="dcterms:W3CDTF">2026-04-10T11:23:00Z</dcterms:modified>
</cp:coreProperties>
</file>