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36ED1" w14:textId="77777777" w:rsidR="00DD4387" w:rsidRDefault="00000000">
      <w:pPr>
        <w:jc w:val="center"/>
        <w:rPr>
          <w:rFonts w:ascii="Times New Roman" w:eastAsia="Times New Roman" w:hAnsi="Times New Roman" w:cs="Times New Roman"/>
          <w:b/>
          <w:bCs/>
          <w:sz w:val="28"/>
          <w:szCs w:val="28"/>
        </w:rPr>
      </w:pPr>
      <w:bookmarkStart w:id="0" w:name="_heading=h.u6a20j8mosee" w:colFirst="0" w:colLast="0"/>
      <w:bookmarkEnd w:id="0"/>
      <w:r>
        <w:rPr>
          <w:rFonts w:ascii="Times New Roman" w:eastAsia="Times New Roman" w:hAnsi="Times New Roman" w:cs="Times New Roman"/>
          <w:b/>
          <w:bCs/>
          <w:sz w:val="28"/>
          <w:szCs w:val="28"/>
        </w:rPr>
        <w:t xml:space="preserve">  Smlouva o účasti na řešení projektu</w:t>
      </w:r>
    </w:p>
    <w:p w14:paraId="44AF3C5D" w14:textId="77777777" w:rsidR="00DD4387" w:rsidRDefault="00DD4387">
      <w:pPr>
        <w:jc w:val="both"/>
        <w:rPr>
          <w:rFonts w:ascii="Times New Roman" w:eastAsia="Times New Roman" w:hAnsi="Times New Roman" w:cs="Times New Roman"/>
          <w:b/>
          <w:bCs/>
        </w:rPr>
      </w:pPr>
    </w:p>
    <w:p w14:paraId="11ABA01E" w14:textId="77777777" w:rsidR="00DD4387" w:rsidRDefault="00000000">
      <w:pPr>
        <w:spacing w:after="0" w:line="240" w:lineRule="auto"/>
        <w:jc w:val="center"/>
        <w:rPr>
          <w:rFonts w:ascii="Times New Roman" w:eastAsia="Times New Roman" w:hAnsi="Times New Roman" w:cs="Times New Roman"/>
          <w:b/>
          <w:bCs/>
          <w:sz w:val="24"/>
          <w:szCs w:val="24"/>
        </w:rPr>
      </w:pPr>
      <w:bookmarkStart w:id="1" w:name="_heading=h.y8ruoxdj3t2g" w:colFirst="0" w:colLast="0"/>
      <w:bookmarkEnd w:id="1"/>
      <w:r>
        <w:rPr>
          <w:rFonts w:ascii="Times New Roman" w:eastAsia="Times New Roman" w:hAnsi="Times New Roman" w:cs="Times New Roman"/>
          <w:b/>
          <w:bCs/>
          <w:sz w:val="24"/>
          <w:szCs w:val="24"/>
        </w:rPr>
        <w:t>Článek I</w:t>
      </w:r>
    </w:p>
    <w:p w14:paraId="002A5AB2" w14:textId="77777777" w:rsidR="00DD4387" w:rsidRDefault="00000000">
      <w:pPr>
        <w:spacing w:after="0" w:line="240" w:lineRule="auto"/>
        <w:jc w:val="center"/>
        <w:rPr>
          <w:rFonts w:ascii="Times New Roman" w:eastAsia="Times New Roman" w:hAnsi="Times New Roman" w:cs="Times New Roman"/>
          <w:b/>
          <w:bCs/>
          <w:sz w:val="24"/>
          <w:szCs w:val="24"/>
        </w:rPr>
      </w:pPr>
      <w:bookmarkStart w:id="2" w:name="_heading=h.hgqna8qhwm9e" w:colFirst="0" w:colLast="0"/>
      <w:bookmarkEnd w:id="2"/>
      <w:r>
        <w:rPr>
          <w:rFonts w:ascii="Times New Roman" w:eastAsia="Times New Roman" w:hAnsi="Times New Roman" w:cs="Times New Roman"/>
          <w:b/>
          <w:bCs/>
          <w:sz w:val="24"/>
          <w:szCs w:val="24"/>
        </w:rPr>
        <w:t>Smluvní strany</w:t>
      </w:r>
    </w:p>
    <w:p w14:paraId="73E61030" w14:textId="77777777" w:rsidR="00DD4387" w:rsidRDefault="00DD4387">
      <w:pPr>
        <w:jc w:val="both"/>
        <w:rPr>
          <w:rFonts w:ascii="Times New Roman" w:eastAsia="Times New Roman" w:hAnsi="Times New Roman" w:cs="Times New Roman"/>
          <w:sz w:val="24"/>
          <w:szCs w:val="24"/>
        </w:rPr>
      </w:pPr>
    </w:p>
    <w:p w14:paraId="5C08041D" w14:textId="77777777" w:rsidR="00DD4387"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LAVARIS s.r.o.</w:t>
      </w:r>
    </w:p>
    <w:p w14:paraId="3A92AC5E"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sídlem Areál Šroubáren </w:t>
      </w:r>
      <w:proofErr w:type="spellStart"/>
      <w:r>
        <w:rPr>
          <w:rFonts w:ascii="Times New Roman" w:eastAsia="Times New Roman" w:hAnsi="Times New Roman" w:cs="Times New Roman"/>
          <w:color w:val="000000"/>
          <w:sz w:val="24"/>
          <w:szCs w:val="24"/>
        </w:rPr>
        <w:t>č.ev</w:t>
      </w:r>
      <w:proofErr w:type="spellEnd"/>
      <w:r>
        <w:rPr>
          <w:rFonts w:ascii="Times New Roman" w:eastAsia="Times New Roman" w:hAnsi="Times New Roman" w:cs="Times New Roman"/>
          <w:color w:val="000000"/>
          <w:sz w:val="24"/>
          <w:szCs w:val="24"/>
        </w:rPr>
        <w:t>. 43, 252 66 Libčice nad Vltavou</w:t>
      </w:r>
    </w:p>
    <w:p w14:paraId="27EB7834"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zastoupená Ing. George </w:t>
      </w:r>
      <w:proofErr w:type="spellStart"/>
      <w:r>
        <w:rPr>
          <w:rFonts w:ascii="Times New Roman" w:eastAsia="Times New Roman" w:hAnsi="Times New Roman" w:cs="Times New Roman"/>
          <w:color w:val="000000"/>
          <w:sz w:val="24"/>
          <w:szCs w:val="24"/>
        </w:rPr>
        <w:t>Karra'a</w:t>
      </w:r>
      <w:proofErr w:type="spellEnd"/>
      <w:r>
        <w:rPr>
          <w:rFonts w:ascii="Times New Roman" w:eastAsia="Times New Roman" w:hAnsi="Times New Roman" w:cs="Times New Roman"/>
          <w:color w:val="000000"/>
          <w:sz w:val="24"/>
          <w:szCs w:val="24"/>
        </w:rPr>
        <w:t>, PhD., jednatel</w:t>
      </w:r>
    </w:p>
    <w:p w14:paraId="0F6F2581" w14:textId="77777777" w:rsidR="00DD4387" w:rsidRDefault="0000000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zapsaná v Obchodním rejstříku Městského soudu v Praze, </w:t>
      </w:r>
      <w:proofErr w:type="spellStart"/>
      <w:r>
        <w:rPr>
          <w:rFonts w:ascii="Times New Roman" w:eastAsia="Times New Roman" w:hAnsi="Times New Roman" w:cs="Times New Roman"/>
          <w:color w:val="000000"/>
          <w:sz w:val="24"/>
          <w:szCs w:val="24"/>
        </w:rPr>
        <w:t>sp</w:t>
      </w:r>
      <w:proofErr w:type="spellEnd"/>
      <w:r>
        <w:rPr>
          <w:rFonts w:ascii="Times New Roman" w:eastAsia="Times New Roman" w:hAnsi="Times New Roman" w:cs="Times New Roman"/>
          <w:color w:val="000000"/>
          <w:sz w:val="24"/>
          <w:szCs w:val="24"/>
        </w:rPr>
        <w:t>. zn. C 164346/MSPH</w:t>
      </w:r>
    </w:p>
    <w:p w14:paraId="35FE8BB3" w14:textId="77777777" w:rsidR="00DD4387" w:rsidRDefault="00000000">
      <w:pP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IČO:  24663093</w:t>
      </w:r>
      <w:proofErr w:type="gramEnd"/>
    </w:p>
    <w:p w14:paraId="01421099"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bankovní spojení: Komerční Banka a.s.  </w:t>
      </w:r>
    </w:p>
    <w:p w14:paraId="5E836465"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 účtu: 107-2610610227/0100</w:t>
      </w:r>
    </w:p>
    <w:p w14:paraId="71AF53FA"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(dále jen „příjemce“)</w:t>
      </w:r>
    </w:p>
    <w:p w14:paraId="6E358897" w14:textId="77777777" w:rsidR="00DD4387" w:rsidRDefault="00DD4387">
      <w:pPr>
        <w:spacing w:after="0" w:line="240" w:lineRule="auto"/>
        <w:rPr>
          <w:rFonts w:ascii="Times New Roman" w:eastAsia="Times New Roman" w:hAnsi="Times New Roman" w:cs="Times New Roman"/>
          <w:color w:val="000000"/>
          <w:sz w:val="24"/>
          <w:szCs w:val="24"/>
        </w:rPr>
      </w:pPr>
    </w:p>
    <w:p w14:paraId="16C602EB"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p w14:paraId="456AA0CD" w14:textId="77777777" w:rsidR="00DD4387" w:rsidRDefault="00DD4387">
      <w:pPr>
        <w:spacing w:after="0" w:line="240" w:lineRule="auto"/>
        <w:rPr>
          <w:rFonts w:ascii="Times New Roman" w:eastAsia="Times New Roman" w:hAnsi="Times New Roman" w:cs="Times New Roman"/>
          <w:color w:val="000000"/>
          <w:sz w:val="24"/>
          <w:szCs w:val="24"/>
        </w:rPr>
      </w:pPr>
    </w:p>
    <w:p w14:paraId="26A7B17D" w14:textId="77777777" w:rsidR="00DD4387"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Západočeská univerzita v Plzni</w:t>
      </w:r>
    </w:p>
    <w:p w14:paraId="0A50DA29"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sídlem Univerzitní 2732/8, 301 00 Plzeň</w:t>
      </w:r>
    </w:p>
    <w:p w14:paraId="5ACE10E3"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zastoupená doc. Ing. Jiřím </w:t>
      </w:r>
      <w:proofErr w:type="spellStart"/>
      <w:r>
        <w:rPr>
          <w:rFonts w:ascii="Times New Roman" w:eastAsia="Times New Roman" w:hAnsi="Times New Roman" w:cs="Times New Roman"/>
          <w:color w:val="000000"/>
          <w:sz w:val="24"/>
          <w:szCs w:val="24"/>
        </w:rPr>
        <w:t>Hammerbauerem</w:t>
      </w:r>
      <w:proofErr w:type="spellEnd"/>
      <w:r>
        <w:rPr>
          <w:rFonts w:ascii="Times New Roman" w:eastAsia="Times New Roman" w:hAnsi="Times New Roman" w:cs="Times New Roman"/>
          <w:color w:val="000000"/>
          <w:sz w:val="24"/>
          <w:szCs w:val="24"/>
        </w:rPr>
        <w:t>, Ph.D., prorektorem pro tvůrčí činnost a doktorské studium</w:t>
      </w:r>
    </w:p>
    <w:p w14:paraId="2E6AC4EF" w14:textId="77777777" w:rsidR="00DD4387" w:rsidRDefault="00000000">
      <w:pPr>
        <w:spacing w:after="0" w:line="240" w:lineRule="auto"/>
        <w:rPr>
          <w:rFonts w:ascii="Times New Roman" w:eastAsia="Times New Roman" w:hAnsi="Times New Roman" w:cs="Times New Roman"/>
          <w:color w:val="000000"/>
          <w:sz w:val="24"/>
          <w:szCs w:val="24"/>
        </w:rPr>
      </w:pPr>
      <w:bookmarkStart w:id="3" w:name="_heading=h.jxv8j1sm8sd3" w:colFirst="0" w:colLast="0"/>
      <w:bookmarkEnd w:id="3"/>
      <w:r>
        <w:rPr>
          <w:rFonts w:ascii="Times New Roman" w:eastAsia="Times New Roman" w:hAnsi="Times New Roman" w:cs="Times New Roman"/>
          <w:color w:val="000000"/>
          <w:sz w:val="24"/>
          <w:szCs w:val="24"/>
        </w:rPr>
        <w:t xml:space="preserve">IČO: 49777513 </w:t>
      </w:r>
    </w:p>
    <w:p w14:paraId="5111D0F3"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veřejná vysoká škola dle zákona č. 111/1998 Sb., v platném znění</w:t>
      </w:r>
    </w:p>
    <w:p w14:paraId="3389E919" w14:textId="77777777" w:rsidR="00DD4387" w:rsidRDefault="00000000">
      <w:pPr>
        <w:spacing w:after="0" w:line="240" w:lineRule="auto"/>
        <w:rPr>
          <w:rFonts w:ascii="Times New Roman" w:eastAsia="Times New Roman" w:hAnsi="Times New Roman" w:cs="Times New Roman"/>
          <w:color w:val="000000"/>
          <w:sz w:val="24"/>
          <w:szCs w:val="24"/>
        </w:rPr>
      </w:pPr>
      <w:bookmarkStart w:id="4" w:name="_heading=h.98qw8t1c7ifu" w:colFirst="0" w:colLast="0"/>
      <w:bookmarkEnd w:id="4"/>
      <w:r>
        <w:rPr>
          <w:rFonts w:ascii="Times New Roman" w:eastAsia="Times New Roman" w:hAnsi="Times New Roman" w:cs="Times New Roman"/>
          <w:color w:val="000000"/>
          <w:sz w:val="24"/>
          <w:szCs w:val="24"/>
        </w:rPr>
        <w:t xml:space="preserve">bankovní spojení: Komerční banka a.s., pobočka Plzeň – město, </w:t>
      </w:r>
    </w:p>
    <w:p w14:paraId="4CC0305C" w14:textId="77777777" w:rsidR="00DD4387"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 účtu: 4811530257/0100</w:t>
      </w:r>
    </w:p>
    <w:p w14:paraId="040C0FD1" w14:textId="77777777" w:rsidR="00DD4387" w:rsidRDefault="00000000">
      <w:pPr>
        <w:spacing w:line="240" w:lineRule="auto"/>
        <w:rPr>
          <w:rFonts w:ascii="Times New Roman" w:eastAsia="Times New Roman" w:hAnsi="Times New Roman" w:cs="Times New Roman"/>
          <w:color w:val="000000"/>
          <w:sz w:val="24"/>
          <w:szCs w:val="24"/>
        </w:rPr>
      </w:pPr>
      <w:bookmarkStart w:id="5" w:name="_heading=h.81shp4pslvy8" w:colFirst="0" w:colLast="0"/>
      <w:bookmarkEnd w:id="5"/>
      <w:r>
        <w:rPr>
          <w:rFonts w:ascii="Times New Roman" w:eastAsia="Times New Roman" w:hAnsi="Times New Roman" w:cs="Times New Roman"/>
          <w:color w:val="000000"/>
          <w:sz w:val="24"/>
          <w:szCs w:val="24"/>
        </w:rPr>
        <w:t>(dále jen „další účastník projektu“)</w:t>
      </w:r>
    </w:p>
    <w:p w14:paraId="5DC788F6" w14:textId="77777777" w:rsidR="00DD4387" w:rsidRDefault="00DD4387">
      <w:pPr>
        <w:spacing w:after="0" w:line="240" w:lineRule="auto"/>
        <w:rPr>
          <w:rFonts w:ascii="Times New Roman" w:eastAsia="Times New Roman" w:hAnsi="Times New Roman" w:cs="Times New Roman"/>
          <w:color w:val="000000"/>
          <w:sz w:val="24"/>
          <w:szCs w:val="24"/>
        </w:rPr>
      </w:pPr>
    </w:p>
    <w:p w14:paraId="4ADE1C82" w14:textId="77777777" w:rsidR="00DD4387"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uzavřely níže uvedeného dne, měsíce a roku tuto smlouvu o účasti na řešení projektu (dále jen „smlouva“) podle § 1746 odst. 2 zákona č. 89/2012 Sb., občanský zákoník, ve znění pozdějších předpisů, a podle </w:t>
      </w:r>
      <w:proofErr w:type="spellStart"/>
      <w:r>
        <w:rPr>
          <w:rFonts w:ascii="Times New Roman" w:eastAsia="Times New Roman" w:hAnsi="Times New Roman" w:cs="Times New Roman"/>
          <w:sz w:val="24"/>
          <w:szCs w:val="24"/>
        </w:rPr>
        <w:t>ust</w:t>
      </w:r>
      <w:proofErr w:type="spellEnd"/>
      <w:r>
        <w:rPr>
          <w:rFonts w:ascii="Times New Roman" w:eastAsia="Times New Roman" w:hAnsi="Times New Roman" w:cs="Times New Roman"/>
          <w:sz w:val="24"/>
          <w:szCs w:val="24"/>
        </w:rPr>
        <w:t>. § 2 odst. 2 písm. j) zákona č. 130/2002 Sb., o podpoře výzkumu, experimentálního vývoje a inovací z veřejných prostředků a o změně některých souvisejících zákonů (zákon o podpoře výzkumu, experimentálního vývoje a inovací), ve znění pozdějších předpisů (dále jen ZPVV“):</w:t>
      </w:r>
    </w:p>
    <w:p w14:paraId="45F88A95" w14:textId="77777777" w:rsidR="00DD4387" w:rsidRDefault="00DD4387">
      <w:pPr>
        <w:spacing w:after="0" w:line="240" w:lineRule="auto"/>
        <w:jc w:val="center"/>
        <w:rPr>
          <w:rFonts w:ascii="Times New Roman" w:eastAsia="Times New Roman" w:hAnsi="Times New Roman" w:cs="Times New Roman"/>
          <w:b/>
          <w:bCs/>
          <w:sz w:val="24"/>
          <w:szCs w:val="24"/>
        </w:rPr>
      </w:pPr>
      <w:bookmarkStart w:id="6" w:name="_heading=h.usy2zeedkdy8" w:colFirst="0" w:colLast="0"/>
      <w:bookmarkEnd w:id="6"/>
    </w:p>
    <w:p w14:paraId="6AE94A6C"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II</w:t>
      </w:r>
    </w:p>
    <w:p w14:paraId="12D8F857"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Předmět a účel smlouvy</w:t>
      </w:r>
    </w:p>
    <w:p w14:paraId="28BBD2AF" w14:textId="64DCC3F8" w:rsidR="00DD4387" w:rsidRDefault="00000000">
      <w:pPr>
        <w:numPr>
          <w:ilvl w:val="0"/>
          <w:numId w:val="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usilují o poskytnutí dotace pro projekt s názvem </w:t>
      </w:r>
      <w:r>
        <w:rPr>
          <w:rFonts w:ascii="Times New Roman" w:eastAsia="Times New Roman" w:hAnsi="Times New Roman" w:cs="Times New Roman"/>
          <w:color w:val="000000"/>
          <w:sz w:val="24"/>
          <w:szCs w:val="24"/>
        </w:rPr>
        <w:t xml:space="preserve">"Inteligentní </w:t>
      </w:r>
      <w:proofErr w:type="gramStart"/>
      <w:r>
        <w:rPr>
          <w:rFonts w:ascii="Times New Roman" w:eastAsia="Times New Roman" w:hAnsi="Times New Roman" w:cs="Times New Roman"/>
          <w:color w:val="000000"/>
          <w:sz w:val="24"/>
          <w:szCs w:val="24"/>
        </w:rPr>
        <w:t>3D</w:t>
      </w:r>
      <w:proofErr w:type="gramEnd"/>
      <w:r>
        <w:rPr>
          <w:rFonts w:ascii="Times New Roman" w:eastAsia="Times New Roman" w:hAnsi="Times New Roman" w:cs="Times New Roman"/>
          <w:color w:val="000000"/>
          <w:sz w:val="24"/>
          <w:szCs w:val="24"/>
        </w:rPr>
        <w:t xml:space="preserve"> tiskové řešení protézy“</w:t>
      </w:r>
      <w:r w:rsidR="008B4796" w:rsidRPr="008B4796">
        <w:rPr>
          <w:rFonts w:ascii="Times New Roman" w:eastAsia="Times New Roman" w:hAnsi="Times New Roman" w:cs="Times New Roman"/>
          <w:color w:val="000000"/>
          <w:sz w:val="24"/>
          <w:szCs w:val="24"/>
        </w:rPr>
        <w:t xml:space="preserve"> </w:t>
      </w:r>
      <w:proofErr w:type="spellStart"/>
      <w:r w:rsidR="008B4796">
        <w:rPr>
          <w:rFonts w:ascii="Times New Roman" w:eastAsia="Times New Roman" w:hAnsi="Times New Roman" w:cs="Times New Roman"/>
          <w:color w:val="000000"/>
          <w:sz w:val="24"/>
          <w:szCs w:val="24"/>
        </w:rPr>
        <w:t>reg</w:t>
      </w:r>
      <w:proofErr w:type="spellEnd"/>
      <w:r w:rsidR="008B4796">
        <w:rPr>
          <w:rFonts w:ascii="Times New Roman" w:eastAsia="Times New Roman" w:hAnsi="Times New Roman" w:cs="Times New Roman"/>
          <w:color w:val="000000"/>
          <w:sz w:val="24"/>
          <w:szCs w:val="24"/>
        </w:rPr>
        <w:t xml:space="preserve">. č. projektu </w:t>
      </w:r>
      <w:r w:rsidR="008B4796" w:rsidRPr="00AF1B6B">
        <w:rPr>
          <w:rFonts w:ascii="Times New Roman" w:eastAsia="Times New Roman" w:hAnsi="Times New Roman" w:cs="Times New Roman"/>
          <w:color w:val="000000"/>
          <w:sz w:val="24"/>
          <w:szCs w:val="24"/>
        </w:rPr>
        <w:t>CZ.01.01.01/08/25_079/0008618</w:t>
      </w:r>
      <w:r w:rsidR="008B47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(dále jen „projekt“) v rámci Operačního programu Technologie a aplikace pro konkurenceschopnost (dále též jen „OP TAK“), programu podpory </w:t>
      </w:r>
      <w:proofErr w:type="spellStart"/>
      <w:r>
        <w:rPr>
          <w:rFonts w:ascii="Times New Roman" w:eastAsia="Times New Roman" w:hAnsi="Times New Roman" w:cs="Times New Roman"/>
          <w:sz w:val="24"/>
          <w:szCs w:val="24"/>
        </w:rPr>
        <w:t>Proof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Concept</w:t>
      </w:r>
      <w:proofErr w:type="spellEnd"/>
      <w:r>
        <w:rPr>
          <w:rFonts w:ascii="Times New Roman" w:eastAsia="Times New Roman" w:hAnsi="Times New Roman" w:cs="Times New Roman"/>
          <w:sz w:val="24"/>
          <w:szCs w:val="24"/>
        </w:rPr>
        <w:t xml:space="preserve"> – výzva III. V této souvislosti smluvní strany pro případ, že Ministerstvo průmyslu a obchodu (dále jen „poskytovatel“) rozhodne o podpoření projektu a vydá Rozhodnutí o poskytnutí dotace (dále jen „Rozhodnutí o poskytnutí dotace“), uzavírají tuto smlouvu. </w:t>
      </w:r>
    </w:p>
    <w:p w14:paraId="488E5C70" w14:textId="77777777" w:rsidR="00DD4387" w:rsidRDefault="00000000">
      <w:pPr>
        <w:numPr>
          <w:ilvl w:val="0"/>
          <w:numId w:val="1"/>
        </w:numPr>
        <w:spacing w:after="120" w:line="240" w:lineRule="auto"/>
        <w:jc w:val="both"/>
        <w:rPr>
          <w:rFonts w:ascii="Times New Roman" w:eastAsia="Times New Roman" w:hAnsi="Times New Roman" w:cs="Times New Roman"/>
          <w:sz w:val="24"/>
          <w:szCs w:val="24"/>
        </w:rPr>
      </w:pPr>
      <w:bookmarkStart w:id="7" w:name="_heading=h.qileeh3r9fuv" w:colFirst="0" w:colLast="0"/>
      <w:bookmarkEnd w:id="7"/>
      <w:r>
        <w:rPr>
          <w:rFonts w:ascii="Times New Roman" w:eastAsia="Times New Roman" w:hAnsi="Times New Roman" w:cs="Times New Roman"/>
          <w:sz w:val="24"/>
          <w:szCs w:val="24"/>
        </w:rPr>
        <w:t xml:space="preserve">Předmětem této smlouvy je vymezení právního postavení příjemce a dalšího účastníka projektu, jejich úlohy a odpovědnosti, jakož i úprava jejich vzájemných práv a povinností </w:t>
      </w:r>
      <w:r>
        <w:rPr>
          <w:rFonts w:ascii="Times New Roman" w:eastAsia="Times New Roman" w:hAnsi="Times New Roman" w:cs="Times New Roman"/>
          <w:sz w:val="24"/>
          <w:szCs w:val="24"/>
        </w:rPr>
        <w:lastRenderedPageBreak/>
        <w:t xml:space="preserve">při realizaci projektu a úprava práv a povinností k hmotnému majetku nutnému k řešení projektu a k výsledkům projektu. </w:t>
      </w:r>
    </w:p>
    <w:p w14:paraId="187D1EDD" w14:textId="77777777" w:rsidR="00DD4387" w:rsidRDefault="00000000">
      <w:pPr>
        <w:numPr>
          <w:ilvl w:val="0"/>
          <w:numId w:val="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Předmětem této smlouvy je dále vymezení podmínek, za kterých bude příjemcem poskytnuta část účelových finančních prostředků dalšímu účastníkovi projektu.</w:t>
      </w:r>
    </w:p>
    <w:p w14:paraId="1315C686" w14:textId="77777777" w:rsidR="00DD4387" w:rsidRDefault="00DD4387">
      <w:pPr>
        <w:spacing w:after="120" w:line="240" w:lineRule="auto"/>
        <w:ind w:left="357"/>
        <w:jc w:val="both"/>
        <w:rPr>
          <w:rFonts w:ascii="Times New Roman" w:eastAsia="Times New Roman" w:hAnsi="Times New Roman" w:cs="Times New Roman"/>
          <w:sz w:val="24"/>
          <w:szCs w:val="24"/>
        </w:rPr>
      </w:pPr>
    </w:p>
    <w:p w14:paraId="456DCC09" w14:textId="77777777" w:rsidR="00DD4387" w:rsidRDefault="00000000">
      <w:pPr>
        <w:spacing w:before="24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III</w:t>
      </w:r>
    </w:p>
    <w:p w14:paraId="20394871"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Práva a povinnosti smluvních stran</w:t>
      </w:r>
    </w:p>
    <w:p w14:paraId="509CE25A"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Každá ze smluvních stran je povinna jednat způsobem, který neohrožuje realizaci projektu a zájmy příjemce a dalšího účastníka projektu. </w:t>
      </w:r>
    </w:p>
    <w:p w14:paraId="2DA48597"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Příjemce a další účastník projektu jsou povinni při realizaci projektu postupovat v souladu s podnikatelským záměrem, který je přílohou žádosti o podporu projektu, touto smlouvou a zadávací dokumentací </w:t>
      </w:r>
      <w:proofErr w:type="gramStart"/>
      <w:r>
        <w:rPr>
          <w:rFonts w:ascii="Times New Roman" w:eastAsia="Times New Roman" w:hAnsi="Times New Roman" w:cs="Times New Roman"/>
          <w:sz w:val="24"/>
          <w:szCs w:val="24"/>
        </w:rPr>
        <w:t>poskytovatele - Rozhodnutím</w:t>
      </w:r>
      <w:proofErr w:type="gramEnd"/>
      <w:r>
        <w:rPr>
          <w:rFonts w:ascii="Times New Roman" w:eastAsia="Times New Roman" w:hAnsi="Times New Roman" w:cs="Times New Roman"/>
          <w:sz w:val="24"/>
          <w:szCs w:val="24"/>
        </w:rPr>
        <w:t xml:space="preserve"> o poskytnutí dotace na projekt, Pravidly pro žadatele a příjemce z OP TAK – obecná a zvláštní část, Pravidly pro výběr dodavatelů, Výzvou programu </w:t>
      </w:r>
      <w:proofErr w:type="spellStart"/>
      <w:r>
        <w:rPr>
          <w:rFonts w:ascii="Times New Roman" w:eastAsia="Times New Roman" w:hAnsi="Times New Roman" w:cs="Times New Roman"/>
          <w:sz w:val="24"/>
          <w:szCs w:val="24"/>
        </w:rPr>
        <w:t>Proof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Concept</w:t>
      </w:r>
      <w:proofErr w:type="spellEnd"/>
      <w:r>
        <w:rPr>
          <w:rFonts w:ascii="Times New Roman" w:eastAsia="Times New Roman" w:hAnsi="Times New Roman" w:cs="Times New Roman"/>
          <w:sz w:val="24"/>
          <w:szCs w:val="24"/>
        </w:rPr>
        <w:t xml:space="preserve">, vč. jejích příloh a navazující dokumentace (dále jen „zadávací dokumentace“). V případě povinností, které nejsou upraveny v této smlouvě, se postupuje dle zadávací dokumentace. Další účastník projektu se řídí zadávací dokumentací s výjimkou ustanovení, z jejichž podstaty vyplývá, že se nemohou vztahovat na dalšího účastníka projektu. Text zadávací dokumentace je k dispozici na webových stránkách poskytovatele </w:t>
      </w:r>
      <w:hyperlink r:id="rId8">
        <w:r w:rsidR="00DD4387">
          <w:rPr>
            <w:rFonts w:ascii="Times New Roman" w:eastAsia="Times New Roman" w:hAnsi="Times New Roman" w:cs="Times New Roman"/>
            <w:color w:val="0000FF"/>
            <w:sz w:val="24"/>
            <w:szCs w:val="24"/>
            <w:u w:val="single"/>
          </w:rPr>
          <w:t>https://apiagentura.gov.cz/cs/podporovane-aktivity-optak/proof-of-concept-optak/proof-of-concept-vyzva-iii/</w:t>
        </w:r>
      </w:hyperlink>
    </w:p>
    <w:p w14:paraId="1BA5C51A"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mají právo na veškeré informace týkající se projektu, zejména jeho finančního řízení, dosažených výsledků projektu a související dokumentace.</w:t>
      </w:r>
    </w:p>
    <w:p w14:paraId="418748B8"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Další účastník projektu se zavazuje:</w:t>
      </w:r>
    </w:p>
    <w:p w14:paraId="7DFD7F40"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vést účetnictví v souladu se zákonem č. 563/1991 Sb., o účetnictví, ve znění pozdějších předpisů, nebo daňovou evidenci podle zákona č. 586/1992 Sb., o daních z příjmů, ve znění pozdějších předpisů. Pokud další účastník projektu povede daňovou evidenci, je povinen zajistit, aby příslušné doklady prokazující výdaje související s projektem splňovaly předepsané náležitosti účetního dokladu dle § 11 zákona č. 563/1991 Sb., o účetnictví, ve znění pozdějších předpisů, a aby tyto doklady byly správné, úplné, průkazné a srozumitelné a průběžně chronologicky vedené způsobem zaručujícím jejich trvalost. Dále je povinen uchovávat je způsobem uvedeným v zákoně č. 563/1991 Sb., o účetnictví, ve znění pozdějších předpisů, a v zákoně č. 499/2004 Sb., o archivnictví a spisové službě a o změně některých zákonů, ve znění pozdějších předpisů, a v souladu s dalšími platnými právními předpisy ČR. Další účastník projektu při kontrole poskytne na vyžádání kontrolnímu orgánu daňovou evidenci v plném rozsahu,</w:t>
      </w:r>
    </w:p>
    <w:p w14:paraId="0107B43D"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účtovat o majetku, příjmech a výdajích souvisejících s projektem (např. na zvláštních analytických účtech, se stejným analytickým znakem u všech aktuálních účtů projektu, na samostatné hospodářské středisko či zakázku, popř. jiným vhodným způsobem), aby bylo průkazné, zda konkrétní výdaj je či není vykazován na projekt. Pokud další účastník projektu vede daňovou evidenci, je povinen zajistit podřízenou evidenci, ve které budou rozlišeny výdaje s konkrétní vazbou na projekt,</w:t>
      </w:r>
    </w:p>
    <w:p w14:paraId="1F9A308C"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žádost příjemce bezodkladně poskytnout podklady pro monitorovací zprávy o projektu a potřebné doplňující informace související s realizací projektu,</w:t>
      </w:r>
    </w:p>
    <w:p w14:paraId="79454106"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archivovat veškerou dokumentaci k projektu, včetně účetnictví, po dobu deseti (10) let následujících po roce, v němž byla vyplacena poslední část dotace, </w:t>
      </w:r>
    </w:p>
    <w:p w14:paraId="70DC8A89"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postupovat při výběru dodavatelů v souladu se zákonem č. 134/2016 Sb., o zadávání veřejných zakázek, ve znění pozdějších předpisů, nebo Pravidly pro výběr dodavatelů, </w:t>
      </w:r>
    </w:p>
    <w:p w14:paraId="57BB9C09"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celou dobu realizace a udržitelnosti projektu dodržovat právní předpisy ČR a EU a politiky EU, zejména pak pravidla hospodářské soutěže, platné předpisy upravující veřejnou podporu, principy ochrany životního prostředí a v oblasti rovných příležitostí, </w:t>
      </w:r>
    </w:p>
    <w:p w14:paraId="535DDF42"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dodržovat povinnost publicity v souladu s Pravidly pro žadatele a příjemce – obecná část,</w:t>
      </w:r>
    </w:p>
    <w:p w14:paraId="534AC696"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umožnit provedení kontroly všech dokladů vztahujících se k činnostem, které další účastník projektu realizuje v rámci projektu, umožnit průběžné ověřování provádění činností, k nimž se zavázal dle této smlouvy a poskytnout součinnost všem osobám oprávněným k provádění kontroly, příp. jejich zmocněncům,</w:t>
      </w:r>
    </w:p>
    <w:p w14:paraId="76B139A3"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přijímat příslušná nápravná opatření uložená kontrolními orgány, </w:t>
      </w:r>
    </w:p>
    <w:p w14:paraId="07FD178E" w14:textId="77777777" w:rsidR="00DD4387" w:rsidRDefault="00000000">
      <w:pPr>
        <w:numPr>
          <w:ilvl w:val="0"/>
          <w:numId w:val="7"/>
        </w:numPr>
        <w:spacing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bezodkladně informovat příjemce o všech provedených kontrolách vyplývajících z účasti na projektu, o všech případných navržených nápravných opatřeních, která budou výsledkem těchto kontrol a o jejich splnění.</w:t>
      </w:r>
    </w:p>
    <w:p w14:paraId="137D6773"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se navzájem zavazují neprodleně informovat o všech skutečnostech rozhodných pro plnění jejich povinností vyplývajících z této smlouvy a dále se informovat o všech skutečnostech, které mohou mít vliv na úspěšné řešení projektu, zejména o změně jejich právní formy, zahájení insolvenčního řízení, vstupu do likvidace apod. </w:t>
      </w:r>
    </w:p>
    <w:p w14:paraId="4CF6577B"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Pokud se případná změna projektu bude týkat i dalšího účastníka projektu, je příjemce oprávněn požádat poskytovatele o změnu pouze na základě dohody všech smluvních stran. </w:t>
      </w:r>
    </w:p>
    <w:p w14:paraId="2186E613" w14:textId="77777777" w:rsidR="00DD4387" w:rsidRDefault="00000000">
      <w:pPr>
        <w:numPr>
          <w:ilvl w:val="0"/>
          <w:numId w:val="1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Zveřejňuje-li smluvní strana informace o projektu nebo výsledcích projektu, musí postupovat tak, aby zveřejněním nebyly ohroženy cíle projektu ani dotčena nebo ohrožena ochrana výsledků projektu, jinak smluvní strana, která informace zveřejnila, odpovídá ostatním smluvním stranám za způsobenou škodu. </w:t>
      </w:r>
    </w:p>
    <w:p w14:paraId="4F3518F4" w14:textId="77777777" w:rsidR="00DD4387" w:rsidRDefault="00000000">
      <w:pPr>
        <w:numPr>
          <w:ilvl w:val="0"/>
          <w:numId w:val="11"/>
        </w:num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Po započetí realizace projektu není příjemce oprávněn vzdát se práva na čerpání dotace přiznané Rozhodnutím o poskytnutí dotace bez předchozího písemného souhlasu dalšího účastníka projektu. </w:t>
      </w:r>
    </w:p>
    <w:p w14:paraId="430B2F5E" w14:textId="77777777" w:rsidR="00DD4387" w:rsidRDefault="00DD4387">
      <w:pPr>
        <w:spacing w:after="0" w:line="240" w:lineRule="auto"/>
        <w:jc w:val="center"/>
        <w:rPr>
          <w:rFonts w:ascii="Times New Roman" w:eastAsia="Times New Roman" w:hAnsi="Times New Roman" w:cs="Times New Roman"/>
          <w:b/>
          <w:bCs/>
          <w:sz w:val="24"/>
          <w:szCs w:val="24"/>
        </w:rPr>
      </w:pPr>
    </w:p>
    <w:p w14:paraId="1F25041D"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IV</w:t>
      </w:r>
    </w:p>
    <w:p w14:paraId="6A1B93A4"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Financování projektu</w:t>
      </w:r>
    </w:p>
    <w:p w14:paraId="3EFBE2E1"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bude financován z prostředků, které budou poskytnuty příjemci formou dotace z Operačního programu Technologie a aplikace pro konkurenceschopnost.</w:t>
      </w:r>
    </w:p>
    <w:p w14:paraId="603BA595"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Podíl smluvních stran na rozpočtu projektu je následující:</w:t>
      </w:r>
    </w:p>
    <w:p w14:paraId="6B4C28C8" w14:textId="77777777" w:rsidR="00DD4387" w:rsidRDefault="00000000">
      <w:pPr>
        <w:spacing w:line="24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Způsobilé výdaje jsou vymezeny v rozpočtu projektu uvedeném v žádosti o podporu ve formuláři Rozpočet, který zároveň tvoří přílohu č. 1 této smlouvy. </w:t>
      </w:r>
    </w:p>
    <w:p w14:paraId="63C570D2" w14:textId="77777777" w:rsidR="00DD4387" w:rsidRDefault="00000000">
      <w:pPr>
        <w:spacing w:line="24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Celková částka dotace na projekt za celou dobu jeho řešení je uvedena v příloze č. 1 této smlouvy. V příloze č. 1 je taktéž stanoven:</w:t>
      </w:r>
    </w:p>
    <w:p w14:paraId="28862559" w14:textId="77777777" w:rsidR="00DD4387" w:rsidRDefault="00000000">
      <w:pPr>
        <w:numPr>
          <w:ilvl w:val="1"/>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podíl příjemce a dalšího účastníka projektu na způsobilých výdajích a dotaci</w:t>
      </w:r>
    </w:p>
    <w:p w14:paraId="3D5380E1" w14:textId="77777777" w:rsidR="00DD4387" w:rsidRDefault="00000000">
      <w:pPr>
        <w:numPr>
          <w:ilvl w:val="1"/>
          <w:numId w:val="7"/>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rozdělení průmyslového výzkumu a experimentálního vývoje mezi jednotlivé smluvní strany.</w:t>
      </w:r>
    </w:p>
    <w:p w14:paraId="4783FE65" w14:textId="77777777" w:rsidR="00DD4387" w:rsidRDefault="00000000">
      <w:pPr>
        <w:spacing w:after="120" w:line="24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V případě rozporu přílohy č. 1 této smlouvy a Rozhodnutí o poskytnutí dotace k projektu, vč. jeho příloh, se postupuje dle Rozhodnutí o poskytnutí dotace.</w:t>
      </w:r>
    </w:p>
    <w:p w14:paraId="2DC34D8C"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Smluvní strany se dohodly, že míra podpory dalšího účastníka projektu bude 85 % jeho způsobilých výdajů projektu. Příjemce se proto zavazuje uhradit dalšímu účastníkovi projektu částku odpovídající 85 % jeho způsobilých výdajů; tato částka může být snížena pouze v případě, že výdaje uplatněné dalším účastníkem projektu budou poskytovatelem posouzeny jako částečně či plně nezpůsobilé z důvodu věcného obsahu nebo pro porušení podmínek zadávací dokumentace ze strany dalšího účastníka projektu. Snížení pak bude odpovídat výši neuznaných nákladů dalšího účastníka projektu, resp. zkrácení dotace za porušení podmínek zadávací dokumentace. Pro vyloučení pochybností se má za to, že porušení zadávací dokumentace a/nebo nedodržení míry čerpání za výdaje PV a EV ze strany příjemce, které má za důsledek krácení dotace nebo neuznání výdajů dalšího účastníka projektu, není důvodem pro snížení částky způsobilých výdajů či míry podpory dalšího účastníka projektu.</w:t>
      </w:r>
    </w:p>
    <w:p w14:paraId="3882BA11"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jsou povinny dodržovat strukturu výdajů v členění na příjemce a dalšího účastníka projektu a v členění na položky rozpočtu. Pokud se případná změna struktury výdajů a členění na položky rozpočtu projektu bude týkat i dalšího účastníka projektu, je příjemce oprávněn požádat poskytovatele o změnu na základě dohody všech smluvních stran. </w:t>
      </w:r>
    </w:p>
    <w:p w14:paraId="0A28FF96"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jsou povinné hradit způsobilé výdaje projektu (včetně plateb dodavatelům) nejprve ze svých finančních prostředků. O konečné výši vyplacené dotace pro smluvní strany rozhodne poskytovatel na základě žádosti o platbu, kterou podává příjemce. Základem pro výpočet částky dotace k proplacení jsou způsobilé výdaje projektu uznané poskytovatelem. Za způsobilé lze uznat pouze ty výdaje projektu, jež splňují podmínky poskytnutí dotace. Další účastník projektu je povinen poskytnout příjemci veškeré podklady potřebné pro vypracování žádosti o platbu.   </w:t>
      </w:r>
    </w:p>
    <w:p w14:paraId="61E1D610"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Příjemce je povinen poskytnout dalšímu účastníkovi projektu dotaci přímým bankovním převodem z bankovního účtu příjemce na bankovní účet dalšího účastníka projektu, a to nejpozději do 14 dnů ode dne, kdy od poskytovatele obdrží dotaci na svůj účet. V případě prodlení příjemce s poskytnutím dotace, je další účastník projektu oprávněn požadovat úhradu smluvní pokuty ve výši 0,05 % z dlužné částky za každý, byť započatý den prodlení. Ujednáním o smluvní pokutě není dotčen nárok na náhradu škody v plné výši. </w:t>
      </w:r>
    </w:p>
    <w:p w14:paraId="2FDE02F9"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Příjemce je povinen podat žádost o platbu a případně odstranit nedostatky žádosti ve lhůtě stanovené poskytovatelem, jinak odpovídá dalšímu účastníkovi projektu za způsobenou škodu. Další účastník projektu je povinen poskytnut příjemci veškerou potřebnou součinnost k podání, resp. odstranění nedostatků žádosti o platbu.</w:t>
      </w:r>
    </w:p>
    <w:p w14:paraId="7324D828"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Příjemce je povinen poskytnout dalšímu účastníkovi projektu na základě jeho písemné žádosti kopii výpisu z účtu, z kterého bude patrné, kdy obdržel finanční prostředky od poskytovatele.</w:t>
      </w:r>
    </w:p>
    <w:p w14:paraId="67855E3B"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Příjemce není oprávněn odstoupit od žádosti o platbu ve vztahu k dotaci příslušící dalšímu účastníkovi projektu bez předchozího písemného souhlasu dalšího účastníka projektu. </w:t>
      </w:r>
    </w:p>
    <w:p w14:paraId="027CE643"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případě, že smluvní strana poruší povinnosti jí převzaté touto smlouvou nebo stanovené podmínkami poskytnutí podpory dle zadávací dokumentace a v důsledku takového porušení nebude poskytovatelem proplacena dotace anebo dojde ke krácení nároku uvedeného v žádosti o platbu též jiné smluvní straně, která své povinnosti neporušila, je smluvní strana, která povinnost porušila, povinna nahradit dotčené smluvní straně takto vzniklou škodu, tj. uhradit vynaložené náklady na projekt, které nebyly poskytovatelem proplaceny. Tím není dotčeno ustanovení odst. 11.</w:t>
      </w:r>
    </w:p>
    <w:p w14:paraId="0C9A503D"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 případě, že poskytovatel či jiný správní orgán bude vyžadovat vrácení dotace, stanoví povinnost odvodu nebo uplatní sankce z důvodu tvrzeného porušení povinnosti na straně dalšího účastníka projektu, zavazuje se příjemce na žádost dotčeného dalšího účastníka a ve spolupráci s ním podat námitky nebo použít jiné prostředky obrany proti neproplacení, krácení dotace, povinnosti odvodu či udělení sankce. Pokud tento závazek příjemce nesplní (nepodá námitky nebo jiné prostředky obrany, ač o to byl dalším účastníkem projektu požádán), není tento další účastník projektu povinen dotčenou část dotace či finanční částku odpovídající stanovené sankci hradit příjemci ze svých prostředků. </w:t>
      </w:r>
    </w:p>
    <w:p w14:paraId="1704FAF9" w14:textId="77777777" w:rsidR="00DD4387" w:rsidRDefault="00000000">
      <w:pPr>
        <w:numPr>
          <w:ilvl w:val="0"/>
          <w:numId w:val="8"/>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Je-li pravomocně uložena povinnost odvodu či sankce, je další účastník projektu povinen vrátit příjemci dotčenou část dotace či uhradit finanční částku odpovídající stanovené sankci či odvodu do 10 dnů od doručení písemné výzvy k úhradě. Pro vyloučení pochybností se uvádí, že zejména opravné prostředky mimořádné, resp. opravné prostředky, kterými se neodkládá vykonatelnost příslušného rozhodnutí, neodkládají povinnost dalšího účastníka projektu k úhradě.</w:t>
      </w:r>
    </w:p>
    <w:p w14:paraId="351CDF84"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V</w:t>
      </w:r>
    </w:p>
    <w:p w14:paraId="2FB796F8"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Práva ke hmotnému majetku</w:t>
      </w:r>
    </w:p>
    <w:p w14:paraId="31277948" w14:textId="77777777" w:rsidR="00DD4387" w:rsidRDefault="00000000">
      <w:pPr>
        <w:numPr>
          <w:ilvl w:val="0"/>
          <w:numId w:val="12"/>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Vlastníkem hmotného majetku, nutného k řešení projektu je ta smluvní strana, která daný hmotný majetek pořídila. Pokud došlo k pořízení hmotného majetku smluvními stranami společně, je předmětný hmotný majetek v podílovém spoluvlastnictví těchto smluvních stran, přičemž jejich podíl na vlastnictví hmotného majetku se stanoví podle poměru finančních prostředků vynaložených na pořízení předmětného hmotného majetku.</w:t>
      </w:r>
    </w:p>
    <w:p w14:paraId="52647E6F" w14:textId="77777777" w:rsidR="00DD4387" w:rsidRDefault="00000000">
      <w:pPr>
        <w:numPr>
          <w:ilvl w:val="0"/>
          <w:numId w:val="12"/>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Hmotný majetek podle odstavce 1 jsou smluvní strany oprávněny využívat pro řešení projektu bezplatně.</w:t>
      </w:r>
    </w:p>
    <w:p w14:paraId="74533E27" w14:textId="77777777" w:rsidR="00DD4387"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dobu realizace projektu nejsou smluvní strany oprávněny bez souhlasu poskytovatele dotace s hmotným majetkem disponovat ve prospěch třetí osoby, zejména pak nejsou oprávněny tento hmotný majetek zcizit, převést, zatížit, pronajmout, půjčit či zapůjčit.</w:t>
      </w:r>
    </w:p>
    <w:p w14:paraId="38844DD0" w14:textId="77777777" w:rsidR="00DD4387" w:rsidRDefault="00DD4387">
      <w:pPr>
        <w:spacing w:after="0" w:line="240" w:lineRule="auto"/>
        <w:jc w:val="center"/>
        <w:rPr>
          <w:rFonts w:ascii="Times New Roman" w:eastAsia="Times New Roman" w:hAnsi="Times New Roman" w:cs="Times New Roman"/>
          <w:b/>
          <w:bCs/>
          <w:sz w:val="24"/>
          <w:szCs w:val="24"/>
        </w:rPr>
      </w:pPr>
    </w:p>
    <w:p w14:paraId="46A9F0EA"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VI</w:t>
      </w:r>
    </w:p>
    <w:p w14:paraId="008C1E5F"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Řízení vnesených práv</w:t>
      </w:r>
    </w:p>
    <w:p w14:paraId="1A75E26E" w14:textId="77777777" w:rsidR="00DD4387" w:rsidRDefault="00000000">
      <w:pPr>
        <w:numPr>
          <w:ilvl w:val="0"/>
          <w:numId w:val="4"/>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vnesená práva jsou považována taková práva duševního vlastnictví (tj. autorská práva, práva průmyslového vlastnictví, know-how, obchodní tajemství apod.), která mají smluvní strany v době uzavření této smlouvy nebo je získají později nezávisle na řešení projektu a jsou pro řešení projektu nezbytná.</w:t>
      </w:r>
    </w:p>
    <w:p w14:paraId="377C471E" w14:textId="77777777" w:rsidR="00DD4387" w:rsidRDefault="00000000">
      <w:pPr>
        <w:numPr>
          <w:ilvl w:val="0"/>
          <w:numId w:val="4"/>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Vnesená práva druhé smluvní strany mohou smluvní strany užívat bezplatně pro potřeby řešení projektu. K jiným účelům může smluvní strana užívat vnesená práva druhé smluvní strany pouze na základě předchozí písemné licenční smlouvy za běžných tržních podmínek. </w:t>
      </w:r>
    </w:p>
    <w:p w14:paraId="35C10EDF" w14:textId="77777777" w:rsidR="00DD4387" w:rsidRDefault="00000000">
      <w:pPr>
        <w:numPr>
          <w:ilvl w:val="0"/>
          <w:numId w:val="4"/>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nesmí vnesená práva druhé smluvní strany poskytnout třetím osobám a nesmějí je komerčně využívat.</w:t>
      </w:r>
    </w:p>
    <w:p w14:paraId="4A644F63" w14:textId="77777777" w:rsidR="00DD4387" w:rsidRDefault="00DD4387">
      <w:pPr>
        <w:spacing w:line="240" w:lineRule="auto"/>
        <w:jc w:val="both"/>
        <w:rPr>
          <w:rFonts w:ascii="Times New Roman" w:eastAsia="Times New Roman" w:hAnsi="Times New Roman" w:cs="Times New Roman"/>
          <w:b/>
          <w:bCs/>
          <w:sz w:val="24"/>
          <w:szCs w:val="24"/>
        </w:rPr>
      </w:pPr>
    </w:p>
    <w:p w14:paraId="054662A8"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VII</w:t>
      </w:r>
    </w:p>
    <w:p w14:paraId="78438AC3"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Práva k výsledkům projektu</w:t>
      </w:r>
    </w:p>
    <w:p w14:paraId="522F62D5"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Výsledkem projektu se pro účely této smlouvy rozumí výsledky podle </w:t>
      </w:r>
      <w:proofErr w:type="spellStart"/>
      <w:r>
        <w:rPr>
          <w:rFonts w:ascii="Times New Roman" w:eastAsia="Times New Roman" w:hAnsi="Times New Roman" w:cs="Times New Roman"/>
          <w:sz w:val="24"/>
          <w:szCs w:val="24"/>
        </w:rPr>
        <w:t>ust</w:t>
      </w:r>
      <w:proofErr w:type="spellEnd"/>
      <w:r>
        <w:rPr>
          <w:rFonts w:ascii="Times New Roman" w:eastAsia="Times New Roman" w:hAnsi="Times New Roman" w:cs="Times New Roman"/>
          <w:sz w:val="24"/>
          <w:szCs w:val="24"/>
        </w:rPr>
        <w:t xml:space="preserve">. § 2 odst. 2 písm. k) ZPVV vzniklé samostatnou činností příjemce nebo dalšího účastníka projektu nebo </w:t>
      </w:r>
      <w:r>
        <w:rPr>
          <w:rFonts w:ascii="Times New Roman" w:eastAsia="Times New Roman" w:hAnsi="Times New Roman" w:cs="Times New Roman"/>
          <w:sz w:val="24"/>
          <w:szCs w:val="24"/>
        </w:rPr>
        <w:lastRenderedPageBreak/>
        <w:t>společným spolupůsobením smluvních stran v rámci řešení projektu (dále jen „výsledek projektu“).</w:t>
      </w:r>
    </w:p>
    <w:p w14:paraId="7EEF794A"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Vlastníkem práv k výsledku projektu je příjemce nebo další účastník projektu, podle toho, kdo takového výsledku projektu dosáhl sám. Pokud došlo k dosažení výsledku projektu smluvním stranami společně, je předmětný výsledek projektu v podílovém spoluvlastnictví smluvních stran, a to v poměru majetkových podílů, v jakém se na vytvoření výsledku projektu tvůrčí prací podíleli pracovníci každé z příslušných smluvních stran. Pokud není možné určit míru tvůrčích příspěvků na dosažení výsledku projektu a smluvní strany se nedohodly jinak, je spoluvlastnický podíl smluvních stran podílejících se na jeho dosažení stejný. Při stanovení spoluvlastnického podílu se dále úměrně přihlíží k poměru nákladů smluvních stran tak, aby nedocházelo k zakázané nepřímé veřejné podpoře.</w:t>
      </w:r>
    </w:p>
    <w:p w14:paraId="440D0C03"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Výsledek projektu ve vlastnictví jiné smluvní strany mohou ostatní smluvní strany užívat bezplatně pro účely řešení projektu. K jiným účelům může smluvní strana užívat výsledky jiné smluvní strany pouze na základě předchozí písemné licenční smlouvy za běžných tržních podmínek.</w:t>
      </w:r>
    </w:p>
    <w:p w14:paraId="439299F1"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Pokud smluvní strana, která je výzkumnou organizací nebo provozovatelem výzkumné infrastruktury, v rámci projektu dosáhne výsledku projektu nebo se bude podílet na dosažení výsledku projektu, který lze chránit podle zákonů upravujících ochranu výsledků autorské, vynálezecké nebo obdobné tvůrčí činnosti, mohou být práva této smluvní strany – výzkumné organizace či provozovatele výzkumné infrastruktury, k tomuto výsledku projektu postoupena jiné smluvní straně nebo k němu jiná smluvní strana může získat přístupová práva, a to vždy za tržní cenu. </w:t>
      </w:r>
    </w:p>
    <w:p w14:paraId="6A289DFF" w14:textId="5C74B20F"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Výsledky projektu, které patří pouze jedné ze smluvních stran, může tato smluvní strana užívat bez omezení. Výsledky projektu, které mají smluvní strany ve spoluvlastnictví, může každý ze spoluvlastníků užívat nekomerčně bez omezení a komerčně pouze poté, co budou předem písemně dohodnuty podmínky takového užití. </w:t>
      </w:r>
      <w:r w:rsidRPr="00395A70">
        <w:rPr>
          <w:rFonts w:ascii="Times New Roman" w:eastAsia="Times New Roman" w:hAnsi="Times New Roman" w:cs="Times New Roman"/>
          <w:sz w:val="24"/>
          <w:szCs w:val="24"/>
        </w:rPr>
        <w:t>Smluvní strany se dohodly, že komercializaci výsledků, které mají smluvní strany ve spoluvlastnictví, bude výhradně provádět příjemce, vždy však s předchozím písemným souhlasem dalšího účastníka proje</w:t>
      </w:r>
      <w:r w:rsidR="00395A70" w:rsidRPr="00395A70">
        <w:rPr>
          <w:rFonts w:ascii="Times New Roman" w:eastAsia="Times New Roman" w:hAnsi="Times New Roman" w:cs="Times New Roman"/>
          <w:sz w:val="24"/>
          <w:szCs w:val="24"/>
        </w:rPr>
        <w:t>kt</w:t>
      </w:r>
      <w:r w:rsidRPr="00395A70">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Komerčním užitím výsledku projektu se rozumí jeho užití v rámci stávajícího či nového výrobku, technologie či služby a jejich uplatnění na trhu nebo použití pro koncepci a poskytování služby. Poskytnutí výsledku projektu ve spoluvlastnictví smluvních stran třetím osobám je možné pouze na základě písemné dohody uzavřené všemi spoluvlastníky předmětného výsledku projektu. V případě výsledku projektu ve spoluvlastnictví smluvních stran může některý ze spoluvlastníků převést svůj podíl na třetí osobu jen v případě, že žádný ze spoluvlastníků nepřijme ve lhůtě jednoho měsíce písemnou nabídku převodu učiněnou za stejných podmínek, za jakých je podíl nabízen třetí osobě. </w:t>
      </w:r>
    </w:p>
    <w:p w14:paraId="33422B9C"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mají právo na nevýhradní licenci za tržních podmínek k vneseným právům a/nebo výsledkům projektu ve vlastnictví druhé smluvní strany, pokud je nezbytně potřebují pro využití vlastních výsledků projektu, protože bez nich by bylo užití vlastních výsledků projektu technicky nebo právně nemožné. O licenci je třeba požádat do dvou let od skončení projektu.</w:t>
      </w:r>
    </w:p>
    <w:p w14:paraId="0C8FCFB3"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jsou povinny zajistit výsledkům projektu adekvátní ochranu podle předpisů práva duševního vlastnictví. Smluvní strany jsou si vzájemně nápomocny při přípravě podání přihlášek, a to i zahraničních. Smluvní strany se v poměru jejich spoluvlastnických podílů podílejí na nákladech spojených s podáním přihlášek a vedením příslušných řízení na ochranu výsledků projektu.</w:t>
      </w:r>
    </w:p>
    <w:p w14:paraId="041FB935" w14:textId="77777777" w:rsidR="00DD4387" w:rsidRDefault="00000000">
      <w:pPr>
        <w:numPr>
          <w:ilvl w:val="0"/>
          <w:numId w:val="5"/>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Právo na započítání výsledku projektu do Rejstříku informací o výsledcích má smluvní strana, která daného výsledku projektu dosáhla sama, jinak podle Metodiky hodnocení výsledků výzkumu a vývoje vydávané Radou vlády pro Výzkum a vývoj a platné pro kalendářní rok, v němž má být výsledek projektu vykázán.</w:t>
      </w:r>
    </w:p>
    <w:p w14:paraId="5010DC0D" w14:textId="77777777" w:rsidR="00DD4387" w:rsidRDefault="00DD4387">
      <w:pPr>
        <w:spacing w:after="0" w:line="240" w:lineRule="auto"/>
        <w:jc w:val="center"/>
        <w:rPr>
          <w:rFonts w:ascii="Times New Roman" w:eastAsia="Times New Roman" w:hAnsi="Times New Roman" w:cs="Times New Roman"/>
          <w:b/>
          <w:bCs/>
          <w:sz w:val="24"/>
          <w:szCs w:val="24"/>
        </w:rPr>
      </w:pPr>
    </w:p>
    <w:p w14:paraId="31D6C899" w14:textId="77777777" w:rsidR="00DD4387" w:rsidRDefault="00DD4387">
      <w:pPr>
        <w:spacing w:after="0" w:line="240" w:lineRule="auto"/>
        <w:jc w:val="center"/>
        <w:rPr>
          <w:rFonts w:ascii="Times New Roman" w:eastAsia="Times New Roman" w:hAnsi="Times New Roman" w:cs="Times New Roman"/>
          <w:b/>
          <w:bCs/>
          <w:sz w:val="24"/>
          <w:szCs w:val="24"/>
        </w:rPr>
      </w:pPr>
    </w:p>
    <w:p w14:paraId="17DA6250"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VIII</w:t>
      </w:r>
    </w:p>
    <w:p w14:paraId="2FFA4A8A"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Mlčenlivost</w:t>
      </w:r>
    </w:p>
    <w:p w14:paraId="300A61CE" w14:textId="77777777" w:rsidR="00DD4387" w:rsidRDefault="00000000">
      <w:pPr>
        <w:numPr>
          <w:ilvl w:val="0"/>
          <w:numId w:val="2"/>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Nedohodnou-li se smluvní strany v konkrétním případě jinak, jsou veškeré informace, které získá jedna smluvní strana od druhé smluvní strany v rámci řešení projektu a které nejsou obecně známé, včetně, nikoli však výlučně, know-how, obchodní tajemství, technické a technologické údaje smluvních stran získané v rámci projektu, považovány za důvěrné a smluvní strana, která získala důvěrné informace, je povinna tyto informace uchovat v tajnosti, zajistit, aby k nim neměla přístup třetí strana, a nesdělit je třetí straně. Smluvní strana, které byly důvěrné informace poskytnuty, je smí sdělit pouze svým zaměstnancům a jiným osobám, které jsou pověřeny činnostmi v rámci řešení projektu a které tato smluvní strana zavázala k mlčenlivosti. Smluvní strana, které byly poskytnuty důvěrné informace, nesmí tyto informace použít za jiným účelem než k řešení tohoto projektu. </w:t>
      </w:r>
    </w:p>
    <w:p w14:paraId="1956F53A" w14:textId="77777777" w:rsidR="00DD4387" w:rsidRDefault="00000000">
      <w:pPr>
        <w:numPr>
          <w:ilvl w:val="0"/>
          <w:numId w:val="2"/>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Závazek dle odst. 1 tohoto článku se nevztahuje na informace, které:</w:t>
      </w:r>
    </w:p>
    <w:p w14:paraId="380A804C" w14:textId="77777777" w:rsidR="00DD4387" w:rsidRDefault="00000000">
      <w:pPr>
        <w:numPr>
          <w:ilvl w:val="0"/>
          <w:numId w:val="3"/>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byly písemným souhlasem smluvní strany uvolněny od těchto omezení;</w:t>
      </w:r>
    </w:p>
    <w:p w14:paraId="05E8AF5E" w14:textId="77777777" w:rsidR="00DD4387" w:rsidRDefault="00000000">
      <w:pPr>
        <w:numPr>
          <w:ilvl w:val="0"/>
          <w:numId w:val="3"/>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jsou veřejně dostupné nebo byly zveřejněny jinak než porušením povinnosti smluvní strany, které byly poskytnuty;</w:t>
      </w:r>
    </w:p>
    <w:p w14:paraId="4A9C4EC3" w14:textId="77777777" w:rsidR="00DD4387" w:rsidRDefault="00000000">
      <w:pPr>
        <w:numPr>
          <w:ilvl w:val="0"/>
          <w:numId w:val="3"/>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strana, které byly poskytnuty, je znala zcela prokazatelně dříve, než jí byly sděleny;</w:t>
      </w:r>
    </w:p>
    <w:p w14:paraId="69866FB8" w14:textId="77777777" w:rsidR="00DD4387" w:rsidRDefault="00000000">
      <w:pPr>
        <w:numPr>
          <w:ilvl w:val="0"/>
          <w:numId w:val="3"/>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budou vyvinuty smluvní stranou zcela nezávisle na předchozím sdělení informací smluvní stranou;</w:t>
      </w:r>
    </w:p>
    <w:p w14:paraId="6578E0B9" w14:textId="77777777" w:rsidR="00DD4387" w:rsidRDefault="00000000">
      <w:pPr>
        <w:numPr>
          <w:ilvl w:val="0"/>
          <w:numId w:val="3"/>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budou poskytnuty třetí stranou, která nebude požadovat jejich utajení;</w:t>
      </w:r>
    </w:p>
    <w:p w14:paraId="69521536" w14:textId="77777777" w:rsidR="00DD4387" w:rsidRDefault="00000000">
      <w:pPr>
        <w:numPr>
          <w:ilvl w:val="0"/>
          <w:numId w:val="3"/>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smluvní strana povinna poskytnout ke splnění své zákonné povinnosti.</w:t>
      </w:r>
    </w:p>
    <w:p w14:paraId="0D04AA10" w14:textId="77777777" w:rsidR="00DD4387" w:rsidRDefault="00000000">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Poté, co smluvní strana, které byly druhou smluvní stranou předány důvěrné informace, již tyto informace nebude v rámci řešení projektu potřebovat, je poskytující smluvní strana oprávněna požadovat vrácení všech materiálů obsahujících důvěrné informace a tato smluvní strana je povinna uvedené materiály včetně případných kopií neprodleně vrátit.  </w:t>
      </w:r>
    </w:p>
    <w:p w14:paraId="06FCDB71" w14:textId="77777777" w:rsidR="00DD4387" w:rsidRDefault="00DD4387">
      <w:pPr>
        <w:spacing w:after="0" w:line="240" w:lineRule="auto"/>
        <w:jc w:val="center"/>
        <w:rPr>
          <w:rFonts w:ascii="Times New Roman" w:eastAsia="Times New Roman" w:hAnsi="Times New Roman" w:cs="Times New Roman"/>
          <w:b/>
          <w:bCs/>
          <w:sz w:val="24"/>
          <w:szCs w:val="24"/>
        </w:rPr>
      </w:pPr>
    </w:p>
    <w:p w14:paraId="2D7B374C"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IX</w:t>
      </w:r>
    </w:p>
    <w:p w14:paraId="6B052FC1"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Odpovědnost za škodu</w:t>
      </w:r>
    </w:p>
    <w:p w14:paraId="4105F474" w14:textId="77777777" w:rsidR="00DD4387" w:rsidRDefault="00000000">
      <w:pPr>
        <w:numPr>
          <w:ilvl w:val="0"/>
          <w:numId w:val="9"/>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Právně a finančně odpovědný za správné a zákonné použití finanční podpory smluvními stranami vůči poskytovateli je příjemce.</w:t>
      </w:r>
    </w:p>
    <w:p w14:paraId="1C7FCB01" w14:textId="77777777" w:rsidR="00DD4387" w:rsidRDefault="00000000">
      <w:pPr>
        <w:numPr>
          <w:ilvl w:val="0"/>
          <w:numId w:val="9"/>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strana odpovídá za škodu vzniklou ostatním smluvním stranám i třetím osobám, která vznikne porušením její povinnosti vyplývajících z této smlouvy, jakož i z obecných ustanovení právních předpisů.</w:t>
      </w:r>
    </w:p>
    <w:p w14:paraId="6D9B9610" w14:textId="77777777" w:rsidR="00DD4387"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Žádná ze smluvních stran neodpovídá za škodu vzniklou konáním nebo opomenutím druhé smluvní strany.</w:t>
      </w:r>
    </w:p>
    <w:p w14:paraId="04D8E691" w14:textId="77777777" w:rsidR="00DD4387" w:rsidRDefault="00DD4387">
      <w:pPr>
        <w:spacing w:after="0" w:line="240" w:lineRule="auto"/>
        <w:jc w:val="center"/>
        <w:rPr>
          <w:rFonts w:ascii="Times New Roman" w:eastAsia="Times New Roman" w:hAnsi="Times New Roman" w:cs="Times New Roman"/>
          <w:b/>
          <w:bCs/>
          <w:sz w:val="24"/>
          <w:szCs w:val="24"/>
        </w:rPr>
      </w:pPr>
    </w:p>
    <w:p w14:paraId="1011FACE"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X</w:t>
      </w:r>
    </w:p>
    <w:p w14:paraId="1CCF782C"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Trvání smlouvy</w:t>
      </w:r>
    </w:p>
    <w:p w14:paraId="5E41E076" w14:textId="77777777" w:rsidR="00DD4387" w:rsidRDefault="00000000">
      <w:pPr>
        <w:numPr>
          <w:ilvl w:val="0"/>
          <w:numId w:val="10"/>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Smlouva se uzavírá na dobu určitou, a to do uplynutí doby udržitelnosti projektu.</w:t>
      </w:r>
    </w:p>
    <w:p w14:paraId="204CFCB7" w14:textId="77777777" w:rsidR="00DD4387" w:rsidRDefault="00000000">
      <w:pPr>
        <w:numPr>
          <w:ilvl w:val="0"/>
          <w:numId w:val="10"/>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jsou oprávněny odstoupit od této smlouvy v případě, že kterákoliv smluvní strana poruší své povinnosti vyplývající z této smlouvy podstatným způsobem nebo ani přes výzvu nesplní některou z povinností vyplývající z této smlouvy. </w:t>
      </w:r>
    </w:p>
    <w:p w14:paraId="4487B6E5" w14:textId="77777777" w:rsidR="00DD4387" w:rsidRDefault="00000000">
      <w:pPr>
        <w:numPr>
          <w:ilvl w:val="0"/>
          <w:numId w:val="10"/>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Podstatným porušením povinnosti se přitom zejména rozumí: </w:t>
      </w:r>
    </w:p>
    <w:p w14:paraId="258054CC"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jednání, které zásadně ohrožuje realizaci projektu, nezjedná-li dotčená strana na základě písemné výzvy kterékoliv smluvní strany nápravu takového jednání v dodatečné přiměřené lhůtě, </w:t>
      </w:r>
    </w:p>
    <w:p w14:paraId="4741D546"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rozporu s čl. III odst. 8 této smlouvy se příjemce vzdá práva na čerpání dotace přiznané rozhodnutím o poskytnutí dotace bez předchozího písemného souhlasu dalšího účastníka projektu,</w:t>
      </w:r>
    </w:p>
    <w:p w14:paraId="439FBCFD"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příjemce je v prodlení s poskytnutím dotace pro dalšího účastníka projektu déle než 30 dní,</w:t>
      </w:r>
    </w:p>
    <w:p w14:paraId="62221897"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další účastník projektu včas neposkytne potřebné podklady či informace pro čerpání dotace, čímž vznikne riziko finanční ztráty pro příjemce,</w:t>
      </w:r>
    </w:p>
    <w:p w14:paraId="51163B29"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rozporu s čl. IV odst. 7 této smlouvy příjemce nepodá žádost o platbu nebo neodstraní nedostatky žádosti o platbu ve lhůtě stanovené poskytovatelem,</w:t>
      </w:r>
    </w:p>
    <w:p w14:paraId="5CE879B8"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rozporu s čl. IV odst. 9 této smlouvy příjemce odstoupí od žádosti o platbu ve vztahu k dotaci příslušící dalšímu účastníkovi projektu bez předchozího písemného souhlasu dalšího účastníka projektu,</w:t>
      </w:r>
    </w:p>
    <w:p w14:paraId="5D928246" w14:textId="77777777" w:rsidR="00DD4387" w:rsidRDefault="00000000">
      <w:pPr>
        <w:numPr>
          <w:ilvl w:val="1"/>
          <w:numId w:val="10"/>
        </w:numPr>
        <w:spacing w:after="6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jakékoli porušení povinnost mlčenlivosti dle čl. VIII této smlouvy.</w:t>
      </w:r>
    </w:p>
    <w:p w14:paraId="589CAFFD" w14:textId="77777777" w:rsidR="00DD4387" w:rsidRDefault="00DD4387">
      <w:pPr>
        <w:spacing w:line="240" w:lineRule="auto"/>
        <w:jc w:val="both"/>
        <w:rPr>
          <w:rFonts w:ascii="Times New Roman" w:eastAsia="Times New Roman" w:hAnsi="Times New Roman" w:cs="Times New Roman"/>
          <w:b/>
          <w:bCs/>
          <w:sz w:val="24"/>
          <w:szCs w:val="24"/>
        </w:rPr>
      </w:pPr>
    </w:p>
    <w:p w14:paraId="0E1860B8" w14:textId="77777777" w:rsidR="00DD4387"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Článek XI</w:t>
      </w:r>
    </w:p>
    <w:p w14:paraId="58432438" w14:textId="77777777" w:rsidR="00DD4387" w:rsidRDefault="00000000">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Ostatní ustanovení</w:t>
      </w:r>
    </w:p>
    <w:p w14:paraId="22D16D16" w14:textId="77777777" w:rsidR="00DD4387" w:rsidRDefault="00000000">
      <w:pPr>
        <w:numPr>
          <w:ilvl w:val="0"/>
          <w:numId w:val="6"/>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Jakékoliv změny této smlouvy lze provádět pouze na základě dohody smluvních stran formou písemných dodatků podepsaných oprávněnými zástupci smluvních stran.</w:t>
      </w:r>
    </w:p>
    <w:p w14:paraId="57529851" w14:textId="77777777" w:rsidR="00DD4387" w:rsidRDefault="00000000">
      <w:pPr>
        <w:numPr>
          <w:ilvl w:val="0"/>
          <w:numId w:val="6"/>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případě, že smluvní strany zjistí, že tato smlouva neodpovídá znění podmínek o poskytnutí dotace, zavazují se uzavřít dodatek k této smlouvě. </w:t>
      </w:r>
    </w:p>
    <w:p w14:paraId="16AA4587" w14:textId="77777777" w:rsidR="00DD4387" w:rsidRDefault="00000000">
      <w:pPr>
        <w:numPr>
          <w:ilvl w:val="0"/>
          <w:numId w:val="6"/>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nabývá platnosti dnem podpisu smluvních stran a účinnosti dnem vydání Rozhodnutí o poskytnutí dotace či uveřejněním v registru smluv dle zákona č. 340/2015 Sb.,</w:t>
      </w:r>
      <w:r>
        <w:t xml:space="preserve"> </w:t>
      </w:r>
      <w:r>
        <w:rPr>
          <w:rFonts w:ascii="Times New Roman" w:eastAsia="Times New Roman" w:hAnsi="Times New Roman" w:cs="Times New Roman"/>
          <w:sz w:val="24"/>
          <w:szCs w:val="24"/>
        </w:rPr>
        <w:t xml:space="preserve">o zvláštních podmínkách účinnosti některých smluv, uveřejňování těchto smluv a o registru smluv (zákon o registru smluv), ve znění pozdějších předpisů, podle toho, která z uvedených skutečností nastane později. V případě, že poskytovatel rozhodne o tom, že projekt nebude v rámci výzvy uvedené v čl. II odst. 1 této smlouvy podpořen, tato smlouva zaniká ke dni rozhodnutí poskytovatele. </w:t>
      </w:r>
    </w:p>
    <w:p w14:paraId="1D3A0750" w14:textId="77777777" w:rsidR="00DD4387" w:rsidRDefault="00000000">
      <w:pPr>
        <w:numPr>
          <w:ilvl w:val="0"/>
          <w:numId w:val="6"/>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Vztahy smluvních stran výslovně touto smlouvou neupravené se řídí zákonem č. 89/2012 Sb., občanský zákoník, ve znění pozdějších předpisů, a dalšími obecně závaznými právními předpisy České republiky.</w:t>
      </w:r>
    </w:p>
    <w:p w14:paraId="5637558A" w14:textId="77777777" w:rsidR="00DD4387" w:rsidRDefault="00000000">
      <w:pPr>
        <w:numPr>
          <w:ilvl w:val="0"/>
          <w:numId w:val="6"/>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Příjemce bere na vědomí, že smlouvy uzavírané dalším účastníkem projektu podléhají uveřejnění v registru smluv dle zákona č. 340/2015 Sb.,</w:t>
      </w:r>
      <w:r>
        <w:t xml:space="preserve"> </w:t>
      </w:r>
      <w:r>
        <w:rPr>
          <w:rFonts w:ascii="Times New Roman" w:eastAsia="Times New Roman" w:hAnsi="Times New Roman" w:cs="Times New Roman"/>
          <w:sz w:val="24"/>
          <w:szCs w:val="24"/>
        </w:rPr>
        <w:t xml:space="preserve">o zvláštních podmínkách účinnosti některých smluv, uveřejňování těchto smluv a o registru smluv (zákon o registru smluv), ve znění pozdějších předpisů. Smluvní strany se dohodly, že smlouvu uveřejní další účastník projektu, za účelem uveřejnění musí být tato smlouva předána dalšímu účastníkovi projektu </w:t>
      </w:r>
      <w:r>
        <w:rPr>
          <w:rFonts w:ascii="Times New Roman" w:eastAsia="Times New Roman" w:hAnsi="Times New Roman" w:cs="Times New Roman"/>
          <w:sz w:val="24"/>
          <w:szCs w:val="24"/>
        </w:rPr>
        <w:lastRenderedPageBreak/>
        <w:t>bez zbytečného odkladu po jejím podpisu poslední smluvní stranou (není-li jí sám další účastník projektu).</w:t>
      </w:r>
    </w:p>
    <w:p w14:paraId="23D961EE" w14:textId="77777777" w:rsidR="00DD4387" w:rsidRDefault="00000000">
      <w:pPr>
        <w:numPr>
          <w:ilvl w:val="0"/>
          <w:numId w:val="6"/>
        </w:numPr>
        <w:spacing w:after="120" w:line="240" w:lineRule="auto"/>
        <w:ind w:left="357" w:hanging="357"/>
        <w:jc w:val="both"/>
        <w:rPr>
          <w:rFonts w:ascii="Times New Roman" w:eastAsia="Times New Roman" w:hAnsi="Times New Roman" w:cs="Times New Roman"/>
          <w:sz w:val="24"/>
          <w:szCs w:val="24"/>
        </w:rPr>
      </w:pPr>
      <w:bookmarkStart w:id="8" w:name="_heading=h.acz7jqbth9hf" w:colFirst="0" w:colLast="0"/>
      <w:bookmarkEnd w:id="8"/>
      <w:r>
        <w:rPr>
          <w:rFonts w:ascii="Times New Roman" w:eastAsia="Times New Roman" w:hAnsi="Times New Roman" w:cs="Times New Roman"/>
          <w:sz w:val="24"/>
          <w:szCs w:val="24"/>
        </w:rPr>
        <w:t xml:space="preserve">Pokud je tato smlouva uzavírána elektronickými prostředky, je vyhotovena v jednom originálním vyhotovení, které obdrží každá ze smluvních stran. Pokud je tato smlouva uzavírána v listinné formě, je vyhotovena ve třech vyhotoveních, z nichž každé má platnost originálu, z nichž každá ze smluvních stran obdrží po jednom. </w:t>
      </w:r>
    </w:p>
    <w:p w14:paraId="658EB649" w14:textId="77777777" w:rsidR="00DD4387" w:rsidRDefault="00000000">
      <w:pPr>
        <w:numPr>
          <w:ilvl w:val="0"/>
          <w:numId w:val="6"/>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prohlašují, že tato smlouva byla sepsána na základě jejich pravé a svobodné vůle, nikoliv v tísni ani za jinak nápadně nevýhodných podmínek.</w:t>
      </w:r>
    </w:p>
    <w:p w14:paraId="2EF3EBA8" w14:textId="77777777" w:rsidR="00DD4387" w:rsidRDefault="00DD4387">
      <w:pPr>
        <w:spacing w:line="240" w:lineRule="auto"/>
        <w:jc w:val="both"/>
        <w:rPr>
          <w:rFonts w:ascii="Times New Roman" w:eastAsia="Times New Roman" w:hAnsi="Times New Roman" w:cs="Times New Roman"/>
          <w:sz w:val="24"/>
          <w:szCs w:val="24"/>
        </w:rPr>
      </w:pPr>
    </w:p>
    <w:p w14:paraId="5EA45D67" w14:textId="77777777" w:rsidR="00DD4387" w:rsidRDefault="00DD4387">
      <w:pPr>
        <w:spacing w:line="240" w:lineRule="auto"/>
        <w:jc w:val="both"/>
        <w:rPr>
          <w:rFonts w:ascii="Times New Roman" w:eastAsia="Times New Roman" w:hAnsi="Times New Roman" w:cs="Times New Roman"/>
          <w:sz w:val="24"/>
          <w:szCs w:val="24"/>
        </w:rPr>
      </w:pPr>
    </w:p>
    <w:tbl>
      <w:tblPr>
        <w:tblStyle w:val="a"/>
        <w:tblW w:w="9072" w:type="dxa"/>
        <w:jc w:val="center"/>
        <w:tblInd w:w="0" w:type="dxa"/>
        <w:tblLayout w:type="fixed"/>
        <w:tblLook w:val="0000" w:firstRow="0" w:lastRow="0" w:firstColumn="0" w:lastColumn="0" w:noHBand="0" w:noVBand="0"/>
      </w:tblPr>
      <w:tblGrid>
        <w:gridCol w:w="3946"/>
        <w:gridCol w:w="1014"/>
        <w:gridCol w:w="4112"/>
      </w:tblGrid>
      <w:tr w:rsidR="00DD4387" w14:paraId="2FE92210" w14:textId="77777777">
        <w:trPr>
          <w:jc w:val="center"/>
        </w:trPr>
        <w:tc>
          <w:tcPr>
            <w:tcW w:w="3946" w:type="dxa"/>
          </w:tcPr>
          <w:p w14:paraId="62A01C4C" w14:textId="77777777" w:rsidR="00DD4387" w:rsidRDefault="00000000">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V ………. dne…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tc>
        <w:tc>
          <w:tcPr>
            <w:tcW w:w="1014" w:type="dxa"/>
          </w:tcPr>
          <w:p w14:paraId="336A6E52" w14:textId="77777777" w:rsidR="00DD4387" w:rsidRDefault="00DD4387">
            <w:pPr>
              <w:spacing w:line="240" w:lineRule="auto"/>
              <w:jc w:val="both"/>
              <w:rPr>
                <w:rFonts w:ascii="Times New Roman" w:eastAsia="Times New Roman" w:hAnsi="Times New Roman" w:cs="Times New Roman"/>
                <w:b/>
                <w:bCs/>
                <w:i/>
                <w:iCs/>
                <w:sz w:val="24"/>
                <w:szCs w:val="24"/>
              </w:rPr>
            </w:pPr>
          </w:p>
        </w:tc>
        <w:tc>
          <w:tcPr>
            <w:tcW w:w="4112" w:type="dxa"/>
          </w:tcPr>
          <w:p w14:paraId="15170A0C" w14:textId="77777777" w:rsidR="00DD4387"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V …………dne……………</w:t>
            </w:r>
          </w:p>
        </w:tc>
      </w:tr>
      <w:tr w:rsidR="00DD4387" w14:paraId="53E88E84" w14:textId="77777777">
        <w:trPr>
          <w:jc w:val="center"/>
        </w:trPr>
        <w:tc>
          <w:tcPr>
            <w:tcW w:w="3946" w:type="dxa"/>
          </w:tcPr>
          <w:p w14:paraId="1DCC8007" w14:textId="77777777" w:rsidR="00DD4387" w:rsidRDefault="00DD4387">
            <w:pPr>
              <w:spacing w:line="240" w:lineRule="auto"/>
              <w:jc w:val="both"/>
              <w:rPr>
                <w:rFonts w:ascii="Times New Roman" w:eastAsia="Times New Roman" w:hAnsi="Times New Roman" w:cs="Times New Roman"/>
                <w:sz w:val="24"/>
                <w:szCs w:val="24"/>
              </w:rPr>
            </w:pPr>
          </w:p>
        </w:tc>
        <w:tc>
          <w:tcPr>
            <w:tcW w:w="1014" w:type="dxa"/>
          </w:tcPr>
          <w:p w14:paraId="49585992" w14:textId="77777777" w:rsidR="00DD4387" w:rsidRDefault="00DD4387">
            <w:pPr>
              <w:spacing w:line="240" w:lineRule="auto"/>
              <w:jc w:val="both"/>
              <w:rPr>
                <w:rFonts w:ascii="Times New Roman" w:eastAsia="Times New Roman" w:hAnsi="Times New Roman" w:cs="Times New Roman"/>
                <w:sz w:val="24"/>
                <w:szCs w:val="24"/>
              </w:rPr>
            </w:pPr>
          </w:p>
        </w:tc>
        <w:tc>
          <w:tcPr>
            <w:tcW w:w="4112" w:type="dxa"/>
          </w:tcPr>
          <w:p w14:paraId="5D710563" w14:textId="77777777" w:rsidR="00DD4387" w:rsidRDefault="00DD4387">
            <w:pPr>
              <w:spacing w:line="240" w:lineRule="auto"/>
              <w:jc w:val="both"/>
              <w:rPr>
                <w:rFonts w:ascii="Times New Roman" w:eastAsia="Times New Roman" w:hAnsi="Times New Roman" w:cs="Times New Roman"/>
                <w:b/>
                <w:bCs/>
                <w:sz w:val="24"/>
                <w:szCs w:val="24"/>
              </w:rPr>
            </w:pPr>
          </w:p>
        </w:tc>
      </w:tr>
      <w:tr w:rsidR="00DD4387" w14:paraId="3AB24D68" w14:textId="77777777">
        <w:trPr>
          <w:trHeight w:val="947"/>
          <w:jc w:val="center"/>
        </w:trPr>
        <w:tc>
          <w:tcPr>
            <w:tcW w:w="3946" w:type="dxa"/>
            <w:tcBorders>
              <w:bottom w:val="dashed" w:sz="8" w:space="0" w:color="000000"/>
            </w:tcBorders>
          </w:tcPr>
          <w:p w14:paraId="1BB038D8" w14:textId="77777777" w:rsidR="00DD4387" w:rsidRDefault="00DD4387">
            <w:pPr>
              <w:spacing w:line="240" w:lineRule="auto"/>
              <w:jc w:val="both"/>
              <w:rPr>
                <w:rFonts w:ascii="Times New Roman" w:eastAsia="Times New Roman" w:hAnsi="Times New Roman" w:cs="Times New Roman"/>
                <w:sz w:val="24"/>
                <w:szCs w:val="24"/>
              </w:rPr>
            </w:pPr>
          </w:p>
        </w:tc>
        <w:tc>
          <w:tcPr>
            <w:tcW w:w="1014" w:type="dxa"/>
          </w:tcPr>
          <w:p w14:paraId="5281769B" w14:textId="77777777" w:rsidR="00DD4387" w:rsidRDefault="00DD4387">
            <w:pPr>
              <w:spacing w:line="240" w:lineRule="auto"/>
              <w:jc w:val="both"/>
              <w:rPr>
                <w:rFonts w:ascii="Times New Roman" w:eastAsia="Times New Roman" w:hAnsi="Times New Roman" w:cs="Times New Roman"/>
                <w:sz w:val="24"/>
                <w:szCs w:val="24"/>
              </w:rPr>
            </w:pPr>
          </w:p>
        </w:tc>
        <w:tc>
          <w:tcPr>
            <w:tcW w:w="4112" w:type="dxa"/>
            <w:tcBorders>
              <w:bottom w:val="dashed" w:sz="8" w:space="0" w:color="000000"/>
            </w:tcBorders>
          </w:tcPr>
          <w:p w14:paraId="4BB004BB" w14:textId="77777777" w:rsidR="00DD4387" w:rsidRDefault="00DD4387">
            <w:pPr>
              <w:spacing w:line="240" w:lineRule="auto"/>
              <w:jc w:val="both"/>
              <w:rPr>
                <w:rFonts w:ascii="Times New Roman" w:eastAsia="Times New Roman" w:hAnsi="Times New Roman" w:cs="Times New Roman"/>
                <w:sz w:val="24"/>
                <w:szCs w:val="24"/>
              </w:rPr>
            </w:pPr>
          </w:p>
        </w:tc>
      </w:tr>
      <w:tr w:rsidR="00DD4387" w14:paraId="5698B443" w14:textId="77777777">
        <w:trPr>
          <w:jc w:val="center"/>
        </w:trPr>
        <w:tc>
          <w:tcPr>
            <w:tcW w:w="3946" w:type="dxa"/>
            <w:tcBorders>
              <w:top w:val="dashed" w:sz="8" w:space="0" w:color="000000"/>
            </w:tcBorders>
          </w:tcPr>
          <w:p w14:paraId="65504F98" w14:textId="77777777" w:rsidR="00DD4387"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příjemce</w:t>
            </w:r>
          </w:p>
          <w:p w14:paraId="550A58A1" w14:textId="77777777" w:rsidR="00DD4387" w:rsidRDefault="00DD4387">
            <w:pPr>
              <w:spacing w:line="240" w:lineRule="auto"/>
              <w:jc w:val="both"/>
              <w:rPr>
                <w:rFonts w:ascii="Times New Roman" w:eastAsia="Times New Roman" w:hAnsi="Times New Roman" w:cs="Times New Roman"/>
                <w:sz w:val="24"/>
                <w:szCs w:val="24"/>
              </w:rPr>
            </w:pPr>
          </w:p>
        </w:tc>
        <w:tc>
          <w:tcPr>
            <w:tcW w:w="1014" w:type="dxa"/>
          </w:tcPr>
          <w:p w14:paraId="08F6ED3C" w14:textId="77777777" w:rsidR="00DD4387" w:rsidRDefault="00DD4387">
            <w:pPr>
              <w:spacing w:line="240" w:lineRule="auto"/>
              <w:jc w:val="both"/>
              <w:rPr>
                <w:rFonts w:ascii="Times New Roman" w:eastAsia="Times New Roman" w:hAnsi="Times New Roman" w:cs="Times New Roman"/>
                <w:sz w:val="24"/>
                <w:szCs w:val="24"/>
              </w:rPr>
            </w:pPr>
          </w:p>
        </w:tc>
        <w:tc>
          <w:tcPr>
            <w:tcW w:w="4112" w:type="dxa"/>
            <w:tcBorders>
              <w:top w:val="dashed" w:sz="8" w:space="0" w:color="000000"/>
            </w:tcBorders>
          </w:tcPr>
          <w:p w14:paraId="03F7DAFC" w14:textId="77777777" w:rsidR="00DD4387"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další účastník projektu </w:t>
            </w:r>
          </w:p>
        </w:tc>
      </w:tr>
    </w:tbl>
    <w:p w14:paraId="3B484974" w14:textId="77777777" w:rsidR="00DD4387" w:rsidRDefault="00DD4387">
      <w:pPr>
        <w:spacing w:line="240" w:lineRule="auto"/>
        <w:jc w:val="both"/>
        <w:rPr>
          <w:rFonts w:ascii="Times New Roman" w:eastAsia="Times New Roman" w:hAnsi="Times New Roman" w:cs="Times New Roman"/>
          <w:sz w:val="24"/>
          <w:szCs w:val="24"/>
        </w:rPr>
      </w:pPr>
    </w:p>
    <w:p w14:paraId="5F36BC2F" w14:textId="77777777" w:rsidR="00DD4387"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1DE3722" w14:textId="77777777" w:rsidR="00DD4387" w:rsidRDefault="00DD4387">
      <w:pPr>
        <w:spacing w:line="240" w:lineRule="auto"/>
        <w:jc w:val="both"/>
        <w:rPr>
          <w:rFonts w:ascii="Times New Roman" w:eastAsia="Times New Roman" w:hAnsi="Times New Roman" w:cs="Times New Roman"/>
          <w:sz w:val="24"/>
          <w:szCs w:val="24"/>
        </w:rPr>
      </w:pPr>
    </w:p>
    <w:p w14:paraId="54F5E7F2" w14:textId="77777777" w:rsidR="00DD4387"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Příloha č. 1: Rozpočet </w:t>
      </w:r>
    </w:p>
    <w:sectPr w:rsidR="00DD4387">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F611B" w14:textId="77777777" w:rsidR="00D849A0" w:rsidRDefault="00D849A0">
      <w:pPr>
        <w:spacing w:after="0" w:line="240" w:lineRule="auto"/>
      </w:pPr>
      <w:r>
        <w:separator/>
      </w:r>
    </w:p>
  </w:endnote>
  <w:endnote w:type="continuationSeparator" w:id="0">
    <w:p w14:paraId="4982C786" w14:textId="77777777" w:rsidR="00D849A0" w:rsidRDefault="00D8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4719340-FB23-4E82-AB25-543100E0AB4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90EAD4C-2032-4F6D-993E-ACBDAB7D0942}"/>
    <w:embedBold r:id="rId3" w:fontKey="{F35D042C-B86B-4FC5-9BAC-5538F4F338B7}"/>
  </w:font>
  <w:font w:name="Segoe UI">
    <w:panose1 w:val="020B0502040204020203"/>
    <w:charset w:val="00"/>
    <w:family w:val="swiss"/>
    <w:pitch w:val="variable"/>
    <w:sig w:usb0="E4002EFF" w:usb1="C000E47F" w:usb2="00000009" w:usb3="00000000" w:csb0="000001FF" w:csb1="00000000"/>
    <w:embedRegular r:id="rId4" w:fontKey="{475CB790-D9D1-455E-B062-A9622005C795}"/>
  </w:font>
  <w:font w:name="Georgia">
    <w:panose1 w:val="02040502050405020303"/>
    <w:charset w:val="EE"/>
    <w:family w:val="roman"/>
    <w:pitch w:val="variable"/>
    <w:sig w:usb0="00000287" w:usb1="00000000" w:usb2="00000000" w:usb3="00000000" w:csb0="0000009F" w:csb1="00000000"/>
    <w:embedItalic r:id="rId5" w:fontKey="{49F3CB53-7C0C-4DED-B4A1-B60F44A40A87}"/>
  </w:font>
  <w:font w:name="Cambria">
    <w:altName w:val="Cambria"/>
    <w:panose1 w:val="02040503050406030204"/>
    <w:charset w:val="EE"/>
    <w:family w:val="roman"/>
    <w:pitch w:val="variable"/>
    <w:sig w:usb0="E00006FF" w:usb1="420024FF" w:usb2="02000000" w:usb3="00000000" w:csb0="0000019F" w:csb1="00000000"/>
    <w:embedRegular r:id="rId6" w:fontKey="{EAF6483E-C9BD-45BE-8399-830961297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852FE" w14:textId="77777777" w:rsidR="00DD4387"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B4796">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66B4B5E9" w14:textId="77777777" w:rsidR="00DD4387" w:rsidRDefault="00DD4387">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B3F77" w14:textId="77777777" w:rsidR="00D849A0" w:rsidRDefault="00D849A0">
      <w:pPr>
        <w:spacing w:after="0" w:line="240" w:lineRule="auto"/>
      </w:pPr>
      <w:r>
        <w:separator/>
      </w:r>
    </w:p>
  </w:footnote>
  <w:footnote w:type="continuationSeparator" w:id="0">
    <w:p w14:paraId="56D4A719" w14:textId="77777777" w:rsidR="00D849A0" w:rsidRDefault="00D84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44CD" w14:textId="77777777" w:rsidR="00DD4387" w:rsidRDefault="00DD4387">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p w14:paraId="170D1AEE" w14:textId="77777777" w:rsidR="00DD4387" w:rsidRDefault="00DD4387">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197E"/>
    <w:multiLevelType w:val="multilevel"/>
    <w:tmpl w:val="349A6F0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3A602D"/>
    <w:multiLevelType w:val="multilevel"/>
    <w:tmpl w:val="CD7EEE1C"/>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2601DFC"/>
    <w:multiLevelType w:val="multilevel"/>
    <w:tmpl w:val="1E2E4EB6"/>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B9F4701"/>
    <w:multiLevelType w:val="multilevel"/>
    <w:tmpl w:val="8FDEAA94"/>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02799C"/>
    <w:multiLevelType w:val="multilevel"/>
    <w:tmpl w:val="30C43488"/>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2FE6A8D"/>
    <w:multiLevelType w:val="multilevel"/>
    <w:tmpl w:val="C1101036"/>
    <w:lvl w:ilvl="0">
      <w:start w:val="1"/>
      <w:numFmt w:val="bullet"/>
      <w:lvlText w:val="●"/>
      <w:lvlJc w:val="left"/>
      <w:pPr>
        <w:ind w:left="720" w:hanging="363"/>
      </w:pPr>
      <w:rPr>
        <w:rFonts w:ascii="Noto Sans Symbols" w:eastAsia="Noto Sans Symbols" w:hAnsi="Noto Sans Symbols" w:cs="Noto Sans Symbols"/>
      </w:rPr>
    </w:lvl>
    <w:lvl w:ilvl="1">
      <w:start w:val="2"/>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AB596E"/>
    <w:multiLevelType w:val="multilevel"/>
    <w:tmpl w:val="1BC6FFAC"/>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8D3607"/>
    <w:multiLevelType w:val="multilevel"/>
    <w:tmpl w:val="DC8810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17E1B4C"/>
    <w:multiLevelType w:val="multilevel"/>
    <w:tmpl w:val="E118D10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5381C9B"/>
    <w:multiLevelType w:val="multilevel"/>
    <w:tmpl w:val="37B0C52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0BB27B5"/>
    <w:multiLevelType w:val="multilevel"/>
    <w:tmpl w:val="FBD262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DEB7E46"/>
    <w:multiLevelType w:val="multilevel"/>
    <w:tmpl w:val="34808AF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70249414">
    <w:abstractNumId w:val="6"/>
  </w:num>
  <w:num w:numId="2" w16cid:durableId="1136530777">
    <w:abstractNumId w:val="9"/>
  </w:num>
  <w:num w:numId="3" w16cid:durableId="340550444">
    <w:abstractNumId w:val="10"/>
  </w:num>
  <w:num w:numId="4" w16cid:durableId="1442263704">
    <w:abstractNumId w:val="11"/>
  </w:num>
  <w:num w:numId="5" w16cid:durableId="1648431827">
    <w:abstractNumId w:val="8"/>
  </w:num>
  <w:num w:numId="6" w16cid:durableId="2040426769">
    <w:abstractNumId w:val="2"/>
  </w:num>
  <w:num w:numId="7" w16cid:durableId="1807813045">
    <w:abstractNumId w:val="5"/>
  </w:num>
  <w:num w:numId="8" w16cid:durableId="74518048">
    <w:abstractNumId w:val="4"/>
  </w:num>
  <w:num w:numId="9" w16cid:durableId="1629048860">
    <w:abstractNumId w:val="1"/>
  </w:num>
  <w:num w:numId="10" w16cid:durableId="391929394">
    <w:abstractNumId w:val="7"/>
  </w:num>
  <w:num w:numId="11" w16cid:durableId="1557932647">
    <w:abstractNumId w:val="3"/>
  </w:num>
  <w:num w:numId="12" w16cid:durableId="1492017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87"/>
    <w:rsid w:val="00282FE4"/>
    <w:rsid w:val="00395A70"/>
    <w:rsid w:val="00616044"/>
    <w:rsid w:val="008B4796"/>
    <w:rsid w:val="00974BCC"/>
    <w:rsid w:val="00A1547B"/>
    <w:rsid w:val="00C07660"/>
    <w:rsid w:val="00D849A0"/>
    <w:rsid w:val="00DD4387"/>
    <w:rsid w:val="00F821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7363B"/>
  <w15:docId w15:val="{987E1D0F-EA3F-44B5-98E6-402D37C5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Zpat">
    <w:name w:val="footer"/>
    <w:link w:val="ZpatChar"/>
    <w:uiPriority w:val="99"/>
    <w:rsid w:val="00D827EC"/>
    <w:pPr>
      <w:tabs>
        <w:tab w:val="center" w:pos="4536"/>
        <w:tab w:val="right" w:pos="9072"/>
      </w:tabs>
      <w:spacing w:after="0" w:line="240" w:lineRule="auto"/>
    </w:pPr>
    <w:rPr>
      <w:rFonts w:ascii="Times New Roman" w:eastAsia="Times New Roman" w:hAnsi="Times New Roman" w:cs="Times New Roman"/>
      <w:sz w:val="24"/>
      <w:szCs w:val="24"/>
      <w:lang w:val="x-none"/>
    </w:rPr>
  </w:style>
  <w:style w:type="character" w:customStyle="1" w:styleId="ZpatChar">
    <w:name w:val="Zápatí Char"/>
    <w:basedOn w:val="Standardnpsmoodstavce"/>
    <w:link w:val="Zpat"/>
    <w:uiPriority w:val="99"/>
    <w:rsid w:val="00D827EC"/>
    <w:rPr>
      <w:rFonts w:ascii="Times New Roman" w:eastAsia="Times New Roman" w:hAnsi="Times New Roman" w:cs="Times New Roman"/>
      <w:sz w:val="24"/>
      <w:szCs w:val="24"/>
      <w:lang w:val="x-none" w:eastAsia="cs-CZ"/>
    </w:rPr>
  </w:style>
  <w:style w:type="paragraph" w:styleId="Zhlav">
    <w:name w:val="header"/>
    <w:link w:val="ZhlavChar"/>
    <w:uiPriority w:val="99"/>
    <w:unhideWhenUsed/>
    <w:rsid w:val="00D827EC"/>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ZhlavChar">
    <w:name w:val="Záhlaví Char"/>
    <w:basedOn w:val="Standardnpsmoodstavce"/>
    <w:link w:val="Zhlav"/>
    <w:uiPriority w:val="99"/>
    <w:rsid w:val="00D827EC"/>
    <w:rPr>
      <w:rFonts w:ascii="Times New Roman" w:eastAsia="Times New Roman" w:hAnsi="Times New Roman" w:cs="Times New Roman"/>
      <w:sz w:val="24"/>
      <w:szCs w:val="24"/>
      <w:lang w:val="x-none" w:eastAsia="x-none"/>
    </w:rPr>
  </w:style>
  <w:style w:type="paragraph" w:styleId="Odstavecseseznamem">
    <w:name w:val="List Paragraph"/>
    <w:uiPriority w:val="34"/>
    <w:qFormat/>
    <w:rsid w:val="00A375E1"/>
    <w:pPr>
      <w:ind w:left="720"/>
      <w:contextualSpacing/>
    </w:pPr>
  </w:style>
  <w:style w:type="paragraph" w:styleId="Revize">
    <w:name w:val="Revision"/>
    <w:hidden/>
    <w:uiPriority w:val="99"/>
    <w:semiHidden/>
    <w:rsid w:val="00236B08"/>
    <w:pPr>
      <w:spacing w:after="0" w:line="240" w:lineRule="auto"/>
    </w:pPr>
  </w:style>
  <w:style w:type="paragraph" w:styleId="Textbubliny">
    <w:name w:val="Balloon Text"/>
    <w:link w:val="TextbublinyChar"/>
    <w:uiPriority w:val="99"/>
    <w:semiHidden/>
    <w:unhideWhenUsed/>
    <w:rsid w:val="00E4126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4126F"/>
    <w:rPr>
      <w:rFonts w:ascii="Segoe UI" w:hAnsi="Segoe UI" w:cs="Segoe UI"/>
      <w:sz w:val="18"/>
      <w:szCs w:val="18"/>
    </w:rPr>
  </w:style>
  <w:style w:type="character" w:styleId="Hypertextovodkaz">
    <w:name w:val="Hyperlink"/>
    <w:basedOn w:val="Standardnpsmoodstavce"/>
    <w:uiPriority w:val="99"/>
    <w:unhideWhenUsed/>
    <w:rsid w:val="00DA6A0E"/>
    <w:rPr>
      <w:color w:val="0000FF" w:themeColor="hyperlink"/>
      <w:u w:val="single"/>
    </w:rPr>
  </w:style>
  <w:style w:type="character" w:customStyle="1" w:styleId="Nevyeenzmnka1">
    <w:name w:val="Nevyřešená zmínka1"/>
    <w:basedOn w:val="Standardnpsmoodstavce"/>
    <w:uiPriority w:val="99"/>
    <w:semiHidden/>
    <w:unhideWhenUsed/>
    <w:rsid w:val="00DA6A0E"/>
    <w:rPr>
      <w:color w:val="605E5C"/>
      <w:shd w:val="clear" w:color="auto" w:fill="E1DFDD"/>
    </w:rPr>
  </w:style>
  <w:style w:type="character" w:styleId="Odkaznakoment">
    <w:name w:val="annotation reference"/>
    <w:basedOn w:val="Standardnpsmoodstavce"/>
    <w:uiPriority w:val="99"/>
    <w:semiHidden/>
    <w:unhideWhenUsed/>
    <w:rsid w:val="00AB5BE8"/>
    <w:rPr>
      <w:sz w:val="16"/>
      <w:szCs w:val="16"/>
    </w:rPr>
  </w:style>
  <w:style w:type="paragraph" w:styleId="Textkomente">
    <w:name w:val="annotation text"/>
    <w:link w:val="TextkomenteChar"/>
    <w:uiPriority w:val="99"/>
    <w:unhideWhenUsed/>
    <w:rsid w:val="00AB5BE8"/>
    <w:pPr>
      <w:spacing w:line="240" w:lineRule="auto"/>
    </w:pPr>
    <w:rPr>
      <w:sz w:val="20"/>
      <w:szCs w:val="20"/>
    </w:rPr>
  </w:style>
  <w:style w:type="character" w:customStyle="1" w:styleId="TextkomenteChar">
    <w:name w:val="Text komentáře Char"/>
    <w:basedOn w:val="Standardnpsmoodstavce"/>
    <w:link w:val="Textkomente"/>
    <w:uiPriority w:val="99"/>
    <w:rsid w:val="00AB5BE8"/>
    <w:rPr>
      <w:sz w:val="20"/>
      <w:szCs w:val="20"/>
    </w:rPr>
  </w:style>
  <w:style w:type="paragraph" w:styleId="Pedmtkomente">
    <w:name w:val="annotation subject"/>
    <w:basedOn w:val="Textkomente"/>
    <w:next w:val="Textkomente"/>
    <w:link w:val="PedmtkomenteChar"/>
    <w:uiPriority w:val="99"/>
    <w:semiHidden/>
    <w:unhideWhenUsed/>
    <w:rsid w:val="00AB5BE8"/>
    <w:rPr>
      <w:b/>
      <w:bCs/>
    </w:rPr>
  </w:style>
  <w:style w:type="character" w:customStyle="1" w:styleId="PedmtkomenteChar">
    <w:name w:val="Předmět komentáře Char"/>
    <w:basedOn w:val="TextkomenteChar"/>
    <w:link w:val="Pedmtkomente"/>
    <w:uiPriority w:val="99"/>
    <w:semiHidden/>
    <w:rsid w:val="00AB5BE8"/>
    <w:rPr>
      <w:b/>
      <w:bCs/>
      <w:sz w:val="20"/>
      <w:szCs w:val="20"/>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iagentura.gov.cz/cs/podporovane-aktivity-optak/proof-of-concept-optak/proof-of-concept-vyzva-ii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mOqHca1cG9h9rUe4X241a4Gug==">CgMxLjAyDmgudTZhMjBqOG1vc2VlMg5oLnk4cnVveGRqM3QyZzIOaC5oZ3FuYThxaHdtOWUyDmguanh2OGoxc204c2QzMg5oLjk4cXc4dDFjN2lmdTIOaC44MXNocDRwc2x2eTgyDmgudXN5MnplZWRrZHk4Mg5oLnFpbGVlaDNyOWZ1djIOaC5hY3o3anFidGg5aGY4AGpBCjVzdWdnZXN0SWRJbXBvcnQxNTY5ZmY0Yy05M2FjLTQwYmQtYTFlMS1iNWZlOWI2NmJkNzVfMRIIa3Jza292YXpyITFwYkxTVXdQTlNLMkdkUVh2cTRDOU1GMzUzQXl0V3pG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3604</Words>
  <Characters>21267</Characters>
  <Application>Microsoft Office Word</Application>
  <DocSecurity>0</DocSecurity>
  <Lines>177</Lines>
  <Paragraphs>49</Paragraphs>
  <ScaleCrop>false</ScaleCrop>
  <Company>Západočeská univerzita v Plzni</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Jitka GAMMONS</dc:creator>
  <cp:lastModifiedBy>Blanka Grebeňová</cp:lastModifiedBy>
  <cp:revision>2</cp:revision>
  <dcterms:created xsi:type="dcterms:W3CDTF">2026-04-10T05:26:00Z</dcterms:created>
  <dcterms:modified xsi:type="dcterms:W3CDTF">2026-04-10T05:26:00Z</dcterms:modified>
</cp:coreProperties>
</file>