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14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2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zhotovitele: 718/2025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2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1233/2025</w:t>
      </w:r>
    </w:p>
    <w:tbl>
      <w:tblPr>
        <w:tblOverlap w:val="never"/>
        <w:jc w:val="center"/>
        <w:tblLayout w:type="fixed"/>
      </w:tblPr>
      <w:tblGrid>
        <w:gridCol w:w="3542"/>
        <w:gridCol w:w="5429"/>
      </w:tblGrid>
      <w:tr>
        <w:trPr>
          <w:trHeight w:val="336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bookmarkStart w:id="0" w:name="bookmark0"/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Ohře LB (Mikulovice) - očištění skalního masivu – Etapa 1, úsek B–</w:t>
            </w:r>
            <w:bookmarkEnd w:id="0"/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DSJ</w:t>
            </w:r>
          </w:p>
        </w:tc>
      </w:tr>
      <w:tr>
        <w:trPr>
          <w:trHeight w:val="1934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18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  <w:tab/>
              <w:t>Povodí Ohře, státní podnik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18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sídlo:</w:t>
              <w:tab/>
              <w:t>Bezručova 4219, 430 03 Chomutov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statutární orgán: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bookmarkStart w:id="1" w:name="bookmark1"/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oprávněn k podpisu smlouvy</w:t>
            </w:r>
            <w:bookmarkEnd w:id="1"/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 k jednání o věcech smluvních: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oprávněn jednat o věcech technických:</w:t>
            </w:r>
          </w:p>
        </w:tc>
      </w:tr>
      <w:tr>
        <w:trPr>
          <w:trHeight w:val="55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zástupce objednatele: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5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 bankovní spojení: 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66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70889988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CZ70889988</w:t>
            </w:r>
          </w:p>
        </w:tc>
      </w:tr>
      <w:tr>
        <w:trPr>
          <w:trHeight w:val="8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zápis v obchodním rejstříku: vložce č. 13052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u Krajského soudu v Ústí nad Labem v oddílu A,</w:t>
            </w:r>
          </w:p>
        </w:tc>
      </w:tr>
      <w:tr>
        <w:trPr>
          <w:trHeight w:val="55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(dále jen „objednatel“)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sídlo: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zástupce ve věcech smluvních: zástupce ve věcech technických: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6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STRIX Inženýring, spol. s.r.o.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60" w:right="0" w:firstLine="6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Polní 4795, 430 01 Chomutov 25435396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CZ25435396</w:t>
            </w:r>
          </w:p>
        </w:tc>
      </w:tr>
      <w:tr>
        <w:trPr>
          <w:trHeight w:val="15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číslo účtu: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bookmarkStart w:id="2" w:name="bookmark2"/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zápis v obchodním rejstříku: vložka 18196</w:t>
            </w:r>
            <w:bookmarkEnd w:id="2"/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u Krajského soudu v Ústí nad Labem, oddíl C,</w:t>
            </w:r>
          </w:p>
        </w:tc>
      </w:tr>
    </w:tbl>
    <w:p>
      <w:pPr>
        <w:widowControl w:val="0"/>
        <w:spacing w:after="8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dále jen „smluvní strany“)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je uzavírán z důvodu omezení řešené lokality v úseku B pouze na oblast dokumentačního bodu DB 11, a to v návaznosti na výsledky Inženýrskogeologického průzkumu skalních stěn.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v části dodatku A) mění Čl. I. PŘEDMĚT SMLOUVY A PŘEDMĚT DÍLA, dále Čl. IV. CENA a Čl. V. PLATEBNÍ PODMÍNKY a v části dodatku B) se mění Příloha č. 1 smlouvy 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 dodatku A)</w:t>
      </w:r>
    </w:p>
    <w:p>
      <w:pPr>
        <w:pStyle w:val="Style1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80" w:val="left"/>
        </w:tabs>
        <w:bidi w:val="0"/>
        <w:spacing w:before="0" w:line="276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bookmarkStart w:id="6" w:name="bookmark6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SMLOUVY A PŘEDMĚT DÍLA</w:t>
      </w:r>
      <w:bookmarkEnd w:id="3"/>
      <w:bookmarkEnd w:id="4"/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veřejné zakázky je zpracování projektové dokumentace pro provádění stavby, včetně soupisu prací a vyhodnocení potřeby zajištění koordinátora BOZP v přípravě a realizaci.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7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Předmětem díla je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zpracovaní PD DSJ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úseku B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„IG Průzkum skalních stěn – skály na LB VT Ohře, v ř.km cca 128,9 – 128,33“ z roku 10/2022.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Předmětem veřejné zakázky je zpracování projektové dokumentace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povolení stavby s náležitostmi dokumentace pro provedení stavby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včetně soupisu prací a vyhodnocení potřeby zajištění koordinátora BOZP v přípravě a realizaci.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7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Předmětem díla je lokální stabilizace skalního bloku v oblasti dokumentačního bodu DB 11 v úseku B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„IG Průzkum skalních stěn – skály na LB VT Ohře, v ř.km cca 128,9 – 128,33“ z roku 10/2022.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IV. CENA</w:t>
      </w:r>
      <w:bookmarkEnd w:id="7"/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 zahrnuje veškeré náklady zhotovitele související s realizací díla a činí celkem: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265.000,-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 zahrnuje veškeré náklady zhotovitele související s realizací díla a činí celkem: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155.000,- Kč bez DPH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V. PLATEBNÍ PODMÍNKY</w:t>
      </w:r>
      <w:bookmarkEnd w:id="10"/>
      <w:bookmarkEnd w:id="11"/>
      <w:bookmarkEnd w:id="1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bude provedena následovně: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92" w:val="left"/>
        </w:tabs>
        <w:bidi w:val="0"/>
        <w:spacing w:before="0" w:line="240" w:lineRule="auto"/>
        <w:ind w:left="720" w:right="0" w:hanging="32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 první dílčího plnění dnem protokolárního předání a převzetí PD dle čl. III., odst.1, písm. b) této smlouvy ve výši 80 %, z částky 265 000,- Kč bez DPH tj.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212 000,- Kč bez DPH.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92" w:val="left"/>
        </w:tabs>
        <w:bidi w:val="0"/>
        <w:spacing w:before="0" w:after="440" w:line="240" w:lineRule="auto"/>
        <w:ind w:left="720" w:right="0" w:hanging="32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 celkového plnění dnem podpisu „Rozhodnutí“ o schválení PD generálním ředitelem Povodí Ohře, s. p., po předchozím projednání v dokumentační komisi (DK) ve výši zbývajících 20 % z částky 265 000,- Kč bez DPH, tj.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53 000,- Kč bez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72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Schválení PD v DK je povinen objednatel oznámit zhotoviteli do 5 pracovních dnů po podpisu Rozhodnutí generálním ředitelem Povodí Ohře, s. p.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bude provedena následovně: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a) V případě první dílčího plnění dnem protokolárního předání a převzetí PD dle čl. III, odst.1, písm. b) této smlouvy ve výši 80 %, z částky 155 000,- Kč bez DPH tj.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124 000,- Kč bez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72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b) V případě celkového plnění dnem podpisu „Rozhodnutí“ o schválení PD generálním ředitelem Povodí Ohře, s. p., po předchozím projednání v dokumentační komisi (DK) ve výši zbývajících 20 % z částky 155 000,- Kč bez DPH, tj.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31 000,- Kč bez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Schválení PD v DK je povinen objednatel oznámit zhotoviteli do 5 pracovních dnů po podpisu Rozhodnutí generálním ředitelem Povodí Ohře, s. p.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 dodatku B)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Dodatkem se také mění příloha č. 1 smlouvy Cenová nabídka ze dne 10.10.2025 Etapa E1, která se nově nahrazuje přílohou č. 1 CN_DB11_Mikulovice_sanace_skal_projekt.pdf, která tvoří přílohu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 dodatku C)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1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Ostatní ujednání předmětné smlouvy zůstávají beze změn.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2" w:val="left"/>
        </w:tabs>
        <w:bidi w:val="0"/>
        <w:spacing w:before="0" w:line="240" w:lineRule="auto"/>
        <w:ind w:left="380" w:right="0" w:hanging="380"/>
        <w:jc w:val="left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2" w:val="left"/>
        </w:tabs>
        <w:bidi w:val="0"/>
        <w:spacing w:before="0" w:line="240" w:lineRule="auto"/>
        <w:ind w:left="0" w:right="0" w:firstLine="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2" w:val="left"/>
        </w:tabs>
        <w:bidi w:val="0"/>
        <w:spacing w:before="0" w:after="460" w:line="240" w:lineRule="auto"/>
        <w:ind w:left="440" w:right="0" w:hanging="44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 dodatku: Příloha č.1: Cenová nabídka ze dne 13.03.2026 DB11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60" w:right="0" w:firstLine="0"/>
        <w:jc w:val="both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192" w:left="1372" w:right="1407" w:bottom="1491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875665</wp:posOffset>
                </wp:positionH>
                <wp:positionV relativeFrom="paragraph">
                  <wp:posOffset>12700</wp:posOffset>
                </wp:positionV>
                <wp:extent cx="1167130" cy="22542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6713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8.950000000000003pt;margin-top:1.pt;width:91.900000000000006pt;height:17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dne: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0" w:after="10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1" w:left="0" w:right="0" w:bottom="963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1" w:left="1394" w:right="2364" w:bottom="9633" w:header="0" w:footer="3" w:gutter="0"/>
          <w:cols w:num="2" w:space="175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2" w:after="8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1" w:left="0" w:right="0" w:bottom="142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Povodí Ohře, státní podnik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 společnosti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1" w:left="1677" w:right="2642" w:bottom="1420" w:header="0" w:footer="3" w:gutter="0"/>
          <w:cols w:num="2" w:space="1752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STRIX Inženýring, spol. s.r.o.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281" w:left="1677" w:right="2642" w:bottom="1420" w:header="0" w:footer="3" w:gutter="0"/>
      <w:cols w:num="2" w:space="1752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6026785</wp:posOffset>
              </wp:positionH>
              <wp:positionV relativeFrom="page">
                <wp:posOffset>9808845</wp:posOffset>
              </wp:positionV>
              <wp:extent cx="673735" cy="1644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4.55000000000001pt;margin-top:772.35000000000002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4768215</wp:posOffset>
              </wp:positionH>
              <wp:positionV relativeFrom="page">
                <wp:posOffset>379095</wp:posOffset>
              </wp:positionV>
              <wp:extent cx="1932305" cy="1892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32305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Dodatek č. 1 k SOD 1233/2025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5.44999999999999pt;margin-top:29.850000000000001pt;width:152.15000000000001pt;height:14.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Dodatek č. 1 k SOD 1233/2025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2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before="70" w:after="8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spacing w:after="440" w:line="257" w:lineRule="auto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