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0B5C13F3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DD5C5A">
        <w:rPr>
          <w:sz w:val="22"/>
          <w:szCs w:val="22"/>
        </w:rPr>
        <w:t>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64CFCAC9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DD5C5A">
        <w:rPr>
          <w:sz w:val="22"/>
          <w:szCs w:val="22"/>
        </w:rPr>
        <w:t>…</w:t>
      </w:r>
      <w:proofErr w:type="gramStart"/>
      <w:r w:rsidR="00DD5C5A">
        <w:rPr>
          <w:sz w:val="22"/>
          <w:szCs w:val="22"/>
        </w:rPr>
        <w:t>…….</w:t>
      </w:r>
      <w:proofErr w:type="gramEnd"/>
      <w:r w:rsidR="00DD5C5A">
        <w:rPr>
          <w:sz w:val="22"/>
          <w:szCs w:val="22"/>
        </w:rPr>
        <w:t>.</w:t>
      </w:r>
      <w:r w:rsidRPr="00A03C83">
        <w:rPr>
          <w:sz w:val="22"/>
          <w:szCs w:val="22"/>
        </w:rPr>
        <w:t xml:space="preserve">, </w:t>
      </w:r>
      <w:hyperlink r:id="rId8" w:history="1">
        <w:r w:rsidRPr="00A03C83">
          <w:rPr>
            <w:rStyle w:val="Hypertextovodkaz"/>
            <w:color w:val="auto"/>
            <w:sz w:val="22"/>
            <w:szCs w:val="22"/>
            <w:u w:val="none"/>
          </w:rPr>
          <w:t>romp@pld.cz</w:t>
        </w:r>
      </w:hyperlink>
      <w:r w:rsidRPr="00A03C83">
        <w:rPr>
          <w:sz w:val="22"/>
          <w:szCs w:val="22"/>
        </w:rPr>
        <w:t xml:space="preserve">, </w:t>
      </w:r>
      <w:r w:rsidR="00DD5C5A">
        <w:rPr>
          <w:sz w:val="22"/>
          <w:szCs w:val="22"/>
        </w:rPr>
        <w:t>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5B91F6E7" w:rsidR="009D3AA4" w:rsidRPr="00F7752E" w:rsidRDefault="003334E0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DSD PROFI, s.r.o.</w:t>
      </w:r>
    </w:p>
    <w:p w14:paraId="5EE075F4" w14:textId="242870A5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334E0">
        <w:rPr>
          <w:rFonts w:ascii="Times New Roman" w:hAnsi="Times New Roman"/>
          <w:b w:val="0"/>
          <w:sz w:val="22"/>
          <w:szCs w:val="22"/>
        </w:rPr>
        <w:t>Karlova 5, 301 00 Plzeň</w:t>
      </w:r>
    </w:p>
    <w:p w14:paraId="6419FF1C" w14:textId="30E8559D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3334E0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 </w:t>
      </w:r>
      <w:r w:rsidR="003334E0">
        <w:rPr>
          <w:rFonts w:ascii="Times New Roman" w:hAnsi="Times New Roman"/>
          <w:b w:val="0"/>
          <w:sz w:val="22"/>
          <w:szCs w:val="22"/>
        </w:rPr>
        <w:t>Plzni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3334E0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3334E0">
        <w:rPr>
          <w:rFonts w:ascii="Times New Roman" w:hAnsi="Times New Roman"/>
          <w:b w:val="0"/>
          <w:sz w:val="22"/>
          <w:szCs w:val="22"/>
        </w:rPr>
        <w:t>4324</w:t>
      </w:r>
    </w:p>
    <w:p w14:paraId="545CBD79" w14:textId="11E04F61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334E0">
        <w:rPr>
          <w:rFonts w:ascii="Times New Roman" w:hAnsi="Times New Roman"/>
          <w:b w:val="0"/>
          <w:sz w:val="22"/>
          <w:szCs w:val="22"/>
        </w:rPr>
        <w:t>49196448</w:t>
      </w:r>
    </w:p>
    <w:p w14:paraId="04DD9ECE" w14:textId="6367B87E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334E0">
        <w:rPr>
          <w:rFonts w:ascii="Times New Roman" w:hAnsi="Times New Roman"/>
          <w:b w:val="0"/>
          <w:sz w:val="22"/>
          <w:szCs w:val="22"/>
        </w:rPr>
        <w:t>CZ49196448</w:t>
      </w:r>
    </w:p>
    <w:p w14:paraId="45220221" w14:textId="18B5457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334E0">
        <w:rPr>
          <w:rFonts w:ascii="Times New Roman" w:hAnsi="Times New Roman"/>
          <w:b w:val="0"/>
          <w:sz w:val="22"/>
          <w:szCs w:val="22"/>
        </w:rPr>
        <w:t>Vladimír Kremláček, jednatel společnosti</w:t>
      </w:r>
    </w:p>
    <w:p w14:paraId="738BC35C" w14:textId="5CB49FB9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D5C5A">
        <w:rPr>
          <w:rFonts w:ascii="Times New Roman" w:hAnsi="Times New Roman"/>
          <w:b w:val="0"/>
          <w:sz w:val="22"/>
          <w:szCs w:val="22"/>
        </w:rPr>
        <w:t>…………</w:t>
      </w:r>
      <w:r w:rsidR="003334E0">
        <w:rPr>
          <w:rFonts w:ascii="Times New Roman" w:hAnsi="Times New Roman"/>
          <w:b w:val="0"/>
          <w:sz w:val="22"/>
          <w:szCs w:val="22"/>
        </w:rPr>
        <w:t xml:space="preserve">, </w:t>
      </w:r>
      <w:hyperlink r:id="rId9" w:history="1">
        <w:r w:rsidR="00DD5C5A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  <w:u w:val="none"/>
          </w:rPr>
          <w:t>……</w:t>
        </w:r>
        <w:proofErr w:type="gramStart"/>
        <w:r w:rsidR="00DD5C5A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  <w:u w:val="none"/>
          </w:rPr>
          <w:t>…….</w:t>
        </w:r>
        <w:proofErr w:type="gramEnd"/>
        <w:r w:rsidR="003334E0" w:rsidRPr="003334E0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  <w:u w:val="none"/>
          </w:rPr>
          <w:t>@dsdprofi.cz</w:t>
        </w:r>
      </w:hyperlink>
      <w:r w:rsidR="003334E0" w:rsidRPr="003334E0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="00DD5C5A">
        <w:rPr>
          <w:rFonts w:ascii="Times New Roman" w:hAnsi="Times New Roman"/>
          <w:b w:val="0"/>
          <w:sz w:val="22"/>
          <w:szCs w:val="22"/>
        </w:rPr>
        <w:t>……</w:t>
      </w:r>
      <w:proofErr w:type="gramStart"/>
      <w:r w:rsidR="00DD5C5A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3334E0">
        <w:rPr>
          <w:rFonts w:ascii="Times New Roman" w:hAnsi="Times New Roman"/>
          <w:b w:val="0"/>
          <w:sz w:val="22"/>
          <w:szCs w:val="22"/>
        </w:rPr>
        <w:t>, obchodní manažer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7AF887AF" w:rsidR="009D3AA4" w:rsidRPr="0073020B" w:rsidRDefault="009D3AA4" w:rsidP="00E14D1A">
      <w:pPr>
        <w:pStyle w:val="Odstavecseseznamem"/>
        <w:numPr>
          <w:ilvl w:val="0"/>
          <w:numId w:val="34"/>
        </w:numPr>
        <w:spacing w:after="120"/>
        <w:ind w:left="284"/>
        <w:jc w:val="both"/>
      </w:pPr>
      <w:r w:rsidRPr="00E14D1A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E14D1A">
        <w:rPr>
          <w:sz w:val="22"/>
          <w:szCs w:val="22"/>
        </w:rPr>
        <w:t>Tendermarket</w:t>
      </w:r>
      <w:proofErr w:type="spellEnd"/>
      <w:r w:rsidRPr="00E14D1A">
        <w:rPr>
          <w:sz w:val="22"/>
          <w:szCs w:val="22"/>
        </w:rPr>
        <w:t xml:space="preserve">) na veřejnou zakázku malého rozsahu na dodávky s názvem </w:t>
      </w:r>
      <w:r w:rsidRPr="00E14D1A">
        <w:rPr>
          <w:b/>
          <w:sz w:val="22"/>
          <w:szCs w:val="22"/>
          <w:u w:val="single"/>
        </w:rPr>
        <w:t>„</w:t>
      </w:r>
      <w:r w:rsidRPr="00E14D1A">
        <w:rPr>
          <w:b/>
          <w:u w:val="single"/>
        </w:rPr>
        <w:t>Nákup</w:t>
      </w:r>
      <w:r w:rsidR="0030094D" w:rsidRPr="00E14D1A">
        <w:rPr>
          <w:b/>
          <w:u w:val="single"/>
        </w:rPr>
        <w:t xml:space="preserve"> </w:t>
      </w:r>
      <w:r w:rsidR="0094338C" w:rsidRPr="00E14D1A">
        <w:rPr>
          <w:b/>
          <w:sz w:val="22"/>
          <w:szCs w:val="22"/>
          <w:u w:val="single"/>
        </w:rPr>
        <w:t>průmyslových myček</w:t>
      </w:r>
      <w:r w:rsidRPr="00E14D1A">
        <w:rPr>
          <w:b/>
          <w:sz w:val="22"/>
          <w:szCs w:val="22"/>
          <w:u w:val="single"/>
        </w:rPr>
        <w:t>“</w:t>
      </w:r>
      <w:r w:rsidRPr="00E14D1A">
        <w:rPr>
          <w:sz w:val="22"/>
          <w:szCs w:val="22"/>
        </w:rPr>
        <w:t xml:space="preserve"> (ID veřejné zakázky na elektronick</w:t>
      </w:r>
      <w:r w:rsidR="008F0397" w:rsidRPr="00E14D1A">
        <w:rPr>
          <w:sz w:val="22"/>
          <w:szCs w:val="22"/>
        </w:rPr>
        <w:t xml:space="preserve">ém tržišti </w:t>
      </w:r>
      <w:proofErr w:type="spellStart"/>
      <w:r w:rsidR="008F0397" w:rsidRPr="00E14D1A">
        <w:rPr>
          <w:sz w:val="22"/>
          <w:szCs w:val="22"/>
        </w:rPr>
        <w:t>Tendermarket</w:t>
      </w:r>
      <w:proofErr w:type="spellEnd"/>
      <w:r w:rsidR="008F0397" w:rsidRPr="00E14D1A">
        <w:rPr>
          <w:sz w:val="22"/>
          <w:szCs w:val="22"/>
        </w:rPr>
        <w:t>:</w:t>
      </w:r>
      <w:bookmarkStart w:id="0" w:name="_Hlk222987468"/>
      <w:r w:rsidR="0073020B" w:rsidRPr="00E14D1A">
        <w:rPr>
          <w:sz w:val="22"/>
          <w:szCs w:val="22"/>
        </w:rPr>
        <w:t xml:space="preserve"> (MVZ260000065</w:t>
      </w:r>
      <w:bookmarkEnd w:id="0"/>
      <w:r w:rsidRPr="00E14D1A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63A59FC7" w:rsidR="002E0AFA" w:rsidRPr="00381D0C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3E6C1A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0908A0" w:rsidRPr="000908A0">
        <w:rPr>
          <w:b/>
          <w:bCs/>
          <w:sz w:val="22"/>
          <w:szCs w:val="22"/>
          <w:u w:val="single"/>
        </w:rPr>
        <w:t>2</w:t>
      </w:r>
      <w:r w:rsidR="0094338C" w:rsidRPr="000908A0">
        <w:rPr>
          <w:b/>
          <w:bCs/>
          <w:sz w:val="22"/>
          <w:szCs w:val="23"/>
          <w:u w:val="single"/>
        </w:rPr>
        <w:t xml:space="preserve"> </w:t>
      </w:r>
      <w:r w:rsidR="0094338C" w:rsidRPr="00381D0C">
        <w:rPr>
          <w:b/>
          <w:sz w:val="22"/>
          <w:szCs w:val="23"/>
          <w:u w:val="single"/>
        </w:rPr>
        <w:t>ks podpultová myčka s</w:t>
      </w:r>
      <w:r w:rsidR="000908A0">
        <w:rPr>
          <w:b/>
          <w:sz w:val="22"/>
          <w:szCs w:val="23"/>
          <w:u w:val="single"/>
        </w:rPr>
        <w:t> </w:t>
      </w:r>
      <w:r w:rsidR="0094338C" w:rsidRPr="00381D0C">
        <w:rPr>
          <w:b/>
          <w:sz w:val="22"/>
          <w:szCs w:val="23"/>
          <w:u w:val="single"/>
        </w:rPr>
        <w:t>podstavcem</w:t>
      </w:r>
      <w:r w:rsidR="000908A0">
        <w:rPr>
          <w:b/>
          <w:sz w:val="22"/>
          <w:szCs w:val="23"/>
          <w:u w:val="single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08EA5F23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Součástí předmětu plnění je i doprava zboží do místa plnění, jeho vykládka na místě určení,</w:t>
      </w:r>
      <w:r w:rsidR="009D3AA4" w:rsidRPr="0059786B">
        <w:rPr>
          <w:sz w:val="22"/>
          <w:szCs w:val="22"/>
        </w:rPr>
        <w:t xml:space="preserve"> </w:t>
      </w:r>
      <w:r w:rsidR="0030094D">
        <w:rPr>
          <w:sz w:val="22"/>
          <w:szCs w:val="22"/>
        </w:rPr>
        <w:t xml:space="preserve">kompletní montáž, </w:t>
      </w:r>
      <w:r w:rsidR="0094338C" w:rsidRPr="00AB1C93">
        <w:t>zaškolení zaměstnanců</w:t>
      </w:r>
      <w:r w:rsidR="0094338C">
        <w:t xml:space="preserve"> </w:t>
      </w:r>
      <w:r w:rsidR="0094338C" w:rsidRPr="00AB1C93">
        <w:t>k</w:t>
      </w:r>
      <w:r w:rsidR="0094338C">
        <w:t> </w:t>
      </w:r>
      <w:r w:rsidR="0094338C" w:rsidRPr="00AB1C93">
        <w:t>obsluze</w:t>
      </w:r>
      <w:r w:rsidR="0094338C">
        <w:rPr>
          <w:rFonts w:eastAsia="Times New Roman"/>
          <w:sz w:val="23"/>
          <w:szCs w:val="23"/>
        </w:rPr>
        <w:t xml:space="preserve">, </w:t>
      </w:r>
      <w:r w:rsidR="000D043C" w:rsidRPr="00AC37D6">
        <w:rPr>
          <w:rFonts w:eastAsia="Times New Roman"/>
          <w:sz w:val="23"/>
          <w:szCs w:val="23"/>
        </w:rPr>
        <w:t>dodání návodu k užívání vč. technického popisu a dalších dokumentů,</w:t>
      </w:r>
      <w:r w:rsidR="000D043C">
        <w:rPr>
          <w:rFonts w:eastAsia="Times New Roman"/>
          <w:sz w:val="23"/>
          <w:szCs w:val="23"/>
        </w:rPr>
        <w:t xml:space="preserve"> a to v českém jazyce</w:t>
      </w:r>
      <w:r w:rsidR="000D043C" w:rsidRPr="00AC37D6">
        <w:rPr>
          <w:rFonts w:eastAsia="Times New Roman"/>
          <w:sz w:val="23"/>
          <w:szCs w:val="23"/>
        </w:rPr>
        <w:t xml:space="preserve"> (protokol o shodě, záruční list atd.)</w:t>
      </w:r>
      <w:r w:rsidR="000D043C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02AB588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 xml:space="preserve">musí splňovat požadavky na bezpečný výrobek ve smyslu zákona č. </w:t>
      </w:r>
      <w:r w:rsidR="00580168">
        <w:rPr>
          <w:sz w:val="22"/>
          <w:szCs w:val="22"/>
        </w:rPr>
        <w:t>387</w:t>
      </w:r>
      <w:r w:rsidR="00E62CF5" w:rsidRPr="002E0AFA">
        <w:rPr>
          <w:sz w:val="22"/>
          <w:szCs w:val="22"/>
        </w:rPr>
        <w:t>/2</w:t>
      </w:r>
      <w:r w:rsidR="00580168">
        <w:rPr>
          <w:sz w:val="22"/>
          <w:szCs w:val="22"/>
        </w:rPr>
        <w:t>024</w:t>
      </w:r>
      <w:r w:rsidR="00E62CF5" w:rsidRPr="002E0AFA">
        <w:rPr>
          <w:sz w:val="22"/>
          <w:szCs w:val="22"/>
        </w:rPr>
        <w:t xml:space="preserve">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244B5D9B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>nejdél</w:t>
      </w:r>
      <w:r w:rsidRPr="002E57DA">
        <w:rPr>
          <w:rFonts w:eastAsia="Calibri"/>
          <w:b/>
          <w:bCs/>
          <w:sz w:val="22"/>
          <w:szCs w:val="22"/>
        </w:rPr>
        <w:t xml:space="preserve">e </w:t>
      </w:r>
      <w:r w:rsidR="00BB49B5" w:rsidRPr="002E57DA">
        <w:rPr>
          <w:rFonts w:eastAsia="Calibri"/>
          <w:b/>
          <w:bCs/>
          <w:sz w:val="22"/>
          <w:szCs w:val="22"/>
        </w:rPr>
        <w:t xml:space="preserve">do </w:t>
      </w:r>
      <w:r w:rsidR="0094338C" w:rsidRPr="002E57DA">
        <w:rPr>
          <w:rFonts w:eastAsia="Calibri"/>
          <w:b/>
          <w:bCs/>
          <w:sz w:val="22"/>
          <w:szCs w:val="22"/>
        </w:rPr>
        <w:t>2 měsíců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E14D1A">
        <w:rPr>
          <w:rFonts w:eastAsia="Calibri"/>
          <w:b/>
          <w:bCs/>
          <w:sz w:val="22"/>
          <w:szCs w:val="22"/>
        </w:rPr>
        <w:t>účinnosti</w:t>
      </w:r>
      <w:r w:rsidR="000D043C">
        <w:rPr>
          <w:rFonts w:eastAsia="Calibri"/>
          <w:b/>
          <w:bCs/>
          <w:sz w:val="22"/>
          <w:szCs w:val="22"/>
        </w:rPr>
        <w:t xml:space="preserve">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51331A7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3334E0">
        <w:rPr>
          <w:b/>
          <w:sz w:val="22"/>
          <w:szCs w:val="22"/>
        </w:rPr>
        <w:t>125 971,00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3334E0">
        <w:rPr>
          <w:sz w:val="22"/>
          <w:szCs w:val="22"/>
        </w:rPr>
        <w:t>26 453,92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3334E0">
        <w:rPr>
          <w:b/>
          <w:sz w:val="22"/>
          <w:szCs w:val="22"/>
        </w:rPr>
        <w:t>152 424,92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10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45D37F3E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E4D7A">
        <w:rPr>
          <w:rFonts w:ascii="Times New Roman" w:hAnsi="Times New Roman"/>
          <w:color w:val="auto"/>
          <w:sz w:val="22"/>
          <w:szCs w:val="22"/>
        </w:rPr>
        <w:t>60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1E4D7A">
        <w:rPr>
          <w:rFonts w:ascii="Times New Roman" w:hAnsi="Times New Roman"/>
          <w:color w:val="auto"/>
          <w:sz w:val="22"/>
          <w:szCs w:val="22"/>
        </w:rPr>
        <w:t xml:space="preserve"> (5 let)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683870">
        <w:rPr>
          <w:rFonts w:ascii="Times New Roman" w:hAnsi="Times New Roman"/>
          <w:b w:val="0"/>
          <w:color w:val="auto"/>
          <w:sz w:val="22"/>
          <w:szCs w:val="22"/>
        </w:rPr>
        <w:t xml:space="preserve">Dále se prodávající zavazuje poskytnout kupujícímu pozáruční servis v délce min. 10 let.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>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EB024B2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3334E0">
        <w:rPr>
          <w:rFonts w:ascii="Times New Roman" w:hAnsi="Times New Roman"/>
          <w:b w:val="0"/>
          <w:sz w:val="22"/>
          <w:szCs w:val="22"/>
        </w:rPr>
        <w:t>: studnickova@dsdprofi.cz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5ED887C6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</w:t>
      </w:r>
      <w:r w:rsidR="004B6C39">
        <w:rPr>
          <w:noProof/>
          <w:color w:val="000000" w:themeColor="text1"/>
          <w:sz w:val="22"/>
          <w:szCs w:val="22"/>
        </w:rPr>
        <w:t>vč.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327A966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3F274C">
        <w:rPr>
          <w:color w:val="000000"/>
          <w:sz w:val="22"/>
          <w:szCs w:val="22"/>
        </w:rPr>
        <w:t>8.4.2026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3F274C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3334E0">
        <w:rPr>
          <w:color w:val="000000"/>
          <w:sz w:val="22"/>
          <w:szCs w:val="22"/>
        </w:rPr>
        <w:t> Plzni,</w:t>
      </w:r>
      <w:r w:rsidRPr="007D54F6">
        <w:rPr>
          <w:color w:val="000000"/>
          <w:sz w:val="22"/>
          <w:szCs w:val="22"/>
        </w:rPr>
        <w:t xml:space="preserve"> dne </w:t>
      </w:r>
      <w:r w:rsidR="003F274C">
        <w:rPr>
          <w:color w:val="000000"/>
          <w:sz w:val="22"/>
          <w:szCs w:val="22"/>
        </w:rPr>
        <w:t>2.4.2026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2F391DFB" w14:textId="036A0798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3334E0">
        <w:rPr>
          <w:color w:val="000000"/>
        </w:rPr>
        <w:t>DSD PROFI s.r.o.</w:t>
      </w:r>
    </w:p>
    <w:p w14:paraId="15B204CC" w14:textId="696ED0E3" w:rsid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B5078F1" w14:textId="393CA5A5" w:rsid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6AB7A97" w14:textId="5B8ACFEA" w:rsid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75734C6" w14:textId="679077EE" w:rsid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A7EAC50" w14:textId="77777777" w:rsidR="003F274C" w:rsidRDefault="003F274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7AF8D81" w14:textId="77777777" w:rsidR="003F274C" w:rsidRDefault="003F274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C55C3CC" w14:textId="714536E2" w:rsid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7576AC6" w14:textId="46CBA03C" w:rsidR="00F239CD" w:rsidRP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sz w:val="22"/>
          <w:szCs w:val="22"/>
        </w:rPr>
      </w:pPr>
      <w:r w:rsidRPr="00F239CD">
        <w:rPr>
          <w:b/>
          <w:sz w:val="22"/>
          <w:szCs w:val="22"/>
        </w:rPr>
        <w:lastRenderedPageBreak/>
        <w:t>Příloha č. 1 - Specifikace předmětu plnění vč. nabídkové ceny</w:t>
      </w:r>
      <w:r w:rsidRPr="00F239CD">
        <w:rPr>
          <w:b/>
          <w:sz w:val="22"/>
          <w:szCs w:val="22"/>
        </w:rPr>
        <w:tab/>
      </w:r>
    </w:p>
    <w:p w14:paraId="0CCF007B" w14:textId="7C522A9F" w:rsidR="00F239CD" w:rsidRP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sz w:val="22"/>
          <w:szCs w:val="22"/>
        </w:rPr>
      </w:pPr>
    </w:p>
    <w:p w14:paraId="0D978D8B" w14:textId="012AAB3D" w:rsidR="00F239CD" w:rsidRPr="00F239CD" w:rsidRDefault="00F239CD" w:rsidP="00F239C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</w:t>
      </w:r>
      <w:r w:rsidRPr="00F239CD">
        <w:rPr>
          <w:b/>
          <w:bCs/>
          <w:color w:val="000000"/>
          <w:sz w:val="22"/>
          <w:szCs w:val="22"/>
        </w:rPr>
        <w:t>odpultová myčka nádobí s podstavcem___________</w:t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  <w:t xml:space="preserve">___________________1 ks </w:t>
      </w:r>
    </w:p>
    <w:p w14:paraId="0A1DD0C9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sz w:val="22"/>
          <w:szCs w:val="22"/>
        </w:rPr>
      </w:pPr>
      <w:r w:rsidRPr="00F239CD">
        <w:rPr>
          <w:sz w:val="22"/>
          <w:szCs w:val="22"/>
        </w:rPr>
        <w:t xml:space="preserve">Samočistící program </w:t>
      </w:r>
    </w:p>
    <w:p w14:paraId="34DF66D8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sz w:val="22"/>
          <w:szCs w:val="22"/>
        </w:rPr>
      </w:pPr>
      <w:r w:rsidRPr="00F239CD">
        <w:rPr>
          <w:sz w:val="22"/>
          <w:szCs w:val="22"/>
        </w:rPr>
        <w:t>Ochrana proti průniku vody</w:t>
      </w:r>
    </w:p>
    <w:p w14:paraId="79792C4E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Zabudovaný dávkovač mycího a oplachového prostředku</w:t>
      </w:r>
    </w:p>
    <w:p w14:paraId="38A5A33F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Třífázové nebo jednofázové připojení s možností přeměny na místě</w:t>
      </w:r>
    </w:p>
    <w:p w14:paraId="45748BEA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Zabudovaný tlakový bojler</w:t>
      </w:r>
    </w:p>
    <w:p w14:paraId="23287CA8" w14:textId="77777777" w:rsidR="00F239CD" w:rsidRPr="00F239CD" w:rsidRDefault="00F239CD" w:rsidP="00F239CD">
      <w:pPr>
        <w:pStyle w:val="Standard"/>
        <w:numPr>
          <w:ilvl w:val="0"/>
          <w:numId w:val="37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F239CD">
        <w:rPr>
          <w:rFonts w:eastAsia="ElectroluxSans-Regular" w:cs="Times New Roman"/>
          <w:kern w:val="0"/>
          <w:sz w:val="22"/>
          <w:szCs w:val="22"/>
          <w:lang w:bidi="ar-SA"/>
        </w:rPr>
        <w:t>Zabudované odpadní čerpadlo</w:t>
      </w:r>
    </w:p>
    <w:p w14:paraId="6342FB0B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Otočná integrovaná mycí a oplachová ramena</w:t>
      </w:r>
    </w:p>
    <w:p w14:paraId="1BA5AFD0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Jednoduchý servisní přístup</w:t>
      </w:r>
    </w:p>
    <w:p w14:paraId="3E5677BC" w14:textId="1D196048" w:rsidR="00F239CD" w:rsidRPr="00F239CD" w:rsidRDefault="00F239CD" w:rsidP="00F239CD">
      <w:pPr>
        <w:pStyle w:val="Standard"/>
        <w:numPr>
          <w:ilvl w:val="0"/>
          <w:numId w:val="37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F239CD">
        <w:rPr>
          <w:rFonts w:eastAsia="ArialMT-Identity-H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F325D2E" wp14:editId="05B5736A">
            <wp:simplePos x="0" y="0"/>
            <wp:positionH relativeFrom="column">
              <wp:posOffset>4260850</wp:posOffset>
            </wp:positionH>
            <wp:positionV relativeFrom="paragraph">
              <wp:posOffset>47625</wp:posOffset>
            </wp:positionV>
            <wp:extent cx="2133600" cy="2901315"/>
            <wp:effectExtent l="0" t="0" r="0" b="0"/>
            <wp:wrapTight wrapText="bothSides">
              <wp:wrapPolygon edited="0">
                <wp:start x="0" y="0"/>
                <wp:lineTo x="0" y="21416"/>
                <wp:lineTo x="21407" y="21416"/>
                <wp:lineTo x="2140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9CD">
        <w:rPr>
          <w:rFonts w:eastAsia="ArialMT-Identity-H" w:cs="Times New Roman"/>
          <w:sz w:val="22"/>
          <w:szCs w:val="22"/>
        </w:rPr>
        <w:t xml:space="preserve">Vhodná pro koše </w:t>
      </w:r>
      <w:r w:rsidRPr="00F239CD">
        <w:rPr>
          <w:rFonts w:eastAsia="ArialMT-Identity-H" w:cs="Times New Roman"/>
          <w:b/>
          <w:bCs/>
          <w:sz w:val="22"/>
          <w:szCs w:val="22"/>
        </w:rPr>
        <w:t>500 x 500 mm</w:t>
      </w:r>
    </w:p>
    <w:p w14:paraId="163C317B" w14:textId="77777777" w:rsidR="00F239CD" w:rsidRPr="00F239CD" w:rsidRDefault="00F239CD" w:rsidP="00F239CD">
      <w:pPr>
        <w:pStyle w:val="Standard"/>
        <w:numPr>
          <w:ilvl w:val="0"/>
          <w:numId w:val="37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Kapacita:</w:t>
      </w:r>
      <w:r w:rsidRPr="00F239CD">
        <w:rPr>
          <w:rFonts w:eastAsia="ArialMT-Identity-H" w:cs="Times New Roman"/>
          <w:sz w:val="22"/>
          <w:szCs w:val="22"/>
        </w:rPr>
        <w:t xml:space="preserve"> až 1170 talířů/65 košů/hod</w:t>
      </w:r>
    </w:p>
    <w:p w14:paraId="1E42E86B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sz w:val="22"/>
          <w:szCs w:val="22"/>
        </w:rPr>
        <w:t>Hladké povrhy usnadňující čištění</w:t>
      </w:r>
    </w:p>
    <w:p w14:paraId="07DB1536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b/>
          <w:bCs/>
          <w:sz w:val="22"/>
          <w:szCs w:val="22"/>
        </w:rPr>
        <w:t>Materiál:</w:t>
      </w:r>
      <w:r w:rsidRPr="00F239CD">
        <w:rPr>
          <w:sz w:val="22"/>
          <w:szCs w:val="22"/>
        </w:rPr>
        <w:t xml:space="preserve"> nerezavějící ocel AISI 304</w:t>
      </w:r>
    </w:p>
    <w:p w14:paraId="7AC95EE7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proofErr w:type="spellStart"/>
      <w:r w:rsidRPr="00F239CD">
        <w:rPr>
          <w:rFonts w:eastAsia="ElectroluxSans-Regular"/>
          <w:sz w:val="22"/>
          <w:szCs w:val="22"/>
        </w:rPr>
        <w:t>Topnice</w:t>
      </w:r>
      <w:proofErr w:type="spellEnd"/>
      <w:r w:rsidRPr="00F239CD">
        <w:rPr>
          <w:rFonts w:eastAsia="ElectroluxSans-Regular"/>
          <w:sz w:val="22"/>
          <w:szCs w:val="22"/>
        </w:rPr>
        <w:t xml:space="preserve"> s ochranou proti přehřátí při nízké hladině vody</w:t>
      </w:r>
    </w:p>
    <w:p w14:paraId="1A4ABD28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b/>
          <w:bCs/>
          <w:sz w:val="22"/>
          <w:szCs w:val="22"/>
        </w:rPr>
        <w:t>Funkce vypouštění bojleru</w:t>
      </w:r>
    </w:p>
    <w:p w14:paraId="4047571C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Dvouplášťové izolované dveře</w:t>
      </w:r>
    </w:p>
    <w:p w14:paraId="0BE5B420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>Sanitace horkou vodou</w:t>
      </w:r>
    </w:p>
    <w:p w14:paraId="063BF922" w14:textId="77777777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rFonts w:eastAsia="ArialMT-Identity-H"/>
          <w:sz w:val="22"/>
          <w:szCs w:val="22"/>
        </w:rPr>
        <w:t xml:space="preserve">Výkonné mycí čerpadlo, velkokapacitní mycí nádrž, horní a spodní integrovaná mycí a oplachová otočná </w:t>
      </w:r>
      <w:proofErr w:type="spellStart"/>
      <w:r w:rsidRPr="00F239CD">
        <w:rPr>
          <w:rFonts w:eastAsia="ArialMT-Identity-H"/>
          <w:sz w:val="22"/>
          <w:szCs w:val="22"/>
        </w:rPr>
        <w:t>ostřikovací</w:t>
      </w:r>
      <w:proofErr w:type="spellEnd"/>
      <w:r w:rsidRPr="00F239CD">
        <w:rPr>
          <w:rFonts w:eastAsia="ArialMT-Identity-H"/>
          <w:sz w:val="22"/>
          <w:szCs w:val="22"/>
        </w:rPr>
        <w:t xml:space="preserve"> ramena z kompozitního materiálu</w:t>
      </w:r>
    </w:p>
    <w:p w14:paraId="45D14818" w14:textId="3DF98161" w:rsidR="00F239CD" w:rsidRPr="00F239CD" w:rsidRDefault="00F239CD" w:rsidP="00F239CD">
      <w:pPr>
        <w:numPr>
          <w:ilvl w:val="0"/>
          <w:numId w:val="37"/>
        </w:numPr>
        <w:spacing w:before="100" w:beforeAutospacing="1" w:after="120"/>
        <w:rPr>
          <w:b/>
          <w:bCs/>
          <w:sz w:val="22"/>
          <w:szCs w:val="22"/>
        </w:rPr>
      </w:pPr>
      <w:r w:rsidRPr="00F239CD">
        <w:rPr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D8320" wp14:editId="240C62C6">
                <wp:simplePos x="0" y="0"/>
                <wp:positionH relativeFrom="column">
                  <wp:posOffset>4669790</wp:posOffset>
                </wp:positionH>
                <wp:positionV relativeFrom="paragraph">
                  <wp:posOffset>351155</wp:posOffset>
                </wp:positionV>
                <wp:extent cx="1283970" cy="289560"/>
                <wp:effectExtent l="0" t="0" r="4445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C6586" w14:textId="77777777" w:rsidR="00F239CD" w:rsidRDefault="00F239CD" w:rsidP="00F239CD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D832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67.7pt;margin-top:27.65pt;width:101.1pt;height:2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" stroked="f">
                <v:textbox>
                  <w:txbxContent>
                    <w:p w14:paraId="6F0C6586" w14:textId="77777777" w:rsidR="00F239CD" w:rsidRDefault="00F239CD" w:rsidP="00F239CD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9CD">
        <w:rPr>
          <w:rFonts w:eastAsia="ElectroluxSans-Regular"/>
          <w:sz w:val="22"/>
          <w:szCs w:val="22"/>
        </w:rPr>
        <w:t>Dva předem nastavené automatické cykly pro různé druhy nádobí, konfigurovatelné na místě</w:t>
      </w:r>
    </w:p>
    <w:p w14:paraId="6F9C20F7" w14:textId="3E8B14F6" w:rsidR="00F239CD" w:rsidRPr="00F239CD" w:rsidRDefault="00F239CD" w:rsidP="00F239CD">
      <w:pPr>
        <w:spacing w:before="100" w:beforeAutospacing="1" w:after="120"/>
        <w:ind w:left="720"/>
        <w:rPr>
          <w:b/>
          <w:bCs/>
          <w:sz w:val="22"/>
          <w:szCs w:val="22"/>
        </w:rPr>
      </w:pPr>
    </w:p>
    <w:p w14:paraId="08C7AA26" w14:textId="048358FC" w:rsidR="00F239CD" w:rsidRPr="00F239CD" w:rsidRDefault="00F239CD" w:rsidP="00F239CD">
      <w:pPr>
        <w:pStyle w:val="Standard"/>
        <w:autoSpaceDE w:val="0"/>
        <w:spacing w:after="120"/>
        <w:jc w:val="both"/>
        <w:rPr>
          <w:rFonts w:eastAsia="ArialMT-Identity-H" w:cs="Times New Roman"/>
          <w:b/>
          <w:bCs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Technická data:</w:t>
      </w:r>
    </w:p>
    <w:p w14:paraId="6ED716B8" w14:textId="77777777" w:rsidR="00F239CD" w:rsidRPr="00F239CD" w:rsidRDefault="00F239CD" w:rsidP="00F239CD">
      <w:pPr>
        <w:pStyle w:val="Standard"/>
        <w:numPr>
          <w:ilvl w:val="0"/>
          <w:numId w:val="36"/>
        </w:numPr>
        <w:autoSpaceDE w:val="0"/>
        <w:spacing w:before="100" w:beforeAutospacing="1" w:after="120"/>
        <w:jc w:val="both"/>
        <w:rPr>
          <w:rFonts w:eastAsia="ArialMT-Identity-H" w:cs="Times New Roman"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Napětí:</w:t>
      </w:r>
      <w:r w:rsidRPr="00F239CD">
        <w:rPr>
          <w:rFonts w:eastAsia="ArialMT-Identity-H" w:cs="Times New Roman"/>
          <w:sz w:val="22"/>
          <w:szCs w:val="22"/>
        </w:rPr>
        <w:t xml:space="preserve"> 400 V s možností změny zapojení na 230 V</w:t>
      </w:r>
    </w:p>
    <w:p w14:paraId="2ABB7F56" w14:textId="1DBA7DA9" w:rsidR="00F239CD" w:rsidRPr="00F239CD" w:rsidRDefault="00F239CD" w:rsidP="00F239CD">
      <w:pPr>
        <w:pStyle w:val="Standard"/>
        <w:numPr>
          <w:ilvl w:val="0"/>
          <w:numId w:val="36"/>
        </w:numPr>
        <w:autoSpaceDE w:val="0"/>
        <w:spacing w:before="100" w:beforeAutospacing="1" w:after="240"/>
        <w:jc w:val="both"/>
        <w:rPr>
          <w:rFonts w:eastAsia="ArialMT-Identity-H" w:cs="Times New Roman"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Max. příkon:</w:t>
      </w:r>
      <w:r w:rsidRPr="00F239CD">
        <w:rPr>
          <w:rFonts w:eastAsia="ArialMT-Identity-H" w:cs="Times New Roman"/>
          <w:sz w:val="22"/>
          <w:szCs w:val="22"/>
        </w:rPr>
        <w:t xml:space="preserve"> 5 kW / u druhé myčky možnost snížení na 3,5 kW</w:t>
      </w:r>
    </w:p>
    <w:p w14:paraId="38B122A5" w14:textId="77777777" w:rsidR="00F239CD" w:rsidRPr="00F239CD" w:rsidRDefault="00F239CD" w:rsidP="00F239CD">
      <w:pPr>
        <w:pStyle w:val="Standard"/>
        <w:autoSpaceDE w:val="0"/>
        <w:spacing w:after="240"/>
        <w:rPr>
          <w:rFonts w:eastAsia="ArialMT-Identity-H" w:cs="Times New Roman"/>
          <w:b/>
          <w:bCs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Příslušenství:</w:t>
      </w:r>
    </w:p>
    <w:p w14:paraId="7E8AE310" w14:textId="77777777" w:rsidR="00F239CD" w:rsidRPr="00F239CD" w:rsidRDefault="00F239CD" w:rsidP="00F239CD">
      <w:pPr>
        <w:pStyle w:val="Standard"/>
        <w:numPr>
          <w:ilvl w:val="1"/>
          <w:numId w:val="39"/>
        </w:numPr>
        <w:autoSpaceDE w:val="0"/>
        <w:ind w:left="709"/>
        <w:rPr>
          <w:rFonts w:eastAsia="ArialMT-Identity-H" w:cs="Times New Roman"/>
          <w:b/>
          <w:bCs/>
          <w:color w:val="FF0000"/>
          <w:sz w:val="22"/>
          <w:szCs w:val="22"/>
        </w:rPr>
      </w:pPr>
      <w:r w:rsidRPr="00F239CD">
        <w:rPr>
          <w:rFonts w:eastAsia="ArialMT-Identity-H" w:cs="Times New Roman"/>
          <w:sz w:val="22"/>
          <w:szCs w:val="22"/>
        </w:rPr>
        <w:t>1x košíček na příbory</w:t>
      </w:r>
    </w:p>
    <w:p w14:paraId="3135D5D3" w14:textId="77777777" w:rsidR="00F239CD" w:rsidRPr="00F239CD" w:rsidRDefault="00F239CD" w:rsidP="00F239CD">
      <w:pPr>
        <w:pStyle w:val="Standard"/>
        <w:numPr>
          <w:ilvl w:val="1"/>
          <w:numId w:val="39"/>
        </w:numPr>
        <w:autoSpaceDE w:val="0"/>
        <w:ind w:left="709"/>
        <w:rPr>
          <w:rFonts w:eastAsia="ArialMT-Identity-H" w:cs="Times New Roman"/>
          <w:b/>
          <w:bCs/>
          <w:color w:val="FF0000"/>
          <w:sz w:val="22"/>
          <w:szCs w:val="22"/>
        </w:rPr>
      </w:pPr>
      <w:r w:rsidRPr="00F239CD">
        <w:rPr>
          <w:rFonts w:eastAsia="ArialMT-Identity-H" w:cs="Times New Roman"/>
          <w:sz w:val="22"/>
          <w:szCs w:val="22"/>
        </w:rPr>
        <w:t>1x koš na talíře</w:t>
      </w:r>
    </w:p>
    <w:p w14:paraId="7958C09D" w14:textId="77777777" w:rsidR="00F239CD" w:rsidRPr="00F239CD" w:rsidRDefault="00F239CD" w:rsidP="00F239CD">
      <w:pPr>
        <w:pStyle w:val="Standard"/>
        <w:autoSpaceDE w:val="0"/>
        <w:ind w:left="709"/>
        <w:rPr>
          <w:rFonts w:eastAsia="ArialMT-Identity-H" w:cs="Times New Roman"/>
          <w:b/>
          <w:bCs/>
          <w:color w:val="FF0000"/>
          <w:sz w:val="22"/>
          <w:szCs w:val="22"/>
        </w:rPr>
      </w:pPr>
    </w:p>
    <w:p w14:paraId="5CE23361" w14:textId="77777777" w:rsidR="00F239CD" w:rsidRPr="00F239CD" w:rsidRDefault="00F239CD" w:rsidP="00F239CD">
      <w:pPr>
        <w:pStyle w:val="Standard"/>
        <w:autoSpaceDE w:val="0"/>
        <w:spacing w:after="240"/>
        <w:rPr>
          <w:rFonts w:eastAsia="ArialMT-Identity-H" w:cs="Times New Roman"/>
          <w:b/>
          <w:bCs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Extra příslušenství:</w:t>
      </w:r>
    </w:p>
    <w:p w14:paraId="6CDA0340" w14:textId="77777777" w:rsidR="00F239CD" w:rsidRPr="00F239CD" w:rsidRDefault="00F239CD" w:rsidP="00F239CD">
      <w:pPr>
        <w:pStyle w:val="Standard"/>
        <w:numPr>
          <w:ilvl w:val="1"/>
          <w:numId w:val="39"/>
        </w:numPr>
        <w:autoSpaceDE w:val="0"/>
        <w:ind w:left="709"/>
        <w:rPr>
          <w:rFonts w:eastAsia="ArialMT-Identity-H" w:cs="Times New Roman"/>
          <w:b/>
          <w:bCs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 xml:space="preserve">1x nerezový podstavec AISI304 pro podpultovou myčku </w:t>
      </w:r>
      <w:proofErr w:type="gramStart"/>
      <w:r w:rsidRPr="00F239CD">
        <w:rPr>
          <w:rFonts w:eastAsia="ArialMT-Identity-H" w:cs="Times New Roman"/>
          <w:b/>
          <w:bCs/>
          <w:sz w:val="22"/>
          <w:szCs w:val="22"/>
        </w:rPr>
        <w:t>nádobí - výška</w:t>
      </w:r>
      <w:proofErr w:type="gramEnd"/>
      <w:r w:rsidRPr="00F239CD">
        <w:rPr>
          <w:rFonts w:eastAsia="ArialMT-Identity-H" w:cs="Times New Roman"/>
          <w:b/>
          <w:bCs/>
          <w:sz w:val="22"/>
          <w:szCs w:val="22"/>
        </w:rPr>
        <w:t xml:space="preserve"> min. 450 mm</w:t>
      </w:r>
    </w:p>
    <w:p w14:paraId="02BBA77D" w14:textId="77777777" w:rsidR="00F239CD" w:rsidRPr="00F239CD" w:rsidRDefault="00F239CD" w:rsidP="00F239CD">
      <w:pPr>
        <w:pStyle w:val="Standard"/>
        <w:numPr>
          <w:ilvl w:val="1"/>
          <w:numId w:val="39"/>
        </w:numPr>
        <w:autoSpaceDE w:val="0"/>
        <w:ind w:left="709"/>
        <w:rPr>
          <w:rFonts w:eastAsia="ArialMT-Identity-H" w:cs="Times New Roman"/>
          <w:sz w:val="22"/>
          <w:szCs w:val="22"/>
        </w:rPr>
      </w:pPr>
      <w:r w:rsidRPr="00F239CD">
        <w:rPr>
          <w:rFonts w:eastAsia="ArialMT-Identity-H" w:cs="Times New Roman"/>
          <w:sz w:val="22"/>
          <w:szCs w:val="22"/>
        </w:rPr>
        <w:t>1x koš do myčky univerzální</w:t>
      </w:r>
    </w:p>
    <w:p w14:paraId="741515FD" w14:textId="27E54B2B" w:rsidR="00F239CD" w:rsidRPr="00F239CD" w:rsidRDefault="00F239CD" w:rsidP="00F239CD">
      <w:pPr>
        <w:pStyle w:val="Standard"/>
        <w:numPr>
          <w:ilvl w:val="1"/>
          <w:numId w:val="39"/>
        </w:numPr>
        <w:autoSpaceDE w:val="0"/>
        <w:spacing w:after="240"/>
        <w:ind w:left="709"/>
        <w:rPr>
          <w:rFonts w:eastAsia="ArialMT-Identity-H" w:cs="Times New Roman"/>
          <w:sz w:val="22"/>
          <w:szCs w:val="22"/>
        </w:rPr>
      </w:pPr>
      <w:r w:rsidRPr="00F239CD">
        <w:rPr>
          <w:rFonts w:eastAsia="ArialMT-Identity-H" w:cs="Times New Roman"/>
          <w:sz w:val="22"/>
          <w:szCs w:val="22"/>
        </w:rPr>
        <w:t>Sada dávkovače mycího detergentu, pro podpultovou myčku nádobí</w:t>
      </w:r>
    </w:p>
    <w:p w14:paraId="22817DCD" w14:textId="77777777" w:rsidR="00F239CD" w:rsidRPr="00F239CD" w:rsidRDefault="00F239CD" w:rsidP="00F239CD">
      <w:pPr>
        <w:pStyle w:val="Standard"/>
        <w:autoSpaceDE w:val="0"/>
        <w:spacing w:after="240"/>
        <w:ind w:left="709"/>
        <w:rPr>
          <w:rFonts w:eastAsia="ArialMT-Identity-H" w:cs="Times New Roman"/>
          <w:sz w:val="22"/>
          <w:szCs w:val="22"/>
        </w:rPr>
      </w:pPr>
    </w:p>
    <w:p w14:paraId="67F971DD" w14:textId="77777777" w:rsidR="00F239CD" w:rsidRPr="00F239CD" w:rsidRDefault="00F239CD" w:rsidP="00F239CD">
      <w:pPr>
        <w:pStyle w:val="Standard"/>
        <w:autoSpaceDE w:val="0"/>
        <w:spacing w:after="240"/>
        <w:rPr>
          <w:rFonts w:eastAsia="ArialMT-Identity-H" w:cs="Times New Roman"/>
          <w:b/>
          <w:bCs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lastRenderedPageBreak/>
        <w:t>Rozměry</w:t>
      </w:r>
    </w:p>
    <w:p w14:paraId="67920BDE" w14:textId="77777777" w:rsidR="00F239CD" w:rsidRPr="00F239CD" w:rsidRDefault="00F239CD" w:rsidP="00F239CD">
      <w:pPr>
        <w:pStyle w:val="Standard"/>
        <w:numPr>
          <w:ilvl w:val="0"/>
          <w:numId w:val="38"/>
        </w:numPr>
        <w:autoSpaceDE w:val="0"/>
        <w:rPr>
          <w:rFonts w:eastAsia="ArialMT-Identity-H" w:cs="Times New Roman"/>
          <w:b/>
          <w:bCs/>
          <w:color w:val="FF0000"/>
          <w:sz w:val="22"/>
          <w:szCs w:val="22"/>
        </w:rPr>
      </w:pPr>
      <w:r w:rsidRPr="00F239CD">
        <w:rPr>
          <w:rFonts w:eastAsia="ArialMT-Identity-H" w:cs="Times New Roman"/>
          <w:b/>
          <w:bCs/>
          <w:sz w:val="22"/>
          <w:szCs w:val="22"/>
        </w:rPr>
        <w:t>Max. rozměr myčky</w:t>
      </w:r>
      <w:r w:rsidRPr="00F239CD">
        <w:rPr>
          <w:rFonts w:eastAsia="ArialMT-Identity-H" w:cs="Times New Roman"/>
          <w:sz w:val="22"/>
          <w:szCs w:val="22"/>
        </w:rPr>
        <w:t xml:space="preserve"> (š x h x v): 575 x 625 x 830 mm</w:t>
      </w:r>
    </w:p>
    <w:p w14:paraId="68DE22A8" w14:textId="77777777" w:rsidR="00F239CD" w:rsidRPr="00F239CD" w:rsidRDefault="00F239CD" w:rsidP="00F239CD">
      <w:pPr>
        <w:pStyle w:val="Standard"/>
        <w:autoSpaceDE w:val="0"/>
        <w:rPr>
          <w:rFonts w:eastAsia="ArialMT-Identity-H" w:cs="Times New Roman"/>
          <w:b/>
          <w:bCs/>
          <w:color w:val="FF0000"/>
          <w:sz w:val="22"/>
          <w:szCs w:val="22"/>
        </w:rPr>
      </w:pPr>
    </w:p>
    <w:p w14:paraId="2CE46D29" w14:textId="77777777" w:rsidR="00F239CD" w:rsidRPr="00F239CD" w:rsidRDefault="00F239CD" w:rsidP="00F239CD">
      <w:pPr>
        <w:pStyle w:val="Standard"/>
        <w:autoSpaceDE w:val="0"/>
        <w:rPr>
          <w:rFonts w:eastAsia="ArialMT-Identity-H" w:cs="Times New Roman"/>
          <w:b/>
          <w:bCs/>
          <w:color w:val="FF0000"/>
          <w:sz w:val="22"/>
          <w:szCs w:val="22"/>
        </w:rPr>
      </w:pPr>
    </w:p>
    <w:p w14:paraId="523C8779" w14:textId="77777777" w:rsidR="00F239CD" w:rsidRPr="00F239CD" w:rsidRDefault="00F239CD" w:rsidP="00F239CD">
      <w:pPr>
        <w:pStyle w:val="Standard"/>
        <w:autoSpaceDE w:val="0"/>
        <w:rPr>
          <w:rFonts w:eastAsia="ArialMT-Identity-H" w:cs="Times New Roman"/>
          <w:b/>
          <w:bCs/>
          <w:color w:val="FF0000"/>
          <w:sz w:val="22"/>
          <w:szCs w:val="22"/>
        </w:rPr>
      </w:pPr>
    </w:p>
    <w:p w14:paraId="77261508" w14:textId="30F40EEC" w:rsidR="00F239CD" w:rsidRPr="00F239CD" w:rsidRDefault="00F239CD" w:rsidP="00F239C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</w:t>
      </w:r>
      <w:r w:rsidRPr="00F239CD">
        <w:rPr>
          <w:b/>
          <w:bCs/>
          <w:color w:val="000000"/>
          <w:sz w:val="22"/>
          <w:szCs w:val="22"/>
        </w:rPr>
        <w:t>odpultová myčka nádobí s podstavcem + změkčovač vody_____________</w:t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</w:r>
      <w:r w:rsidRPr="00F239CD">
        <w:rPr>
          <w:b/>
          <w:bCs/>
          <w:color w:val="000000"/>
          <w:sz w:val="22"/>
          <w:szCs w:val="22"/>
        </w:rPr>
        <w:softHyphen/>
        <w:t>_____1 ks</w:t>
      </w:r>
    </w:p>
    <w:p w14:paraId="0B01B936" w14:textId="77777777" w:rsidR="00F239CD" w:rsidRPr="00F239CD" w:rsidRDefault="00F239CD" w:rsidP="00F239CD">
      <w:pPr>
        <w:pStyle w:val="Standard"/>
        <w:autoSpaceDE w:val="0"/>
        <w:rPr>
          <w:rFonts w:eastAsia="FrutigerCE-Roman" w:cs="Times New Roman"/>
          <w:sz w:val="22"/>
          <w:szCs w:val="22"/>
        </w:rPr>
      </w:pPr>
    </w:p>
    <w:p w14:paraId="5C2B1645" w14:textId="77777777" w:rsidR="00F239CD" w:rsidRPr="00F239CD" w:rsidRDefault="00F239CD" w:rsidP="00F239CD">
      <w:pPr>
        <w:tabs>
          <w:tab w:val="left" w:pos="7470"/>
        </w:tabs>
        <w:rPr>
          <w:sz w:val="22"/>
          <w:szCs w:val="22"/>
        </w:rPr>
      </w:pPr>
      <w:r w:rsidRPr="00F239CD">
        <w:rPr>
          <w:sz w:val="22"/>
          <w:szCs w:val="22"/>
        </w:rPr>
        <w:t>Specifikace totožná s položkou č.1 + extra navíc z</w:t>
      </w:r>
      <w:r w:rsidRPr="00F239CD">
        <w:rPr>
          <w:rFonts w:eastAsia="ArialMT-Identity-H"/>
          <w:sz w:val="22"/>
          <w:szCs w:val="22"/>
        </w:rPr>
        <w:t>měkčovač vody</w:t>
      </w:r>
    </w:p>
    <w:p w14:paraId="7C02441B" w14:textId="77777777" w:rsidR="00F239CD" w:rsidRPr="00F239CD" w:rsidRDefault="00F239CD" w:rsidP="00F239CD">
      <w:pPr>
        <w:tabs>
          <w:tab w:val="left" w:pos="7470"/>
        </w:tabs>
        <w:rPr>
          <w:sz w:val="22"/>
          <w:szCs w:val="22"/>
        </w:rPr>
      </w:pPr>
    </w:p>
    <w:p w14:paraId="3F1BB82A" w14:textId="77777777" w:rsidR="00F239CD" w:rsidRPr="00F239CD" w:rsidRDefault="00F239CD" w:rsidP="00F239CD">
      <w:pPr>
        <w:tabs>
          <w:tab w:val="left" w:pos="7470"/>
        </w:tabs>
        <w:rPr>
          <w:sz w:val="22"/>
          <w:szCs w:val="22"/>
        </w:rPr>
      </w:pPr>
    </w:p>
    <w:p w14:paraId="2574EF76" w14:textId="77777777" w:rsidR="00F239CD" w:rsidRPr="00F239CD" w:rsidRDefault="00F239CD" w:rsidP="00F239CD">
      <w:pPr>
        <w:tabs>
          <w:tab w:val="left" w:pos="7470"/>
        </w:tabs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5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572"/>
        <w:gridCol w:w="1559"/>
        <w:gridCol w:w="851"/>
        <w:gridCol w:w="1417"/>
      </w:tblGrid>
      <w:tr w:rsidR="00F239CD" w:rsidRPr="00F239CD" w14:paraId="052D3BE3" w14:textId="77777777" w:rsidTr="00A572E0">
        <w:trPr>
          <w:trHeight w:val="846"/>
        </w:trPr>
        <w:tc>
          <w:tcPr>
            <w:tcW w:w="580" w:type="dxa"/>
          </w:tcPr>
          <w:p w14:paraId="1213514B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F239CD">
              <w:rPr>
                <w:sz w:val="22"/>
                <w:szCs w:val="22"/>
              </w:rPr>
              <w:t>Polč</w:t>
            </w:r>
            <w:proofErr w:type="spellEnd"/>
            <w:r w:rsidRPr="00F239CD">
              <w:rPr>
                <w:sz w:val="22"/>
                <w:szCs w:val="22"/>
              </w:rPr>
              <w:t>.</w:t>
            </w:r>
          </w:p>
        </w:tc>
        <w:tc>
          <w:tcPr>
            <w:tcW w:w="1852" w:type="dxa"/>
          </w:tcPr>
          <w:p w14:paraId="0A227268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Název položky</w:t>
            </w:r>
          </w:p>
        </w:tc>
        <w:tc>
          <w:tcPr>
            <w:tcW w:w="1662" w:type="dxa"/>
          </w:tcPr>
          <w:p w14:paraId="668BB02F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Cena v Kč</w:t>
            </w:r>
          </w:p>
          <w:p w14:paraId="17F2E1F4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bez DPH / ks</w:t>
            </w:r>
          </w:p>
        </w:tc>
        <w:tc>
          <w:tcPr>
            <w:tcW w:w="963" w:type="dxa"/>
          </w:tcPr>
          <w:p w14:paraId="5BD3102D" w14:textId="77777777" w:rsidR="00F239CD" w:rsidRPr="00F239CD" w:rsidRDefault="00F239CD" w:rsidP="00A572E0">
            <w:pPr>
              <w:spacing w:before="120"/>
              <w:ind w:right="-250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 xml:space="preserve">  počet</w:t>
            </w:r>
          </w:p>
          <w:p w14:paraId="4B207393" w14:textId="77777777" w:rsidR="00F239CD" w:rsidRPr="00F239CD" w:rsidRDefault="00F239CD" w:rsidP="00A572E0">
            <w:pPr>
              <w:spacing w:before="120"/>
              <w:ind w:right="-250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 xml:space="preserve">    ks</w:t>
            </w:r>
          </w:p>
        </w:tc>
        <w:tc>
          <w:tcPr>
            <w:tcW w:w="1572" w:type="dxa"/>
          </w:tcPr>
          <w:p w14:paraId="36FEB774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Celková cena v Kč bez DPH</w:t>
            </w:r>
          </w:p>
        </w:tc>
        <w:tc>
          <w:tcPr>
            <w:tcW w:w="1559" w:type="dxa"/>
          </w:tcPr>
          <w:p w14:paraId="64D0A9F1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Celková cena v Kč vč. DPH</w:t>
            </w:r>
          </w:p>
        </w:tc>
        <w:tc>
          <w:tcPr>
            <w:tcW w:w="851" w:type="dxa"/>
          </w:tcPr>
          <w:p w14:paraId="3414635C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Sazba</w:t>
            </w:r>
          </w:p>
          <w:p w14:paraId="0D348DFA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DPH</w:t>
            </w:r>
          </w:p>
          <w:p w14:paraId="34376339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v %</w:t>
            </w:r>
          </w:p>
        </w:tc>
        <w:tc>
          <w:tcPr>
            <w:tcW w:w="1417" w:type="dxa"/>
          </w:tcPr>
          <w:p w14:paraId="4BE64C69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Poznámka:</w:t>
            </w:r>
          </w:p>
          <w:p w14:paraId="5D0E35A7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Název zboží</w:t>
            </w:r>
          </w:p>
        </w:tc>
      </w:tr>
      <w:tr w:rsidR="00F239CD" w:rsidRPr="00F239CD" w14:paraId="59FCDFDD" w14:textId="77777777" w:rsidTr="00A572E0">
        <w:trPr>
          <w:trHeight w:val="909"/>
        </w:trPr>
        <w:tc>
          <w:tcPr>
            <w:tcW w:w="580" w:type="dxa"/>
          </w:tcPr>
          <w:p w14:paraId="335F1C60" w14:textId="77777777" w:rsidR="00F239CD" w:rsidRPr="00F239CD" w:rsidRDefault="00F239CD" w:rsidP="00A572E0">
            <w:pPr>
              <w:spacing w:before="120"/>
              <w:jc w:val="both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1.</w:t>
            </w:r>
          </w:p>
        </w:tc>
        <w:tc>
          <w:tcPr>
            <w:tcW w:w="1852" w:type="dxa"/>
          </w:tcPr>
          <w:p w14:paraId="62D06F75" w14:textId="77777777" w:rsidR="00F239CD" w:rsidRPr="00F239CD" w:rsidRDefault="00F239CD" w:rsidP="00A572E0">
            <w:pPr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Podpultová myčka nádobí s podstavcem</w:t>
            </w:r>
          </w:p>
        </w:tc>
        <w:tc>
          <w:tcPr>
            <w:tcW w:w="1662" w:type="dxa"/>
            <w:shd w:val="clear" w:color="auto" w:fill="FBE4D5"/>
          </w:tcPr>
          <w:p w14:paraId="7150BA83" w14:textId="5990CFF7" w:rsidR="00F239CD" w:rsidRPr="00F239CD" w:rsidRDefault="00B14DFF" w:rsidP="00A572E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61 960,50</w:t>
            </w:r>
          </w:p>
        </w:tc>
        <w:tc>
          <w:tcPr>
            <w:tcW w:w="963" w:type="dxa"/>
          </w:tcPr>
          <w:p w14:paraId="411019B8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FBE4D5"/>
          </w:tcPr>
          <w:p w14:paraId="21B77180" w14:textId="1A446E38" w:rsidR="00F239CD" w:rsidRPr="00F239CD" w:rsidRDefault="00B14DFF" w:rsidP="00A572E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61 960,50</w:t>
            </w:r>
          </w:p>
        </w:tc>
        <w:tc>
          <w:tcPr>
            <w:tcW w:w="1559" w:type="dxa"/>
            <w:shd w:val="clear" w:color="auto" w:fill="FBE4D5"/>
          </w:tcPr>
          <w:p w14:paraId="158A042F" w14:textId="1F217571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74 972,21</w:t>
            </w:r>
          </w:p>
        </w:tc>
        <w:tc>
          <w:tcPr>
            <w:tcW w:w="851" w:type="dxa"/>
            <w:shd w:val="clear" w:color="auto" w:fill="FBE4D5"/>
          </w:tcPr>
          <w:p w14:paraId="6ACF39E4" w14:textId="4EEF31AA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FBE4D5"/>
          </w:tcPr>
          <w:p w14:paraId="2AECD039" w14:textId="06B9B389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NeoBlue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Touch</w:t>
            </w:r>
            <w:proofErr w:type="spellEnd"/>
            <w:r>
              <w:rPr>
                <w:b/>
                <w:sz w:val="22"/>
                <w:szCs w:val="22"/>
              </w:rPr>
              <w:t xml:space="preserve"> basic 400320</w:t>
            </w:r>
          </w:p>
        </w:tc>
      </w:tr>
      <w:tr w:rsidR="00F239CD" w:rsidRPr="00F239CD" w14:paraId="3DE069D3" w14:textId="77777777" w:rsidTr="00A572E0">
        <w:trPr>
          <w:trHeight w:val="909"/>
        </w:trPr>
        <w:tc>
          <w:tcPr>
            <w:tcW w:w="580" w:type="dxa"/>
          </w:tcPr>
          <w:p w14:paraId="55251439" w14:textId="77777777" w:rsidR="00F239CD" w:rsidRPr="00F239CD" w:rsidRDefault="00F239CD" w:rsidP="00A572E0">
            <w:pPr>
              <w:spacing w:before="120"/>
              <w:jc w:val="both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2.</w:t>
            </w:r>
          </w:p>
        </w:tc>
        <w:tc>
          <w:tcPr>
            <w:tcW w:w="1852" w:type="dxa"/>
          </w:tcPr>
          <w:p w14:paraId="0A85C0FA" w14:textId="77777777" w:rsidR="00F239CD" w:rsidRPr="00F239CD" w:rsidRDefault="00F239CD" w:rsidP="00A572E0">
            <w:pPr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Podpultová myčka nádobí s podstavcem + změkčovač vody</w:t>
            </w:r>
          </w:p>
        </w:tc>
        <w:tc>
          <w:tcPr>
            <w:tcW w:w="1662" w:type="dxa"/>
            <w:shd w:val="clear" w:color="auto" w:fill="FBE4D5"/>
          </w:tcPr>
          <w:p w14:paraId="4848EA5F" w14:textId="7DF063BC" w:rsidR="00F239CD" w:rsidRPr="00F239CD" w:rsidRDefault="00B14DFF" w:rsidP="00A572E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64 010,50</w:t>
            </w:r>
          </w:p>
        </w:tc>
        <w:tc>
          <w:tcPr>
            <w:tcW w:w="963" w:type="dxa"/>
          </w:tcPr>
          <w:p w14:paraId="30541727" w14:textId="77777777" w:rsidR="00F239CD" w:rsidRPr="00F239CD" w:rsidRDefault="00F239CD" w:rsidP="00A572E0">
            <w:pPr>
              <w:spacing w:before="120"/>
              <w:jc w:val="center"/>
              <w:rPr>
                <w:sz w:val="22"/>
                <w:szCs w:val="22"/>
              </w:rPr>
            </w:pPr>
            <w:r w:rsidRPr="00F239CD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FBE4D5"/>
          </w:tcPr>
          <w:p w14:paraId="25090870" w14:textId="2B9FDECE" w:rsidR="00F239CD" w:rsidRPr="00F239CD" w:rsidRDefault="00B14DFF" w:rsidP="00A572E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64 010,50</w:t>
            </w:r>
          </w:p>
        </w:tc>
        <w:tc>
          <w:tcPr>
            <w:tcW w:w="1559" w:type="dxa"/>
            <w:shd w:val="clear" w:color="auto" w:fill="FBE4D5"/>
          </w:tcPr>
          <w:p w14:paraId="66957F49" w14:textId="1280CEC5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77 452,71</w:t>
            </w:r>
          </w:p>
        </w:tc>
        <w:tc>
          <w:tcPr>
            <w:tcW w:w="851" w:type="dxa"/>
            <w:shd w:val="clear" w:color="auto" w:fill="FBE4D5"/>
          </w:tcPr>
          <w:p w14:paraId="1041021E" w14:textId="4AC0A3B5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FBE4D5"/>
          </w:tcPr>
          <w:p w14:paraId="28FAF046" w14:textId="5069B8E1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NeoBlue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Touch</w:t>
            </w:r>
            <w:proofErr w:type="spellEnd"/>
            <w:r>
              <w:rPr>
                <w:b/>
                <w:sz w:val="22"/>
                <w:szCs w:val="22"/>
              </w:rPr>
              <w:t xml:space="preserve"> basic 400320</w:t>
            </w:r>
          </w:p>
        </w:tc>
      </w:tr>
      <w:tr w:rsidR="00F239CD" w:rsidRPr="00F239CD" w14:paraId="5A7925A7" w14:textId="77777777" w:rsidTr="00A572E0">
        <w:trPr>
          <w:trHeight w:val="689"/>
        </w:trPr>
        <w:tc>
          <w:tcPr>
            <w:tcW w:w="5057" w:type="dxa"/>
            <w:gridSpan w:val="4"/>
          </w:tcPr>
          <w:p w14:paraId="65488690" w14:textId="77777777" w:rsidR="00F239CD" w:rsidRPr="00F239CD" w:rsidRDefault="00F239CD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239CD">
              <w:rPr>
                <w:b/>
                <w:sz w:val="22"/>
                <w:szCs w:val="22"/>
              </w:rPr>
              <w:t>Celková nabídková cena:</w:t>
            </w:r>
          </w:p>
        </w:tc>
        <w:tc>
          <w:tcPr>
            <w:tcW w:w="1572" w:type="dxa"/>
            <w:shd w:val="clear" w:color="auto" w:fill="F7CAAC"/>
          </w:tcPr>
          <w:p w14:paraId="2A5F2405" w14:textId="6678538B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125 971,00 Kč</w:t>
            </w:r>
          </w:p>
        </w:tc>
        <w:tc>
          <w:tcPr>
            <w:tcW w:w="1559" w:type="dxa"/>
            <w:shd w:val="clear" w:color="auto" w:fill="F7CAAC"/>
          </w:tcPr>
          <w:p w14:paraId="1EF5A843" w14:textId="0E34470F" w:rsidR="00F239CD" w:rsidRPr="00F239CD" w:rsidRDefault="00B14DFF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152 424,92 Kč</w:t>
            </w:r>
          </w:p>
        </w:tc>
        <w:tc>
          <w:tcPr>
            <w:tcW w:w="2268" w:type="dxa"/>
            <w:gridSpan w:val="2"/>
          </w:tcPr>
          <w:p w14:paraId="5144E104" w14:textId="77777777" w:rsidR="00F239CD" w:rsidRPr="00F239CD" w:rsidRDefault="00F239CD" w:rsidP="00A572E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239CD">
              <w:rPr>
                <w:b/>
                <w:sz w:val="22"/>
                <w:szCs w:val="22"/>
              </w:rPr>
              <w:t>XXX</w:t>
            </w:r>
          </w:p>
        </w:tc>
      </w:tr>
    </w:tbl>
    <w:p w14:paraId="74A65148" w14:textId="77777777" w:rsidR="00F239CD" w:rsidRPr="00F239CD" w:rsidRDefault="00F239CD" w:rsidP="00F239CD">
      <w:pPr>
        <w:ind w:left="-709"/>
        <w:rPr>
          <w:b/>
          <w:sz w:val="22"/>
          <w:szCs w:val="22"/>
        </w:rPr>
      </w:pPr>
      <w:r w:rsidRPr="00F239CD">
        <w:rPr>
          <w:b/>
          <w:sz w:val="22"/>
          <w:szCs w:val="22"/>
        </w:rPr>
        <w:t>Tabulka nabídkové ceny:</w:t>
      </w:r>
    </w:p>
    <w:p w14:paraId="2B891A4A" w14:textId="77777777" w:rsidR="00F239CD" w:rsidRPr="00F239CD" w:rsidRDefault="00F239CD" w:rsidP="00F239CD">
      <w:pPr>
        <w:pStyle w:val="Odstavecseseznamem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  <w:u w:val="single"/>
        </w:rPr>
      </w:pPr>
    </w:p>
    <w:p w14:paraId="45C24859" w14:textId="77777777" w:rsidR="00F239CD" w:rsidRPr="00F239CD" w:rsidRDefault="00F239CD" w:rsidP="00F239CD">
      <w:pPr>
        <w:pStyle w:val="Odstavecseseznamem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  <w:u w:val="single"/>
        </w:rPr>
      </w:pPr>
    </w:p>
    <w:p w14:paraId="495E5267" w14:textId="77777777" w:rsidR="00F239CD" w:rsidRPr="00F239CD" w:rsidRDefault="00F239CD" w:rsidP="00F239CD">
      <w:pPr>
        <w:pStyle w:val="Odstavecseseznamem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  <w:u w:val="single"/>
        </w:rPr>
      </w:pPr>
    </w:p>
    <w:p w14:paraId="773A21F3" w14:textId="77777777" w:rsidR="00F239CD" w:rsidRPr="00F239CD" w:rsidRDefault="00F239CD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5EC64F0E" w14:textId="77777777" w:rsidR="00F239CD" w:rsidRPr="00F239CD" w:rsidRDefault="00F239CD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F239CD" w:rsidRPr="00F239CD" w:rsidSect="0059786B">
      <w:footerReference w:type="default" r:id="rId12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5524" w14:textId="77777777" w:rsidR="00FA4940" w:rsidRDefault="00FA4940" w:rsidP="00583CC5">
      <w:r>
        <w:separator/>
      </w:r>
    </w:p>
  </w:endnote>
  <w:endnote w:type="continuationSeparator" w:id="0">
    <w:p w14:paraId="705A5B9E" w14:textId="77777777" w:rsidR="00FA4940" w:rsidRDefault="00FA4940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-Identity-H">
    <w:altName w:val="Arial"/>
    <w:charset w:val="00"/>
    <w:family w:val="auto"/>
    <w:pitch w:val="default"/>
  </w:font>
  <w:font w:name="ElectroluxSans-Regular">
    <w:altName w:val="Calibri"/>
    <w:charset w:val="00"/>
    <w:family w:val="swiss"/>
    <w:pitch w:val="default"/>
    <w:sig w:usb0="00000001" w:usb1="08070000" w:usb2="00000010" w:usb3="00000000" w:csb0="00020000" w:csb1="00000000"/>
  </w:font>
  <w:font w:name="FrutigerCE-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DE77" w14:textId="77777777" w:rsidR="00FA4940" w:rsidRDefault="00FA4940" w:rsidP="00583CC5">
      <w:r>
        <w:separator/>
      </w:r>
    </w:p>
  </w:footnote>
  <w:footnote w:type="continuationSeparator" w:id="0">
    <w:p w14:paraId="74634A84" w14:textId="77777777" w:rsidR="00FA4940" w:rsidRDefault="00FA4940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5D8"/>
    <w:multiLevelType w:val="hybridMultilevel"/>
    <w:tmpl w:val="CC14D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7266"/>
    <w:multiLevelType w:val="hybridMultilevel"/>
    <w:tmpl w:val="0CD259E8"/>
    <w:lvl w:ilvl="0" w:tplc="80AC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B790C23"/>
    <w:multiLevelType w:val="hybridMultilevel"/>
    <w:tmpl w:val="8D14A1A8"/>
    <w:lvl w:ilvl="0" w:tplc="74AA438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3E115BCB"/>
    <w:multiLevelType w:val="hybridMultilevel"/>
    <w:tmpl w:val="CB0AF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27F0E"/>
    <w:multiLevelType w:val="hybridMultilevel"/>
    <w:tmpl w:val="11204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25C36"/>
    <w:multiLevelType w:val="hybridMultilevel"/>
    <w:tmpl w:val="AA88B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1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839006153">
    <w:abstractNumId w:val="32"/>
  </w:num>
  <w:num w:numId="2" w16cid:durableId="1743673524">
    <w:abstractNumId w:val="2"/>
  </w:num>
  <w:num w:numId="3" w16cid:durableId="237642576">
    <w:abstractNumId w:val="15"/>
  </w:num>
  <w:num w:numId="4" w16cid:durableId="1872185770">
    <w:abstractNumId w:val="7"/>
  </w:num>
  <w:num w:numId="5" w16cid:durableId="210700828">
    <w:abstractNumId w:val="0"/>
  </w:num>
  <w:num w:numId="6" w16cid:durableId="1403942779">
    <w:abstractNumId w:val="38"/>
  </w:num>
  <w:num w:numId="7" w16cid:durableId="603268800">
    <w:abstractNumId w:val="27"/>
  </w:num>
  <w:num w:numId="8" w16cid:durableId="452866331">
    <w:abstractNumId w:val="30"/>
  </w:num>
  <w:num w:numId="9" w16cid:durableId="779960250">
    <w:abstractNumId w:val="29"/>
  </w:num>
  <w:num w:numId="10" w16cid:durableId="1668171564">
    <w:abstractNumId w:val="37"/>
  </w:num>
  <w:num w:numId="11" w16cid:durableId="109399746">
    <w:abstractNumId w:val="20"/>
  </w:num>
  <w:num w:numId="12" w16cid:durableId="1021315969">
    <w:abstractNumId w:val="17"/>
  </w:num>
  <w:num w:numId="13" w16cid:durableId="1486124188">
    <w:abstractNumId w:val="28"/>
  </w:num>
  <w:num w:numId="14" w16cid:durableId="784277949">
    <w:abstractNumId w:val="16"/>
  </w:num>
  <w:num w:numId="15" w16cid:durableId="957489557">
    <w:abstractNumId w:val="9"/>
  </w:num>
  <w:num w:numId="16" w16cid:durableId="1199007484">
    <w:abstractNumId w:val="3"/>
  </w:num>
  <w:num w:numId="17" w16cid:durableId="848443355">
    <w:abstractNumId w:val="14"/>
  </w:num>
  <w:num w:numId="18" w16cid:durableId="1900558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2925156">
    <w:abstractNumId w:val="1"/>
  </w:num>
  <w:num w:numId="20" w16cid:durableId="831070628">
    <w:abstractNumId w:val="36"/>
  </w:num>
  <w:num w:numId="21" w16cid:durableId="1270816296">
    <w:abstractNumId w:val="24"/>
  </w:num>
  <w:num w:numId="22" w16cid:durableId="1754743822">
    <w:abstractNumId w:val="31"/>
  </w:num>
  <w:num w:numId="23" w16cid:durableId="2030643648">
    <w:abstractNumId w:val="34"/>
  </w:num>
  <w:num w:numId="24" w16cid:durableId="231502769">
    <w:abstractNumId w:val="5"/>
  </w:num>
  <w:num w:numId="25" w16cid:durableId="1616785476">
    <w:abstractNumId w:val="25"/>
  </w:num>
  <w:num w:numId="26" w16cid:durableId="374933475">
    <w:abstractNumId w:val="26"/>
  </w:num>
  <w:num w:numId="27" w16cid:durableId="1088114137">
    <w:abstractNumId w:val="22"/>
  </w:num>
  <w:num w:numId="28" w16cid:durableId="417411131">
    <w:abstractNumId w:val="10"/>
  </w:num>
  <w:num w:numId="29" w16cid:durableId="797574574">
    <w:abstractNumId w:val="33"/>
  </w:num>
  <w:num w:numId="30" w16cid:durableId="2101487192">
    <w:abstractNumId w:val="18"/>
  </w:num>
  <w:num w:numId="31" w16cid:durableId="528765036">
    <w:abstractNumId w:val="35"/>
  </w:num>
  <w:num w:numId="32" w16cid:durableId="513034820">
    <w:abstractNumId w:val="6"/>
  </w:num>
  <w:num w:numId="33" w16cid:durableId="1451902425">
    <w:abstractNumId w:val="8"/>
  </w:num>
  <w:num w:numId="34" w16cid:durableId="445198406">
    <w:abstractNumId w:val="13"/>
  </w:num>
  <w:num w:numId="35" w16cid:durableId="105581096">
    <w:abstractNumId w:val="19"/>
  </w:num>
  <w:num w:numId="36" w16cid:durableId="2066751761">
    <w:abstractNumId w:val="23"/>
  </w:num>
  <w:num w:numId="37" w16cid:durableId="700711949">
    <w:abstractNumId w:val="4"/>
  </w:num>
  <w:num w:numId="38" w16cid:durableId="450324651">
    <w:abstractNumId w:val="11"/>
  </w:num>
  <w:num w:numId="39" w16cid:durableId="19148978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908A0"/>
    <w:rsid w:val="000D043C"/>
    <w:rsid w:val="000E3AF4"/>
    <w:rsid w:val="001A61DA"/>
    <w:rsid w:val="001B6703"/>
    <w:rsid w:val="001C32C6"/>
    <w:rsid w:val="001E4D7A"/>
    <w:rsid w:val="001F6B6A"/>
    <w:rsid w:val="0023186F"/>
    <w:rsid w:val="0028789E"/>
    <w:rsid w:val="002E0AFA"/>
    <w:rsid w:val="002E57DA"/>
    <w:rsid w:val="0030094D"/>
    <w:rsid w:val="00312A80"/>
    <w:rsid w:val="003334E0"/>
    <w:rsid w:val="00381D0C"/>
    <w:rsid w:val="003B0164"/>
    <w:rsid w:val="003E6C1A"/>
    <w:rsid w:val="003F274C"/>
    <w:rsid w:val="004B6C39"/>
    <w:rsid w:val="004E1768"/>
    <w:rsid w:val="00507EC4"/>
    <w:rsid w:val="00565069"/>
    <w:rsid w:val="00571502"/>
    <w:rsid w:val="00580168"/>
    <w:rsid w:val="00583CC5"/>
    <w:rsid w:val="0059786B"/>
    <w:rsid w:val="005B540D"/>
    <w:rsid w:val="005E6862"/>
    <w:rsid w:val="0062419A"/>
    <w:rsid w:val="00675238"/>
    <w:rsid w:val="00683870"/>
    <w:rsid w:val="00697787"/>
    <w:rsid w:val="006A3055"/>
    <w:rsid w:val="0073020B"/>
    <w:rsid w:val="00770FBD"/>
    <w:rsid w:val="007A3E39"/>
    <w:rsid w:val="007D593E"/>
    <w:rsid w:val="00826202"/>
    <w:rsid w:val="008515B9"/>
    <w:rsid w:val="00893DE1"/>
    <w:rsid w:val="008F0397"/>
    <w:rsid w:val="0090768A"/>
    <w:rsid w:val="00911FDE"/>
    <w:rsid w:val="009244F9"/>
    <w:rsid w:val="0093661D"/>
    <w:rsid w:val="0094338C"/>
    <w:rsid w:val="00950D80"/>
    <w:rsid w:val="009573D3"/>
    <w:rsid w:val="00963747"/>
    <w:rsid w:val="009936CC"/>
    <w:rsid w:val="00994861"/>
    <w:rsid w:val="009B08B5"/>
    <w:rsid w:val="009D3AA4"/>
    <w:rsid w:val="009D7E61"/>
    <w:rsid w:val="009F78F7"/>
    <w:rsid w:val="00A03C83"/>
    <w:rsid w:val="00A33670"/>
    <w:rsid w:val="00AB0FD4"/>
    <w:rsid w:val="00AD3B63"/>
    <w:rsid w:val="00B14DFF"/>
    <w:rsid w:val="00BB49B5"/>
    <w:rsid w:val="00BF45DF"/>
    <w:rsid w:val="00C4114B"/>
    <w:rsid w:val="00C5302C"/>
    <w:rsid w:val="00C63BC4"/>
    <w:rsid w:val="00CD0246"/>
    <w:rsid w:val="00CD4DBC"/>
    <w:rsid w:val="00CD6EC9"/>
    <w:rsid w:val="00D2067A"/>
    <w:rsid w:val="00D87F4B"/>
    <w:rsid w:val="00DD5C5A"/>
    <w:rsid w:val="00E14D1A"/>
    <w:rsid w:val="00E33B13"/>
    <w:rsid w:val="00E62CF5"/>
    <w:rsid w:val="00EC05D1"/>
    <w:rsid w:val="00EE0C73"/>
    <w:rsid w:val="00F20132"/>
    <w:rsid w:val="00F239CD"/>
    <w:rsid w:val="00F25919"/>
    <w:rsid w:val="00F32A9A"/>
    <w:rsid w:val="00F46FBB"/>
    <w:rsid w:val="00F97AF4"/>
    <w:rsid w:val="00FA4940"/>
    <w:rsid w:val="00FD6A90"/>
    <w:rsid w:val="00FE0621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334E0"/>
    <w:rPr>
      <w:color w:val="605E5C"/>
      <w:shd w:val="clear" w:color="auto" w:fill="E1DFDD"/>
    </w:rPr>
  </w:style>
  <w:style w:type="paragraph" w:customStyle="1" w:styleId="Standard">
    <w:name w:val="Standard"/>
    <w:rsid w:val="00F239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p@pl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fakturace@pl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ohejl@dsdprof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2320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2025-04-28T06:30:00Z</cp:lastPrinted>
  <dcterms:created xsi:type="dcterms:W3CDTF">2026-04-08T11:09:00Z</dcterms:created>
  <dcterms:modified xsi:type="dcterms:W3CDTF">2026-04-08T11:20:00Z</dcterms:modified>
</cp:coreProperties>
</file>