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20" w:line="286" w:lineRule="auto"/>
        <w:ind w:left="0" w:right="0" w:firstLine="3040"/>
        <w:jc w:val="left"/>
        <w:rPr>
          <w:sz w:val="20"/>
          <w:szCs w:val="20"/>
        </w:rPr>
      </w:pPr>
      <w:bookmarkStart w:id="0" w:name="bookmark0"/>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0"/>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 376/2026</w:t>
      </w:r>
    </w:p>
    <w:p>
      <w:pPr>
        <w:pStyle w:val="Style2"/>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příkazníka: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560" w:line="240" w:lineRule="auto"/>
        <w:ind w:left="0" w:right="0" w:firstLine="0"/>
        <w:jc w:val="center"/>
      </w:pPr>
      <w:r>
        <w:rPr>
          <w:b/>
          <w:bCs/>
          <w:color w:val="000000"/>
          <w:spacing w:val="0"/>
          <w:w w:val="100"/>
          <w:position w:val="0"/>
          <w:shd w:val="clear" w:color="auto" w:fill="auto"/>
          <w:lang w:val="cs-CZ" w:eastAsia="cs-CZ" w:bidi="cs-CZ"/>
        </w:rPr>
        <w:t>„Bílina po Ervěnickém koridoru - revitalizace”</w:t>
        <w:br/>
        <w:t>– autorský dozor</w:t>
      </w:r>
    </w:p>
    <w:p>
      <w:pPr>
        <w:pStyle w:val="Style10"/>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675" w:left="1111" w:right="1097" w:bottom="1363" w:header="0" w:footer="3" w:gutter="0"/>
          <w:pgNumType w:start="1"/>
          <w:cols w:space="720"/>
          <w:noEndnote/>
          <w:rtlGutter w:val="0"/>
          <w:docGrid w:linePitch="360"/>
        </w:sectPr>
      </w:pPr>
      <w:bookmarkStart w:id="1" w:name="bookmark1"/>
      <w:bookmarkStart w:id="2" w:name="bookmark2"/>
      <w:bookmarkStart w:id="3" w:name="bookmark3"/>
      <w:r>
        <w:rPr>
          <w:color w:val="000000"/>
          <w:spacing w:val="0"/>
          <w:w w:val="100"/>
          <w:position w:val="0"/>
          <w:u w:val="single"/>
          <w:shd w:val="clear" w:color="auto" w:fill="auto"/>
          <w:lang w:val="cs-CZ" w:eastAsia="cs-CZ" w:bidi="cs-CZ"/>
        </w:rPr>
        <w:t>SMLUVNÍ STRANY:</w:t>
      </w:r>
      <w:bookmarkEnd w:id="1"/>
      <w:bookmarkEnd w:id="2"/>
      <w:bookmarkEnd w:id="3"/>
    </w:p>
    <w:p>
      <w:pPr>
        <w:widowControl w:val="0"/>
        <w:spacing w:line="144" w:lineRule="exact"/>
        <w:rPr>
          <w:sz w:val="12"/>
          <w:szCs w:val="12"/>
        </w:rPr>
      </w:pPr>
    </w:p>
    <w:p>
      <w:pPr>
        <w:widowControl w:val="0"/>
        <w:spacing w:line="1" w:lineRule="exact"/>
        <w:sectPr>
          <w:footnotePr>
            <w:pos w:val="pageBottom"/>
            <w:numFmt w:val="decimal"/>
            <w:numRestart w:val="continuous"/>
          </w:footnotePr>
          <w:type w:val="continuous"/>
          <w:pgSz w:w="11909" w:h="16838"/>
          <w:pgMar w:top="1675" w:left="0" w:right="0" w:bottom="1363" w:header="0" w:footer="3" w:gutter="0"/>
          <w:cols w:space="720"/>
          <w:noEndnote/>
          <w:rtlGutter w:val="0"/>
          <w:docGrid w:linePitch="360"/>
        </w:sectPr>
      </w:pPr>
    </w:p>
    <w:p>
      <w:pPr>
        <w:widowControl w:val="0"/>
        <w:spacing w:line="1" w:lineRule="exact"/>
      </w:pPr>
      <w:r>
        <mc:AlternateContent>
          <mc:Choice Requires="wps">
            <w:drawing>
              <wp:anchor distT="787400" distB="139700" distL="114300" distR="114300" simplePos="0" relativeHeight="125829378" behindDoc="0" locked="0" layoutInCell="1" allowOverlap="1">
                <wp:simplePos x="0" y="0"/>
                <wp:positionH relativeFrom="page">
                  <wp:posOffset>3406140</wp:posOffset>
                </wp:positionH>
                <wp:positionV relativeFrom="paragraph">
                  <wp:posOffset>1246505</wp:posOffset>
                </wp:positionV>
                <wp:extent cx="2953385" cy="1029970"/>
                <wp:wrapTopAndBottom/>
                <wp:docPr id="5" name="Shape 5"/>
                <a:graphic xmlns:a="http://schemas.openxmlformats.org/drawingml/2006/main">
                  <a:graphicData uri="http://schemas.microsoft.com/office/word/2010/wordprocessingShape">
                    <wps:wsp>
                      <wps:cNvSpPr txBox="1"/>
                      <wps:spPr>
                        <a:xfrm>
                          <a:ext cx="2953385" cy="1029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1" type="#_x0000_t202" style="position:absolute;margin-left:268.19999999999999pt;margin-top:98.150000000000006pt;width:232.55000000000001pt;height:81.100000000000009pt;z-index:-125829375;mso-wrap-distance-left:9.pt;mso-wrap-distance-top:62.pt;mso-wrap-distance-right:9.pt;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260" w:line="286"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(dále jen „příkazce“)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75" w:left="1111" w:right="3041" w:bottom="1363" w:header="0" w:footer="3" w:gutter="0"/>
          <w:cols w:num="2" w:space="749"/>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9" w:left="0" w:right="0" w:bottom="1086" w:header="0" w:footer="3" w:gutter="0"/>
          <w:cols w:space="720"/>
          <w:noEndnote/>
          <w:rtlGutter w:val="0"/>
          <w:docGrid w:linePitch="360"/>
        </w:sectPr>
      </w:pPr>
    </w:p>
    <w:p>
      <w:pPr>
        <w:widowControl w:val="0"/>
        <w:spacing w:line="1" w:lineRule="exact"/>
      </w:pPr>
      <w:r>
        <mc:AlternateContent>
          <mc:Choice Requires="wps">
            <w:drawing>
              <wp:anchor distT="0" distB="2569845" distL="63500" distR="566420" simplePos="0" relativeHeight="125829380" behindDoc="0" locked="0" layoutInCell="1" allowOverlap="1">
                <wp:simplePos x="0" y="0"/>
                <wp:positionH relativeFrom="page">
                  <wp:posOffset>3220085</wp:posOffset>
                </wp:positionH>
                <wp:positionV relativeFrom="paragraph">
                  <wp:posOffset>283210</wp:posOffset>
                </wp:positionV>
                <wp:extent cx="2736850" cy="389890"/>
                <wp:wrapSquare wrapText="left"/>
                <wp:docPr id="7" name="Shape 7"/>
                <a:graphic xmlns:a="http://schemas.openxmlformats.org/drawingml/2006/main">
                  <a:graphicData uri="http://schemas.microsoft.com/office/word/2010/wordprocessingShape">
                    <wps:wsp>
                      <wps:cNvSpPr txBox="1"/>
                      <wps:spPr>
                        <a:xfrm>
                          <a:ext cx="273685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Vodohospodářský rozvoj a výstavba a.s.</w:t>
                            </w:r>
                            <w:bookmarkEnd w:id="4"/>
                          </w:p>
                          <w:p>
                            <w:pPr>
                              <w:pStyle w:val="Style2"/>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Nábřežní 90/4, Smíchov, 150 00 Praha 5</w:t>
                            </w:r>
                            <w:bookmarkEnd w:id="5"/>
                          </w:p>
                        </w:txbxContent>
                      </wps:txbx>
                      <wps:bodyPr lIns="0" tIns="0" rIns="0" bIns="0">
                        <a:noAutoFit/>
                      </wps:bodyPr>
                    </wps:wsp>
                  </a:graphicData>
                </a:graphic>
              </wp:anchor>
            </w:drawing>
          </mc:Choice>
          <mc:Fallback>
            <w:pict>
              <v:shape id="_x0000_s1033" type="#_x0000_t202" style="position:absolute;margin-left:253.55000000000001pt;margin-top:22.300000000000001pt;width:215.5pt;height:30.699999999999999pt;z-index:-125829373;mso-wrap-distance-left:5.pt;mso-wrap-distance-right:44.600000000000001pt;mso-wrap-distance-bottom:202.3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Vodohospodářský rozvoj a výstavba a.s.</w:t>
                      </w:r>
                      <w:bookmarkEnd w:id="4"/>
                    </w:p>
                    <w:p>
                      <w:pPr>
                        <w:pStyle w:val="Style2"/>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Nábřežní 90/4, Smíchov, 150 00 Praha 5</w:t>
                      </w:r>
                      <w:bookmarkEnd w:id="5"/>
                    </w:p>
                  </w:txbxContent>
                </v:textbox>
                <w10:wrap type="square" side="left" anchorx="page"/>
              </v:shape>
            </w:pict>
          </mc:Fallback>
        </mc:AlternateContent>
      </w:r>
      <w:r>
        <mc:AlternateContent>
          <mc:Choice Requires="wps">
            <w:drawing>
              <wp:anchor distT="1929130" distB="635" distL="63500" distR="63500" simplePos="0" relativeHeight="125829382" behindDoc="0" locked="0" layoutInCell="1" allowOverlap="1">
                <wp:simplePos x="0" y="0"/>
                <wp:positionH relativeFrom="page">
                  <wp:posOffset>3220085</wp:posOffset>
                </wp:positionH>
                <wp:positionV relativeFrom="paragraph">
                  <wp:posOffset>2212340</wp:posOffset>
                </wp:positionV>
                <wp:extent cx="3239770" cy="1029970"/>
                <wp:wrapSquare wrapText="left"/>
                <wp:docPr id="9" name="Shape 9"/>
                <a:graphic xmlns:a="http://schemas.openxmlformats.org/drawingml/2006/main">
                  <a:graphicData uri="http://schemas.microsoft.com/office/word/2010/wordprocessingShape">
                    <wps:wsp>
                      <wps:cNvSpPr txBox="1"/>
                      <wps:spPr>
                        <a:xfrm>
                          <a:ext cx="3239770" cy="10299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47116901</w:t>
                            </w:r>
                          </w:p>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CZ47116901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vedená u Městského soudu v Praze, oddíl B, vložka č. 1930</w:t>
                            </w:r>
                          </w:p>
                        </w:txbxContent>
                      </wps:txbx>
                      <wps:bodyPr lIns="0" tIns="0" rIns="0" bIns="0">
                        <a:noAutoFit/>
                      </wps:bodyPr>
                    </wps:wsp>
                  </a:graphicData>
                </a:graphic>
              </wp:anchor>
            </w:drawing>
          </mc:Choice>
          <mc:Fallback>
            <w:pict>
              <v:shape id="_x0000_s1035" type="#_x0000_t202" style="position:absolute;margin-left:253.55000000000001pt;margin-top:174.20000000000002pt;width:255.09999999999999pt;height:81.100000000000009pt;z-index:-125829371;mso-wrap-distance-left:5.pt;mso-wrap-distance-top:151.90000000000001pt;mso-wrap-distance-right:5.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47116901</w:t>
                      </w:r>
                    </w:p>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CZ47116901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vedená u Městského soudu v Praze, oddíl B, vložka č. 1930</w:t>
                      </w:r>
                    </w:p>
                  </w:txbxContent>
                </v:textbox>
                <w10:wrap type="square" side="left" anchorx="page"/>
              </v:shape>
            </w:pict>
          </mc:Fallback>
        </mc:AlternateConten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Statutární orgán: </w:t>
      </w:r>
      <w:r>
        <w:rPr>
          <w:color w:val="000000"/>
          <w:spacing w:val="0"/>
          <w:w w:val="100"/>
          <w:position w:val="0"/>
          <w:shd w:val="clear" w:color="auto" w:fill="auto"/>
          <w:lang w:val="cs-CZ" w:eastAsia="cs-CZ" w:bidi="cs-CZ"/>
        </w:rPr>
        <w:t xml:space="preserve">oprávněn jednat o věcech smluvních: </w:t>
      </w:r>
      <w:r>
        <w:rPr>
          <w:color w:val="000000"/>
          <w:spacing w:val="0"/>
          <w:w w:val="100"/>
          <w:position w:val="0"/>
          <w:shd w:val="clear" w:color="auto" w:fill="auto"/>
          <w:lang w:val="cs-CZ" w:eastAsia="cs-CZ" w:bidi="cs-CZ"/>
        </w:rPr>
        <w:t>oprávněn jednat o věcech technických: mobil: 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10"/>
        <w:keepNext/>
        <w:keepLines/>
        <w:widowControl w:val="0"/>
        <w:numPr>
          <w:ilvl w:val="0"/>
          <w:numId w:val="1"/>
        </w:numPr>
        <w:shd w:val="clear" w:color="auto" w:fill="auto"/>
        <w:tabs>
          <w:tab w:pos="317" w:val="left"/>
        </w:tabs>
        <w:bidi w:val="0"/>
        <w:spacing w:before="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u w:val="single"/>
          <w:shd w:val="clear" w:color="auto" w:fill="auto"/>
          <w:lang w:val="cs-CZ" w:eastAsia="cs-CZ" w:bidi="cs-CZ"/>
        </w:rPr>
        <w:t>Účel a předmět smlouvy</w:t>
      </w:r>
      <w:bookmarkEnd w:id="6"/>
      <w:bookmarkEnd w:id="7"/>
      <w:bookmarkEnd w:id="9"/>
    </w:p>
    <w:p>
      <w:pPr>
        <w:pStyle w:val="Style2"/>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„Bílina po Ervěnickém koridoru - revitalizace” </w:t>
      </w:r>
      <w:r>
        <w:rPr>
          <w:color w:val="000000"/>
          <w:spacing w:val="0"/>
          <w:w w:val="100"/>
          <w:position w:val="0"/>
          <w:shd w:val="clear" w:color="auto" w:fill="auto"/>
          <w:lang w:val="cs-CZ" w:eastAsia="cs-CZ" w:bidi="cs-CZ"/>
        </w:rPr>
        <w:t>(dále jen „stavba“).</w:t>
      </w:r>
    </w:p>
    <w:p>
      <w:pPr>
        <w:pStyle w:val="Style2"/>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2"/>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3" w:name="bookmark13"/>
      <w:bookmarkEnd w:id="13"/>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4" w:name="bookmark14"/>
      <w:bookmarkEnd w:id="14"/>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realizační dokumentace zhotovitele stavby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7" w:name="bookmark17"/>
      <w:bookmarkEnd w:id="17"/>
      <w:r>
        <w:rPr>
          <w:color w:val="000000"/>
          <w:spacing w:val="0"/>
          <w:w w:val="100"/>
          <w:position w:val="0"/>
          <w:shd w:val="clear" w:color="auto" w:fill="auto"/>
          <w:lang w:val="cs-CZ" w:eastAsia="cs-CZ" w:bidi="cs-CZ"/>
        </w:rPr>
        <w:t>kontrola souladu zabezpečení úrovně staveniště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8" w:name="bookmark18"/>
      <w:bookmarkEnd w:id="18"/>
      <w:r>
        <w:rPr>
          <w:color w:val="000000"/>
          <w:spacing w:val="0"/>
          <w:w w:val="100"/>
          <w:position w:val="0"/>
          <w:shd w:val="clear" w:color="auto" w:fill="auto"/>
          <w:lang w:val="cs-CZ" w:eastAsia="cs-CZ" w:bidi="cs-CZ"/>
        </w:rPr>
        <w:t>kontrola souladu provádění vytyčovacích prací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2"/>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2"/>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4" w:name="bookmark24"/>
      <w:bookmarkEnd w:id="24"/>
      <w:r>
        <w:rPr>
          <w:color w:val="000000"/>
          <w:spacing w:val="0"/>
          <w:w w:val="100"/>
          <w:position w:val="0"/>
          <w:shd w:val="clear" w:color="auto" w:fill="auto"/>
          <w:lang w:val="cs-CZ" w:eastAsia="cs-CZ" w:bidi="cs-CZ"/>
        </w:rPr>
        <w:t>kontrola souladu dokumentace skutečného provedení stavby s dokončenou stavbou,</w:t>
      </w:r>
    </w:p>
    <w:p>
      <w:pPr>
        <w:pStyle w:val="Style2"/>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5" w:name="bookmark25"/>
      <w:bookmarkEnd w:id="25"/>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2"/>
        <w:keepNext w:val="0"/>
        <w:keepLines w:val="0"/>
        <w:widowControl w:val="0"/>
        <w:numPr>
          <w:ilvl w:val="0"/>
          <w:numId w:val="5"/>
        </w:numPr>
        <w:shd w:val="clear" w:color="auto" w:fill="auto"/>
        <w:tabs>
          <w:tab w:pos="897" w:val="left"/>
        </w:tabs>
        <w:bidi w:val="0"/>
        <w:spacing w:before="0" w:after="40" w:line="240" w:lineRule="auto"/>
        <w:ind w:left="0" w:right="0" w:firstLine="440"/>
        <w:jc w:val="both"/>
      </w:pPr>
      <w:bookmarkStart w:id="26" w:name="bookmark26"/>
      <w:bookmarkEnd w:id="26"/>
      <w:r>
        <w:rPr>
          <w:color w:val="000000"/>
          <w:spacing w:val="0"/>
          <w:w w:val="100"/>
          <w:position w:val="0"/>
          <w:shd w:val="clear" w:color="auto" w:fill="auto"/>
          <w:lang w:val="cs-CZ" w:eastAsia="cs-CZ" w:bidi="cs-CZ"/>
        </w:rPr>
        <w:t>sledování postupu provádění stavby z technického a časového hlediska a</w:t>
      </w:r>
    </w:p>
    <w:p>
      <w:pPr>
        <w:pStyle w:val="Style2"/>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2"/>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2"/>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29" w:name="bookmark29"/>
      <w:bookmarkEnd w:id="29"/>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2"/>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0" w:name="bookmark30"/>
      <w:bookmarkEnd w:id="30"/>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2"/>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2"/>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2"/>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2"/>
        <w:keepNext w:val="0"/>
        <w:keepLines w:val="0"/>
        <w:widowControl w:val="0"/>
        <w:numPr>
          <w:ilvl w:val="0"/>
          <w:numId w:val="3"/>
        </w:numPr>
        <w:shd w:val="clear" w:color="auto" w:fill="auto"/>
        <w:tabs>
          <w:tab w:pos="400" w:val="left"/>
        </w:tabs>
        <w:bidi w:val="0"/>
        <w:spacing w:before="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Příkazce poskytne příkazníkovi součinnost nezbytnou k plnění této smlouvy.</w:t>
      </w:r>
    </w:p>
    <w:p>
      <w:pPr>
        <w:pStyle w:val="Style2"/>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Příkazce jako držitel nevýhradní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2"/>
        <w:keepNext w:val="0"/>
        <w:keepLines w:val="0"/>
        <w:widowControl w:val="0"/>
        <w:numPr>
          <w:ilvl w:val="0"/>
          <w:numId w:val="3"/>
        </w:numPr>
        <w:shd w:val="clear" w:color="auto" w:fill="auto"/>
        <w:tabs>
          <w:tab w:pos="502" w:val="left"/>
        </w:tabs>
        <w:bidi w:val="0"/>
        <w:spacing w:before="0" w:after="24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Příkazník během vykonávání činnosti autorského dozoru bude disponovat elektronickým podpisem a bude provádět nezávislé zápisy do elektronického stavebního deníku. Přístup do elektronického stavebního deníku mu umožní Příkazce.</w:t>
      </w:r>
    </w:p>
    <w:p>
      <w:pPr>
        <w:pStyle w:val="Style10"/>
        <w:keepNext/>
        <w:keepLines/>
        <w:widowControl w:val="0"/>
        <w:numPr>
          <w:ilvl w:val="0"/>
          <w:numId w:val="1"/>
        </w:numPr>
        <w:shd w:val="clear" w:color="auto" w:fill="auto"/>
        <w:tabs>
          <w:tab w:pos="400" w:val="left"/>
        </w:tabs>
        <w:bidi w:val="0"/>
        <w:spacing w:before="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Doba plněn í</w:t>
      </w:r>
      <w:bookmarkEnd w:id="37"/>
      <w:bookmarkEnd w:id="38"/>
      <w:bookmarkEnd w:id="40"/>
    </w:p>
    <w:p>
      <w:pPr>
        <w:pStyle w:val="Style2"/>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2"/>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2"/>
        <w:keepNext w:val="0"/>
        <w:keepLines w:val="0"/>
        <w:widowControl w:val="0"/>
        <w:numPr>
          <w:ilvl w:val="0"/>
          <w:numId w:val="9"/>
        </w:numPr>
        <w:shd w:val="clear" w:color="auto" w:fill="auto"/>
        <w:tabs>
          <w:tab w:pos="400" w:val="left"/>
        </w:tabs>
        <w:bidi w:val="0"/>
        <w:spacing w:before="0" w:after="24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10"/>
        <w:keepNext/>
        <w:keepLines/>
        <w:widowControl w:val="0"/>
        <w:numPr>
          <w:ilvl w:val="0"/>
          <w:numId w:val="1"/>
        </w:numPr>
        <w:shd w:val="clear" w:color="auto" w:fill="auto"/>
        <w:tabs>
          <w:tab w:pos="445" w:val="left"/>
        </w:tabs>
        <w:bidi w:val="0"/>
        <w:spacing w:before="0" w:line="240" w:lineRule="auto"/>
        <w:ind w:left="0" w:right="0" w:firstLine="0"/>
        <w:jc w:val="center"/>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Odměna a náhrada nákladů</w:t>
      </w:r>
      <w:bookmarkEnd w:id="44"/>
      <w:bookmarkEnd w:id="45"/>
      <w:bookmarkEnd w:id="47"/>
    </w:p>
    <w:p>
      <w:pPr>
        <w:pStyle w:val="Style2"/>
        <w:keepNext w:val="0"/>
        <w:keepLines w:val="0"/>
        <w:widowControl w:val="0"/>
        <w:numPr>
          <w:ilvl w:val="0"/>
          <w:numId w:val="11"/>
        </w:numPr>
        <w:shd w:val="clear" w:color="auto" w:fill="auto"/>
        <w:tabs>
          <w:tab w:pos="400"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Příkazníkovi náleží odměna ve výši</w:t>
      </w:r>
    </w:p>
    <w:p>
      <w:pPr>
        <w:pStyle w:val="Style2"/>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9" w:name="bookmark49"/>
      <w:bookmarkEnd w:id="49"/>
      <w:r>
        <w:rPr>
          <w:b/>
          <w:bCs/>
          <w:color w:val="000000"/>
          <w:spacing w:val="0"/>
          <w:w w:val="100"/>
          <w:position w:val="0"/>
          <w:shd w:val="clear" w:color="auto" w:fill="auto"/>
          <w:lang w:val="cs-CZ" w:eastAsia="cs-CZ" w:bidi="cs-CZ"/>
        </w:rPr>
        <w:t xml:space="preserve">9200,- Kč bez DPH </w:t>
      </w:r>
      <w:r>
        <w:rPr>
          <w:color w:val="000000"/>
          <w:spacing w:val="0"/>
          <w:w w:val="100"/>
          <w:position w:val="0"/>
          <w:shd w:val="clear" w:color="auto" w:fill="auto"/>
          <w:lang w:val="cs-CZ" w:eastAsia="cs-CZ" w:bidi="cs-CZ"/>
        </w:rPr>
        <w:t>za aktivní účast na 1 kontrolním dnu stavby včetně dopravy</w:t>
      </w:r>
    </w:p>
    <w:p>
      <w:pPr>
        <w:pStyle w:val="Style2"/>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50" w:name="bookmark50"/>
      <w:bookmarkEnd w:id="50"/>
      <w:r>
        <w:rPr>
          <w:b/>
          <w:bCs/>
          <w:color w:val="000000"/>
          <w:spacing w:val="0"/>
          <w:w w:val="100"/>
          <w:position w:val="0"/>
          <w:shd w:val="clear" w:color="auto" w:fill="auto"/>
          <w:lang w:val="cs-CZ" w:eastAsia="cs-CZ" w:bidi="cs-CZ"/>
        </w:rPr>
        <w:t xml:space="preserve">1200,- Kč bez DPH </w:t>
      </w:r>
      <w:r>
        <w:rPr>
          <w:color w:val="000000"/>
          <w:spacing w:val="0"/>
          <w:w w:val="100"/>
          <w:position w:val="0"/>
          <w:shd w:val="clear" w:color="auto" w:fill="auto"/>
          <w:lang w:val="cs-CZ" w:eastAsia="cs-CZ" w:bidi="cs-CZ"/>
        </w:rPr>
        <w:t>za 1 člověkohodinu výkonu dalších činností.</w:t>
      </w:r>
    </w:p>
    <w:p>
      <w:pPr>
        <w:pStyle w:val="Style2"/>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950 000,- Kč bez DPH.</w:t>
      </w:r>
    </w:p>
    <w:p>
      <w:pPr>
        <w:pStyle w:val="Style2"/>
        <w:keepNext w:val="0"/>
        <w:keepLines w:val="0"/>
        <w:widowControl w:val="0"/>
        <w:numPr>
          <w:ilvl w:val="0"/>
          <w:numId w:val="11"/>
        </w:numPr>
        <w:shd w:val="clear" w:color="auto" w:fill="auto"/>
        <w:tabs>
          <w:tab w:pos="415"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2"/>
        <w:keepNext w:val="0"/>
        <w:keepLines w:val="0"/>
        <w:widowControl w:val="0"/>
        <w:numPr>
          <w:ilvl w:val="0"/>
          <w:numId w:val="11"/>
        </w:numPr>
        <w:shd w:val="clear" w:color="auto" w:fill="auto"/>
        <w:tabs>
          <w:tab w:pos="415" w:val="left"/>
        </w:tabs>
        <w:bidi w:val="0"/>
        <w:spacing w:before="0" w:after="24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10"/>
        <w:keepNext/>
        <w:keepLines/>
        <w:widowControl w:val="0"/>
        <w:numPr>
          <w:ilvl w:val="0"/>
          <w:numId w:val="1"/>
        </w:numPr>
        <w:shd w:val="clear" w:color="auto" w:fill="auto"/>
        <w:tabs>
          <w:tab w:pos="40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Vykazování a platební podmínky</w:t>
      </w:r>
      <w:bookmarkEnd w:id="53"/>
      <w:bookmarkEnd w:id="54"/>
      <w:bookmarkEnd w:id="56"/>
    </w:p>
    <w:p>
      <w:pPr>
        <w:pStyle w:val="Style2"/>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2"/>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2"/>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skutečného výkonu potvrzeného oprávněným zástupcem příkazníka a oprávněným zástupcem příkazce.</w:t>
      </w:r>
    </w:p>
    <w:p>
      <w:pPr>
        <w:pStyle w:val="Style2"/>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2"/>
        <w:keepNext w:val="0"/>
        <w:keepLines w:val="0"/>
        <w:widowControl w:val="0"/>
        <w:numPr>
          <w:ilvl w:val="0"/>
          <w:numId w:val="15"/>
        </w:numPr>
        <w:shd w:val="clear" w:color="auto" w:fill="auto"/>
        <w:tabs>
          <w:tab w:pos="415"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Splatnost každé faktury je do 30 kalendářních dnů ode dne doručení příkazci.</w:t>
      </w:r>
    </w:p>
    <w:p>
      <w:pPr>
        <w:pStyle w:val="Style2"/>
        <w:keepNext w:val="0"/>
        <w:keepLines w:val="0"/>
        <w:widowControl w:val="0"/>
        <w:numPr>
          <w:ilvl w:val="0"/>
          <w:numId w:val="15"/>
        </w:numPr>
        <w:shd w:val="clear" w:color="auto" w:fill="auto"/>
        <w:tabs>
          <w:tab w:pos="415"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2"/>
        <w:keepNext w:val="0"/>
        <w:keepLines w:val="0"/>
        <w:widowControl w:val="0"/>
        <w:numPr>
          <w:ilvl w:val="0"/>
          <w:numId w:val="15"/>
        </w:numPr>
        <w:shd w:val="clear" w:color="auto" w:fill="auto"/>
        <w:tabs>
          <w:tab w:pos="415" w:val="left"/>
        </w:tabs>
        <w:bidi w:val="0"/>
        <w:spacing w:before="0" w:after="24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10"/>
        <w:keepNext/>
        <w:keepLines/>
        <w:widowControl w:val="0"/>
        <w:numPr>
          <w:ilvl w:val="0"/>
          <w:numId w:val="1"/>
        </w:numPr>
        <w:shd w:val="clear" w:color="auto" w:fill="auto"/>
        <w:tabs>
          <w:tab w:pos="346" w:val="left"/>
        </w:tabs>
        <w:bidi w:val="0"/>
        <w:spacing w:before="0" w:line="240" w:lineRule="auto"/>
        <w:ind w:left="0" w:right="0" w:firstLine="0"/>
        <w:jc w:val="center"/>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Odpovědnost za škodu</w:t>
      </w:r>
      <w:bookmarkEnd w:id="64"/>
      <w:bookmarkEnd w:id="65"/>
      <w:bookmarkEnd w:id="67"/>
    </w:p>
    <w:p>
      <w:pPr>
        <w:pStyle w:val="Style2"/>
        <w:keepNext w:val="0"/>
        <w:keepLines w:val="0"/>
        <w:widowControl w:val="0"/>
        <w:numPr>
          <w:ilvl w:val="0"/>
          <w:numId w:val="17"/>
        </w:numPr>
        <w:shd w:val="clear" w:color="auto" w:fill="auto"/>
        <w:tabs>
          <w:tab w:pos="415"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2"/>
        <w:keepNext w:val="0"/>
        <w:keepLines w:val="0"/>
        <w:widowControl w:val="0"/>
        <w:numPr>
          <w:ilvl w:val="0"/>
          <w:numId w:val="17"/>
        </w:numPr>
        <w:shd w:val="clear" w:color="auto" w:fill="auto"/>
        <w:tabs>
          <w:tab w:pos="415" w:val="left"/>
        </w:tabs>
        <w:bidi w:val="0"/>
        <w:spacing w:before="0" w:line="240" w:lineRule="auto"/>
        <w:ind w:left="440" w:right="0" w:hanging="440"/>
        <w:jc w:val="both"/>
        <w:sectPr>
          <w:footnotePr>
            <w:pos w:val="pageBottom"/>
            <w:numFmt w:val="decimal"/>
            <w:numRestart w:val="continuous"/>
          </w:footnotePr>
          <w:type w:val="continuous"/>
          <w:pgSz w:w="11909" w:h="16838"/>
          <w:pgMar w:top="1169" w:left="1084" w:right="980" w:bottom="1086" w:header="0" w:footer="3" w:gutter="0"/>
          <w:cols w:space="720"/>
          <w:noEndnote/>
          <w:rtlGutter w:val="0"/>
          <w:docGrid w:linePitch="360"/>
        </w:sectPr>
      </w:pPr>
      <w:bookmarkStart w:id="69" w:name="bookmark69"/>
      <w:bookmarkEnd w:id="69"/>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13"/>
        <w:keepNext w:val="0"/>
        <w:keepLines w:val="0"/>
        <w:widowControl w:val="0"/>
        <w:shd w:val="clear" w:color="auto" w:fill="auto"/>
        <w:bidi w:val="0"/>
        <w:spacing w:before="0" w:after="0"/>
        <w:ind w:firstLine="0"/>
        <w:jc w:val="right"/>
      </w:pPr>
      <w:r>
        <w:rPr>
          <w:color w:val="000000"/>
          <w:spacing w:val="0"/>
          <w:w w:val="100"/>
          <w:position w:val="0"/>
          <w:shd w:val="clear" w:color="auto" w:fill="auto"/>
          <w:lang w:val="cs-CZ" w:eastAsia="cs-CZ" w:bidi="cs-CZ"/>
        </w:rPr>
        <w:t>Příkazní smlouva akce č. 503 073</w:t>
      </w:r>
    </w:p>
    <w:p>
      <w:pPr>
        <w:pStyle w:val="Style2"/>
        <w:keepNext w:val="0"/>
        <w:keepLines w:val="0"/>
        <w:widowControl w:val="0"/>
        <w:numPr>
          <w:ilvl w:val="0"/>
          <w:numId w:val="17"/>
        </w:numPr>
        <w:shd w:val="clear" w:color="auto" w:fill="auto"/>
        <w:tabs>
          <w:tab w:pos="403" w:val="left"/>
        </w:tabs>
        <w:bidi w:val="0"/>
        <w:spacing w:before="0" w:after="220" w:line="276" w:lineRule="auto"/>
        <w:ind w:left="0" w:right="0" w:firstLine="0"/>
        <w:jc w:val="left"/>
      </w:pPr>
      <w:bookmarkStart w:id="70" w:name="bookmark70"/>
      <w:bookmarkEnd w:id="70"/>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0"/>
        <w:keepNext/>
        <w:keepLines/>
        <w:widowControl w:val="0"/>
        <w:numPr>
          <w:ilvl w:val="0"/>
          <w:numId w:val="1"/>
        </w:numPr>
        <w:shd w:val="clear" w:color="auto" w:fill="auto"/>
        <w:tabs>
          <w:tab w:pos="445" w:val="left"/>
        </w:tabs>
        <w:bidi w:val="0"/>
        <w:spacing w:before="0" w:line="240" w:lineRule="auto"/>
        <w:ind w:left="0" w:right="0" w:firstLine="0"/>
        <w:jc w:val="center"/>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Sankce</w:t>
      </w:r>
      <w:bookmarkEnd w:id="71"/>
      <w:bookmarkEnd w:id="72"/>
      <w:bookmarkEnd w:id="74"/>
    </w:p>
    <w:p>
      <w:pPr>
        <w:pStyle w:val="Style2"/>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2"/>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2"/>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2"/>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zaplacené smluvní pokuty.</w:t>
      </w:r>
    </w:p>
    <w:p>
      <w:pPr>
        <w:pStyle w:val="Style2"/>
        <w:keepNext w:val="0"/>
        <w:keepLines w:val="0"/>
        <w:widowControl w:val="0"/>
        <w:numPr>
          <w:ilvl w:val="0"/>
          <w:numId w:val="19"/>
        </w:numPr>
        <w:shd w:val="clear" w:color="auto" w:fill="auto"/>
        <w:tabs>
          <w:tab w:pos="403" w:val="left"/>
        </w:tabs>
        <w:bidi w:val="0"/>
        <w:spacing w:before="0" w:after="22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10"/>
        <w:keepNext/>
        <w:keepLines/>
        <w:widowControl w:val="0"/>
        <w:numPr>
          <w:ilvl w:val="0"/>
          <w:numId w:val="1"/>
        </w:numPr>
        <w:shd w:val="clear" w:color="auto" w:fill="auto"/>
        <w:tabs>
          <w:tab w:pos="508"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u w:val="single"/>
          <w:shd w:val="clear" w:color="auto" w:fill="auto"/>
          <w:lang w:val="cs-CZ" w:eastAsia="cs-CZ" w:bidi="cs-CZ"/>
        </w:rPr>
        <w:t>Odstoupení od smlouvy, výpověď</w:t>
      </w:r>
      <w:bookmarkEnd w:id="80"/>
      <w:bookmarkEnd w:id="81"/>
      <w:bookmarkEnd w:id="83"/>
    </w:p>
    <w:p>
      <w:pPr>
        <w:pStyle w:val="Style2"/>
        <w:keepNext w:val="0"/>
        <w:keepLines w:val="0"/>
        <w:widowControl w:val="0"/>
        <w:numPr>
          <w:ilvl w:val="0"/>
          <w:numId w:val="21"/>
        </w:numPr>
        <w:shd w:val="clear" w:color="auto" w:fill="auto"/>
        <w:tabs>
          <w:tab w:pos="403"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2"/>
        <w:keepNext w:val="0"/>
        <w:keepLines w:val="0"/>
        <w:widowControl w:val="0"/>
        <w:numPr>
          <w:ilvl w:val="0"/>
          <w:numId w:val="21"/>
        </w:numPr>
        <w:shd w:val="clear" w:color="auto" w:fill="auto"/>
        <w:tabs>
          <w:tab w:pos="403"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2"/>
        <w:keepNext w:val="0"/>
        <w:keepLines w:val="0"/>
        <w:widowControl w:val="0"/>
        <w:numPr>
          <w:ilvl w:val="0"/>
          <w:numId w:val="21"/>
        </w:numPr>
        <w:shd w:val="clear" w:color="auto" w:fill="auto"/>
        <w:tabs>
          <w:tab w:pos="403" w:val="left"/>
        </w:tabs>
        <w:bidi w:val="0"/>
        <w:spacing w:before="0" w:after="40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10"/>
        <w:keepNext/>
        <w:keepLines/>
        <w:widowControl w:val="0"/>
        <w:numPr>
          <w:ilvl w:val="0"/>
          <w:numId w:val="1"/>
        </w:numPr>
        <w:shd w:val="clear" w:color="auto" w:fill="auto"/>
        <w:tabs>
          <w:tab w:pos="565" w:val="left"/>
        </w:tabs>
        <w:bidi w:val="0"/>
        <w:spacing w:before="0" w:after="220" w:line="240" w:lineRule="auto"/>
        <w:ind w:left="0" w:right="0" w:firstLine="0"/>
        <w:jc w:val="center"/>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Compliance doložka</w:t>
      </w:r>
      <w:bookmarkEnd w:id="87"/>
      <w:bookmarkEnd w:id="88"/>
      <w:bookmarkEnd w:id="90"/>
    </w:p>
    <w:p>
      <w:pPr>
        <w:pStyle w:val="Style2"/>
        <w:keepNext w:val="0"/>
        <w:keepLines w:val="0"/>
        <w:widowControl w:val="0"/>
        <w:numPr>
          <w:ilvl w:val="0"/>
          <w:numId w:val="23"/>
        </w:numPr>
        <w:shd w:val="clear" w:color="auto" w:fill="auto"/>
        <w:tabs>
          <w:tab w:pos="403" w:val="left"/>
        </w:tabs>
        <w:bidi w:val="0"/>
        <w:spacing w:before="0" w:after="22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403" w:val="left"/>
        </w:tabs>
        <w:bidi w:val="0"/>
        <w:spacing w:before="0" w:after="6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403" w:val="left"/>
        </w:tabs>
        <w:bidi w:val="0"/>
        <w:spacing w:before="0" w:after="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Příkazník prohlašuje, že se seznámil se zásadami, hodnotami a cíli Compliance programu</w:t>
      </w:r>
    </w:p>
    <w:p>
      <w:pPr>
        <w:pStyle w:val="Style2"/>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2"/>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w:t>
      </w:r>
    </w:p>
    <w:p>
      <w:pPr>
        <w:pStyle w:val="Style2"/>
        <w:keepNext w:val="0"/>
        <w:keepLines w:val="0"/>
        <w:widowControl w:val="0"/>
        <w:shd w:val="clear" w:color="auto" w:fill="auto"/>
        <w:bidi w:val="0"/>
        <w:spacing w:before="0" w:after="60" w:line="269" w:lineRule="auto"/>
        <w:ind w:left="380" w:right="0" w:firstLine="8000"/>
        <w:jc w:val="both"/>
      </w:pPr>
      <w:r>
        <w:rPr>
          <w:color w:val="000000"/>
          <w:spacing w:val="0"/>
          <w:w w:val="100"/>
          <w:position w:val="0"/>
          <w:sz w:val="16"/>
          <w:szCs w:val="16"/>
          <w:shd w:val="clear" w:color="auto" w:fill="auto"/>
          <w:lang w:val="cs-CZ" w:eastAsia="cs-CZ" w:bidi="cs-CZ"/>
        </w:rPr>
        <w:t xml:space="preserve">Příkazní smlouva akce č. 503 073 </w:t>
      </w:r>
      <w:r>
        <w:rPr>
          <w:color w:val="000000"/>
          <w:spacing w:val="0"/>
          <w:w w:val="100"/>
          <w:position w:val="0"/>
          <w:shd w:val="clear" w:color="auto" w:fill="auto"/>
          <w:lang w:val="cs-CZ" w:eastAsia="cs-CZ" w:bidi="cs-CZ"/>
        </w:rPr>
        <w:t>Příkazník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397"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keepLines/>
        <w:widowControl w:val="0"/>
        <w:numPr>
          <w:ilvl w:val="0"/>
          <w:numId w:val="1"/>
        </w:numPr>
        <w:shd w:val="clear" w:color="auto" w:fill="auto"/>
        <w:tabs>
          <w:tab w:pos="414" w:val="left"/>
        </w:tabs>
        <w:bidi w:val="0"/>
        <w:spacing w:before="0" w:after="18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Ochrana a zpracování osobních údajů</w:t>
      </w:r>
      <w:bookmarkEnd w:id="95"/>
      <w:bookmarkEnd w:id="96"/>
      <w:bookmarkEnd w:id="98"/>
    </w:p>
    <w:p>
      <w:pPr>
        <w:pStyle w:val="Style2"/>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keepLines/>
        <w:widowControl w:val="0"/>
        <w:numPr>
          <w:ilvl w:val="0"/>
          <w:numId w:val="1"/>
        </w:numPr>
        <w:shd w:val="clear" w:color="auto" w:fill="auto"/>
        <w:tabs>
          <w:tab w:pos="397" w:val="left"/>
        </w:tabs>
        <w:bidi w:val="0"/>
        <w:spacing w:before="0" w:line="240" w:lineRule="auto"/>
        <w:ind w:left="0" w:right="0" w:firstLine="0"/>
        <w:jc w:val="center"/>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Závěrečná ustanovení</w:t>
      </w:r>
      <w:bookmarkEnd w:id="100"/>
      <w:bookmarkEnd w:id="102"/>
      <w:bookmarkEnd w:id="99"/>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97"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2"/>
        <w:keepNext w:val="0"/>
        <w:keepLines w:val="0"/>
        <w:widowControl w:val="0"/>
        <w:numPr>
          <w:ilvl w:val="0"/>
          <w:numId w:val="25"/>
        </w:numPr>
        <w:shd w:val="clear" w:color="auto" w:fill="auto"/>
        <w:tabs>
          <w:tab w:pos="397" w:val="left"/>
        </w:tabs>
        <w:bidi w:val="0"/>
        <w:spacing w:before="0" w:after="0" w:line="240" w:lineRule="auto"/>
        <w:ind w:left="380" w:right="0" w:hanging="380"/>
        <w:jc w:val="left"/>
      </w:pPr>
      <w:bookmarkStart w:id="110" w:name="bookmark110"/>
      <w:bookmarkEnd w:id="11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5"/>
        </w:numPr>
        <w:shd w:val="clear" w:color="auto" w:fill="auto"/>
        <w:tabs>
          <w:tab w:pos="397" w:val="left"/>
        </w:tabs>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9" w:h="16838"/>
          <w:pgMar w:top="639" w:left="1107" w:right="927" w:bottom="989" w:header="211" w:footer="3" w:gutter="0"/>
          <w:cols w:space="720"/>
          <w:noEndnote/>
          <w:rtlGutter w:val="0"/>
          <w:docGrid w:linePitch="360"/>
        </w:sectPr>
      </w:pPr>
      <w:bookmarkStart w:id="111" w:name="bookmark111"/>
      <w:bookmarkEnd w:id="111"/>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5"/>
        </w:numPr>
        <w:shd w:val="clear" w:color="auto" w:fill="auto"/>
        <w:tabs>
          <w:tab w:pos="442" w:val="left"/>
        </w:tabs>
        <w:bidi w:val="0"/>
        <w:spacing w:before="0" w:line="240" w:lineRule="auto"/>
        <w:ind w:left="440" w:right="0" w:hanging="440"/>
        <w:jc w:val="left"/>
      </w:pPr>
      <w:bookmarkStart w:id="112" w:name="bookmark112"/>
      <w:bookmarkEnd w:id="11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2"/>
        <w:keepNext w:val="0"/>
        <w:keepLines w:val="0"/>
        <w:widowControl w:val="0"/>
        <w:numPr>
          <w:ilvl w:val="0"/>
          <w:numId w:val="25"/>
        </w:numPr>
        <w:shd w:val="clear" w:color="auto" w:fill="auto"/>
        <w:tabs>
          <w:tab w:pos="442" w:val="left"/>
        </w:tabs>
        <w:bidi w:val="0"/>
        <w:spacing w:before="0" w:line="240" w:lineRule="auto"/>
        <w:ind w:left="440" w:right="0" w:hanging="440"/>
        <w:jc w:val="left"/>
      </w:pPr>
      <w:bookmarkStart w:id="113" w:name="bookmark113"/>
      <w:bookmarkEnd w:id="113"/>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2"/>
        <w:keepNext w:val="0"/>
        <w:keepLines w:val="0"/>
        <w:widowControl w:val="0"/>
        <w:numPr>
          <w:ilvl w:val="0"/>
          <w:numId w:val="25"/>
        </w:numPr>
        <w:shd w:val="clear" w:color="auto" w:fill="auto"/>
        <w:tabs>
          <w:tab w:pos="442" w:val="left"/>
        </w:tabs>
        <w:bidi w:val="0"/>
        <w:spacing w:before="0" w:after="360" w:line="240" w:lineRule="auto"/>
        <w:ind w:left="440" w:right="0" w:hanging="440"/>
        <w:jc w:val="left"/>
      </w:pPr>
      <w:bookmarkStart w:id="114" w:name="bookmark114"/>
      <w:bookmarkEnd w:id="11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tbl>
      <w:tblPr>
        <w:tblOverlap w:val="never"/>
        <w:jc w:val="center"/>
        <w:tblLayout w:type="fixed"/>
      </w:tblPr>
      <w:tblGrid>
        <w:gridCol w:w="4517"/>
        <w:gridCol w:w="5179"/>
      </w:tblGrid>
      <w:tr>
        <w:trPr>
          <w:trHeight w:val="89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V Chomutově</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V Praze</w:t>
            </w:r>
          </w:p>
        </w:tc>
      </w:tr>
      <w:tr>
        <w:trPr>
          <w:trHeight w:val="1013" w:hRule="exact"/>
        </w:trPr>
        <w:tc>
          <w:tcPr>
            <w:tcBorders/>
            <w:shd w:val="clear" w:color="auto" w:fill="FFFFFF"/>
            <w:vAlign w:val="bottom"/>
          </w:tcPr>
          <w:p>
            <w:pPr>
              <w:pStyle w:val="Style16"/>
              <w:keepNext w:val="0"/>
              <w:keepLines w:val="0"/>
              <w:widowControl w:val="0"/>
              <w:shd w:val="clear" w:color="auto" w:fill="auto"/>
              <w:tabs>
                <w:tab w:leader="dot" w:pos="3101" w:val="left"/>
              </w:tabs>
              <w:bidi w:val="0"/>
              <w:spacing w:before="0" w:after="0" w:line="240" w:lineRule="auto"/>
              <w:ind w:left="0" w:right="0" w:firstLine="720"/>
              <w:jc w:val="left"/>
            </w:pPr>
            <w:r>
              <w:rPr>
                <w:color w:val="000000"/>
                <w:spacing w:val="0"/>
                <w:w w:val="100"/>
                <w:position w:val="0"/>
                <w:shd w:val="clear" w:color="auto" w:fill="auto"/>
                <w:lang w:val="cs-CZ" w:eastAsia="cs-CZ" w:bidi="cs-CZ"/>
              </w:rPr>
              <w:tab/>
            </w:r>
          </w:p>
        </w:tc>
        <w:tc>
          <w:tcPr>
            <w:tcBorders/>
            <w:shd w:val="clear" w:color="auto" w:fill="FFFFFF"/>
            <w:vAlign w:val="bottom"/>
          </w:tcPr>
          <w:p>
            <w:pPr>
              <w:pStyle w:val="Style16"/>
              <w:keepNext w:val="0"/>
              <w:keepLines w:val="0"/>
              <w:widowControl w:val="0"/>
              <w:shd w:val="clear" w:color="auto" w:fill="auto"/>
              <w:tabs>
                <w:tab w:leader="dot" w:pos="3623" w:val="left"/>
              </w:tabs>
              <w:bidi w:val="0"/>
              <w:spacing w:before="0" w:after="0" w:line="240" w:lineRule="auto"/>
              <w:ind w:left="1180" w:right="0" w:firstLine="0"/>
              <w:jc w:val="left"/>
            </w:pPr>
            <w:r>
              <w:rPr>
                <w:color w:val="000000"/>
                <w:spacing w:val="0"/>
                <w:w w:val="100"/>
                <w:position w:val="0"/>
                <w:shd w:val="clear" w:color="auto" w:fill="auto"/>
                <w:lang w:val="cs-CZ" w:eastAsia="cs-CZ" w:bidi="cs-CZ"/>
              </w:rPr>
              <w:tab/>
            </w:r>
          </w:p>
        </w:tc>
      </w:tr>
      <w:tr>
        <w:trPr>
          <w:trHeight w:val="725"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investiční ředitel</w:t>
            </w:r>
          </w:p>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Povodí Ohře, státní podnik</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ředitel divize 06</w:t>
            </w:r>
          </w:p>
          <w:p>
            <w:pPr>
              <w:pStyle w:val="Style16"/>
              <w:keepNext w:val="0"/>
              <w:keepLines w:val="0"/>
              <w:widowControl w:val="0"/>
              <w:shd w:val="clear" w:color="auto" w:fill="auto"/>
              <w:bidi w:val="0"/>
              <w:spacing w:before="0" w:after="0" w:line="240" w:lineRule="auto"/>
              <w:ind w:left="1180" w:right="0" w:firstLine="0"/>
              <w:jc w:val="left"/>
            </w:pPr>
            <w:r>
              <w:rPr>
                <w:color w:val="000000"/>
                <w:spacing w:val="0"/>
                <w:w w:val="100"/>
                <w:position w:val="0"/>
                <w:shd w:val="clear" w:color="auto" w:fill="auto"/>
                <w:lang w:val="cs-CZ" w:eastAsia="cs-CZ" w:bidi="cs-CZ"/>
              </w:rPr>
              <w:t>Vodohospodářský rozvoj a výstavba a.s.</w:t>
            </w:r>
          </w:p>
        </w:tc>
      </w:tr>
    </w:tbl>
    <w:sectPr>
      <w:headerReference w:type="default" r:id="rId9"/>
      <w:footerReference w:type="default" r:id="rId10"/>
      <w:footnotePr>
        <w:pos w:val="pageBottom"/>
        <w:numFmt w:val="decimal"/>
        <w:numRestart w:val="continuous"/>
      </w:footnotePr>
      <w:pgSz w:w="11909" w:h="16838"/>
      <w:pgMar w:top="1536" w:left="1111" w:right="939" w:bottom="153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3439160</wp:posOffset>
              </wp:positionH>
              <wp:positionV relativeFrom="page">
                <wp:posOffset>10160635</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80000000000001pt;margin-top:800.05000000000007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3437255</wp:posOffset>
              </wp:positionH>
              <wp:positionV relativeFrom="page">
                <wp:posOffset>10127615</wp:posOffset>
              </wp:positionV>
              <wp:extent cx="917575" cy="140335"/>
              <wp:wrapNone/>
              <wp:docPr id="11" name="Shape 11"/>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7" type="#_x0000_t202" style="position:absolute;margin-left:270.64999999999998pt;margin-top:797.45000000000005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3439160</wp:posOffset>
              </wp:positionH>
              <wp:positionV relativeFrom="page">
                <wp:posOffset>10160635</wp:posOffset>
              </wp:positionV>
              <wp:extent cx="917575" cy="140335"/>
              <wp:wrapNone/>
              <wp:docPr id="15" name="Shape 15"/>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1" type="#_x0000_t202" style="position:absolute;margin-left:270.80000000000001pt;margin-top:800.05000000000007pt;width:72.25pt;height:11.050000000000001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6033135</wp:posOffset>
              </wp:positionH>
              <wp:positionV relativeFrom="page">
                <wp:posOffset>422910</wp:posOffset>
              </wp:positionV>
              <wp:extent cx="810895" cy="255905"/>
              <wp:wrapNone/>
              <wp:docPr id="1" name="Shape 1"/>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503 073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05000000000001pt;margin-top:33.299999999999997pt;width:63.850000000000001pt;height:20.15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503 073</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6033135</wp:posOffset>
              </wp:positionH>
              <wp:positionV relativeFrom="page">
                <wp:posOffset>422910</wp:posOffset>
              </wp:positionV>
              <wp:extent cx="810895" cy="255905"/>
              <wp:wrapNone/>
              <wp:docPr id="13" name="Shape 13"/>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503 073</w:t>
                          </w:r>
                        </w:p>
                      </w:txbxContent>
                    </wps:txbx>
                    <wps:bodyPr wrap="none" lIns="0" tIns="0" rIns="0" bIns="0">
                      <a:spAutoFit/>
                    </wps:bodyPr>
                  </wps:wsp>
                </a:graphicData>
              </a:graphic>
            </wp:anchor>
          </w:drawing>
        </mc:Choice>
        <mc:Fallback>
          <w:pict>
            <v:shape id="_x0000_s1039" type="#_x0000_t202" style="position:absolute;margin-left:475.05000000000001pt;margin-top:33.299999999999997pt;width:63.850000000000001pt;height:20.15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503 073</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6"/>
      <w:szCs w:val="16"/>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line="276" w:lineRule="auto"/>
      <w:ind w:left="8340" w:right="200"/>
      <w:jc w:val="right"/>
    </w:pPr>
    <w:rPr>
      <w:rFonts w:ascii="Arial" w:eastAsia="Arial" w:hAnsi="Arial" w:cs="Arial"/>
      <w:b w:val="0"/>
      <w:bCs w:val="0"/>
      <w:i w:val="0"/>
      <w:iCs w:val="0"/>
      <w:smallCaps w:val="0"/>
      <w:strike w:val="0"/>
      <w:sz w:val="16"/>
      <w:szCs w:val="16"/>
      <w:u w:val="none"/>
    </w:rPr>
  </w:style>
  <w:style w:type="paragraph" w:customStyle="1" w:styleId="Style16">
    <w:name w:val="Style 16"/>
    <w:basedOn w:val="Normal"/>
    <w:link w:val="CharStyle17"/>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