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FC0D" w14:textId="77777777" w:rsidR="00F714B4" w:rsidRPr="002C5E58" w:rsidRDefault="00F714B4" w:rsidP="00F714B4">
      <w:pPr>
        <w:tabs>
          <w:tab w:val="left" w:pos="2552"/>
        </w:tabs>
        <w:jc w:val="center"/>
        <w:rPr>
          <w:b/>
          <w:snapToGrid w:val="0"/>
          <w:sz w:val="28"/>
          <w:szCs w:val="28"/>
        </w:rPr>
      </w:pPr>
      <w:r w:rsidRPr="002C5E58">
        <w:rPr>
          <w:b/>
          <w:snapToGrid w:val="0"/>
          <w:sz w:val="28"/>
          <w:szCs w:val="28"/>
        </w:rPr>
        <w:t>SMLUVNÍ STRANY</w:t>
      </w:r>
    </w:p>
    <w:p w14:paraId="3A76891E" w14:textId="77777777" w:rsidR="00F714B4" w:rsidRPr="002C5E58" w:rsidRDefault="00F714B4" w:rsidP="00F714B4">
      <w:pPr>
        <w:tabs>
          <w:tab w:val="left" w:pos="2552"/>
        </w:tabs>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F714B4" w:rsidRPr="002C5E58" w14:paraId="75CEE3D8" w14:textId="77777777" w:rsidTr="00E652F9">
        <w:tc>
          <w:tcPr>
            <w:tcW w:w="2830" w:type="dxa"/>
          </w:tcPr>
          <w:p w14:paraId="70770A41" w14:textId="77777777" w:rsidR="00F714B4" w:rsidRPr="002C5E58" w:rsidRDefault="00F714B4" w:rsidP="00E652F9">
            <w:pPr>
              <w:tabs>
                <w:tab w:val="left" w:pos="2552"/>
              </w:tabs>
              <w:rPr>
                <w:sz w:val="22"/>
                <w:szCs w:val="22"/>
              </w:rPr>
            </w:pPr>
            <w:r>
              <w:rPr>
                <w:sz w:val="22"/>
                <w:szCs w:val="22"/>
              </w:rPr>
              <w:t>Obchodní firma</w:t>
            </w:r>
            <w:r w:rsidRPr="002C5E58">
              <w:rPr>
                <w:sz w:val="22"/>
                <w:szCs w:val="22"/>
              </w:rPr>
              <w:t>:</w:t>
            </w:r>
          </w:p>
        </w:tc>
        <w:tc>
          <w:tcPr>
            <w:tcW w:w="6232" w:type="dxa"/>
          </w:tcPr>
          <w:p w14:paraId="21D14EF5" w14:textId="41294B5E" w:rsidR="00F714B4" w:rsidRPr="002C5E58" w:rsidRDefault="007D7378" w:rsidP="00E652F9">
            <w:pPr>
              <w:tabs>
                <w:tab w:val="left" w:pos="2552"/>
              </w:tabs>
              <w:rPr>
                <w:sz w:val="22"/>
                <w:szCs w:val="22"/>
              </w:rPr>
            </w:pPr>
            <w:r>
              <w:rPr>
                <w:b/>
                <w:sz w:val="22"/>
                <w:szCs w:val="22"/>
              </w:rPr>
              <w:t>Nadační fond HC Sparta Praha</w:t>
            </w:r>
          </w:p>
        </w:tc>
      </w:tr>
      <w:tr w:rsidR="00F714B4" w:rsidRPr="002C5E58" w14:paraId="27B1B574" w14:textId="77777777" w:rsidTr="00E652F9">
        <w:tc>
          <w:tcPr>
            <w:tcW w:w="2830" w:type="dxa"/>
          </w:tcPr>
          <w:p w14:paraId="1D07C351" w14:textId="77777777" w:rsidR="00F714B4" w:rsidRPr="002C5E58" w:rsidRDefault="00F714B4" w:rsidP="00E652F9">
            <w:pPr>
              <w:tabs>
                <w:tab w:val="left" w:pos="2552"/>
              </w:tabs>
              <w:rPr>
                <w:sz w:val="22"/>
                <w:szCs w:val="22"/>
              </w:rPr>
            </w:pPr>
            <w:r w:rsidRPr="002C5E58">
              <w:rPr>
                <w:sz w:val="22"/>
                <w:szCs w:val="22"/>
              </w:rPr>
              <w:t>IČO:</w:t>
            </w:r>
          </w:p>
        </w:tc>
        <w:tc>
          <w:tcPr>
            <w:tcW w:w="6232" w:type="dxa"/>
          </w:tcPr>
          <w:p w14:paraId="4DDCB8FE" w14:textId="7B9F8801" w:rsidR="00F714B4" w:rsidRPr="007D7378" w:rsidRDefault="007D7378" w:rsidP="00E652F9">
            <w:pPr>
              <w:tabs>
                <w:tab w:val="left" w:pos="2552"/>
              </w:tabs>
              <w:rPr>
                <w:bCs/>
                <w:sz w:val="22"/>
                <w:szCs w:val="22"/>
              </w:rPr>
            </w:pPr>
            <w:r w:rsidRPr="007D7378">
              <w:rPr>
                <w:bCs/>
                <w:sz w:val="22"/>
                <w:szCs w:val="22"/>
              </w:rPr>
              <w:t>03619842</w:t>
            </w:r>
          </w:p>
        </w:tc>
      </w:tr>
      <w:tr w:rsidR="00F714B4" w:rsidRPr="002C5E58" w14:paraId="28D2BBE7" w14:textId="77777777" w:rsidTr="00E652F9">
        <w:tc>
          <w:tcPr>
            <w:tcW w:w="2830" w:type="dxa"/>
          </w:tcPr>
          <w:p w14:paraId="678ADA10" w14:textId="77777777" w:rsidR="00F714B4" w:rsidRPr="002C5E58" w:rsidRDefault="00F714B4" w:rsidP="00E652F9">
            <w:pPr>
              <w:tabs>
                <w:tab w:val="left" w:pos="2552"/>
              </w:tabs>
              <w:rPr>
                <w:sz w:val="22"/>
                <w:szCs w:val="22"/>
              </w:rPr>
            </w:pPr>
            <w:r>
              <w:rPr>
                <w:sz w:val="22"/>
                <w:szCs w:val="22"/>
              </w:rPr>
              <w:t>Se sídlem</w:t>
            </w:r>
            <w:r w:rsidRPr="002C5E58">
              <w:rPr>
                <w:sz w:val="22"/>
                <w:szCs w:val="22"/>
              </w:rPr>
              <w:t>:</w:t>
            </w:r>
          </w:p>
        </w:tc>
        <w:tc>
          <w:tcPr>
            <w:tcW w:w="6232" w:type="dxa"/>
          </w:tcPr>
          <w:p w14:paraId="54DC771F" w14:textId="5202341D" w:rsidR="00F714B4" w:rsidRPr="007D7378" w:rsidRDefault="007D7378" w:rsidP="00E652F9">
            <w:pPr>
              <w:tabs>
                <w:tab w:val="left" w:pos="2552"/>
              </w:tabs>
              <w:rPr>
                <w:bCs/>
                <w:sz w:val="22"/>
                <w:szCs w:val="22"/>
              </w:rPr>
            </w:pPr>
            <w:r w:rsidRPr="007D7378">
              <w:rPr>
                <w:bCs/>
                <w:sz w:val="22"/>
                <w:szCs w:val="22"/>
              </w:rPr>
              <w:t>Za Elektrárnou 419/1, 170 00 Praha 7</w:t>
            </w:r>
          </w:p>
        </w:tc>
      </w:tr>
      <w:tr w:rsidR="00F714B4" w:rsidRPr="002C5E58" w14:paraId="2E44B2FA" w14:textId="77777777" w:rsidTr="00E652F9">
        <w:tc>
          <w:tcPr>
            <w:tcW w:w="2830" w:type="dxa"/>
          </w:tcPr>
          <w:p w14:paraId="377F4604" w14:textId="77777777" w:rsidR="00F714B4" w:rsidRDefault="00F714B4" w:rsidP="00E652F9">
            <w:pPr>
              <w:tabs>
                <w:tab w:val="left" w:pos="2552"/>
              </w:tabs>
              <w:rPr>
                <w:sz w:val="22"/>
                <w:szCs w:val="22"/>
              </w:rPr>
            </w:pPr>
            <w:r>
              <w:rPr>
                <w:sz w:val="22"/>
                <w:szCs w:val="22"/>
              </w:rPr>
              <w:t>Zastoupena:</w:t>
            </w:r>
          </w:p>
        </w:tc>
        <w:tc>
          <w:tcPr>
            <w:tcW w:w="6232" w:type="dxa"/>
          </w:tcPr>
          <w:p w14:paraId="28ADCAAA" w14:textId="2CC1A80D" w:rsidR="00F714B4" w:rsidRPr="007D7378" w:rsidRDefault="007D7378" w:rsidP="00E652F9">
            <w:pPr>
              <w:tabs>
                <w:tab w:val="left" w:pos="2552"/>
              </w:tabs>
              <w:rPr>
                <w:bCs/>
                <w:sz w:val="22"/>
                <w:szCs w:val="22"/>
              </w:rPr>
            </w:pPr>
            <w:r w:rsidRPr="007D7378">
              <w:rPr>
                <w:bCs/>
                <w:sz w:val="22"/>
                <w:szCs w:val="22"/>
              </w:rPr>
              <w:t>Ing. Jakubem Dlouhým, předsedou správní rady</w:t>
            </w:r>
          </w:p>
        </w:tc>
      </w:tr>
      <w:tr w:rsidR="00F714B4" w:rsidRPr="002C5E58" w14:paraId="5110587E" w14:textId="77777777" w:rsidTr="00E652F9">
        <w:tc>
          <w:tcPr>
            <w:tcW w:w="2830" w:type="dxa"/>
          </w:tcPr>
          <w:p w14:paraId="1C92E4C8" w14:textId="16FC28B2" w:rsidR="00F714B4" w:rsidRDefault="00F714B4" w:rsidP="00E652F9">
            <w:pPr>
              <w:tabs>
                <w:tab w:val="left" w:pos="2552"/>
              </w:tabs>
              <w:rPr>
                <w:sz w:val="22"/>
                <w:szCs w:val="22"/>
              </w:rPr>
            </w:pPr>
          </w:p>
        </w:tc>
        <w:tc>
          <w:tcPr>
            <w:tcW w:w="6232" w:type="dxa"/>
          </w:tcPr>
          <w:p w14:paraId="4A5F9CD4" w14:textId="1C58D550" w:rsidR="00F714B4" w:rsidRPr="002C5E58" w:rsidRDefault="00F714B4" w:rsidP="00E652F9">
            <w:pPr>
              <w:tabs>
                <w:tab w:val="left" w:pos="2552"/>
              </w:tabs>
              <w:rPr>
                <w:b/>
                <w:sz w:val="22"/>
                <w:szCs w:val="22"/>
                <w:highlight w:val="yellow"/>
              </w:rPr>
            </w:pPr>
          </w:p>
        </w:tc>
      </w:tr>
    </w:tbl>
    <w:p w14:paraId="7B1FADB1" w14:textId="77777777" w:rsidR="00F714B4" w:rsidRPr="002C5E58" w:rsidRDefault="00F714B4" w:rsidP="00F714B4">
      <w:pPr>
        <w:spacing w:before="120"/>
        <w:rPr>
          <w:snapToGrid w:val="0"/>
          <w:sz w:val="22"/>
          <w:szCs w:val="22"/>
        </w:rPr>
      </w:pPr>
      <w:r w:rsidRPr="002C5E58">
        <w:rPr>
          <w:snapToGrid w:val="0"/>
          <w:sz w:val="22"/>
          <w:szCs w:val="22"/>
        </w:rPr>
        <w:t>(dále jen „</w:t>
      </w:r>
      <w:r w:rsidRPr="002C5E58">
        <w:rPr>
          <w:b/>
          <w:snapToGrid w:val="0"/>
          <w:sz w:val="22"/>
          <w:szCs w:val="22"/>
        </w:rPr>
        <w:t>dárce</w:t>
      </w:r>
      <w:r w:rsidRPr="002C5E58">
        <w:rPr>
          <w:snapToGrid w:val="0"/>
          <w:sz w:val="22"/>
          <w:szCs w:val="22"/>
        </w:rPr>
        <w:t>“)</w:t>
      </w:r>
    </w:p>
    <w:p w14:paraId="095749ED" w14:textId="77777777" w:rsidR="00F714B4" w:rsidRPr="00E10FA4" w:rsidRDefault="00F714B4" w:rsidP="00F714B4">
      <w:pPr>
        <w:rPr>
          <w:snapToGrid w:val="0"/>
          <w:sz w:val="16"/>
          <w:szCs w:val="16"/>
        </w:rPr>
      </w:pPr>
    </w:p>
    <w:p w14:paraId="74BBCEDA" w14:textId="77777777" w:rsidR="00F714B4" w:rsidRPr="002C5E58" w:rsidRDefault="00F714B4" w:rsidP="00F714B4">
      <w:pPr>
        <w:spacing w:after="120"/>
        <w:rPr>
          <w:snapToGrid w:val="0"/>
          <w:sz w:val="22"/>
          <w:szCs w:val="22"/>
        </w:rPr>
      </w:pPr>
      <w:r w:rsidRPr="002C5E58">
        <w:rPr>
          <w:snapToGrid w:val="0"/>
          <w:sz w:val="22"/>
          <w:szCs w:val="22"/>
        </w:rPr>
        <w:t>a</w:t>
      </w:r>
    </w:p>
    <w:p w14:paraId="63FB8584" w14:textId="77777777" w:rsidR="00F714B4" w:rsidRPr="00E10FA4" w:rsidRDefault="00F714B4" w:rsidP="00F714B4">
      <w:pPr>
        <w:rPr>
          <w:snapToGrid w:val="0"/>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5315D6" w:rsidRPr="002C5E58" w14:paraId="48328187" w14:textId="77777777" w:rsidTr="00E652F9">
        <w:tc>
          <w:tcPr>
            <w:tcW w:w="2830" w:type="dxa"/>
          </w:tcPr>
          <w:p w14:paraId="433E10C3" w14:textId="0690988B" w:rsidR="005315D6" w:rsidRPr="002C5E58" w:rsidRDefault="005315D6" w:rsidP="005315D6">
            <w:pPr>
              <w:tabs>
                <w:tab w:val="left" w:pos="2552"/>
              </w:tabs>
              <w:rPr>
                <w:sz w:val="22"/>
                <w:szCs w:val="22"/>
              </w:rPr>
            </w:pPr>
            <w:r w:rsidRPr="002C5E58">
              <w:rPr>
                <w:sz w:val="22"/>
                <w:szCs w:val="22"/>
              </w:rPr>
              <w:t>Název:</w:t>
            </w:r>
          </w:p>
        </w:tc>
        <w:tc>
          <w:tcPr>
            <w:tcW w:w="6232" w:type="dxa"/>
          </w:tcPr>
          <w:p w14:paraId="3F15F3B0" w14:textId="3E405124" w:rsidR="005315D6" w:rsidRPr="002C5E58" w:rsidRDefault="005315D6" w:rsidP="005315D6">
            <w:pPr>
              <w:tabs>
                <w:tab w:val="left" w:pos="2552"/>
              </w:tabs>
              <w:rPr>
                <w:sz w:val="22"/>
                <w:szCs w:val="22"/>
              </w:rPr>
            </w:pPr>
            <w:r w:rsidRPr="00DA18CF">
              <w:rPr>
                <w:b/>
                <w:sz w:val="22"/>
                <w:szCs w:val="22"/>
              </w:rPr>
              <w:t>Fakultní Thomayerova nemocnice</w:t>
            </w:r>
          </w:p>
        </w:tc>
      </w:tr>
      <w:tr w:rsidR="005315D6" w:rsidRPr="002C5E58" w14:paraId="4CC55984" w14:textId="77777777" w:rsidTr="00E652F9">
        <w:tc>
          <w:tcPr>
            <w:tcW w:w="2830" w:type="dxa"/>
          </w:tcPr>
          <w:p w14:paraId="549FE2AC" w14:textId="6E37CBBC" w:rsidR="005315D6" w:rsidRPr="002C5E58" w:rsidRDefault="005315D6" w:rsidP="005315D6">
            <w:pPr>
              <w:tabs>
                <w:tab w:val="left" w:pos="2552"/>
              </w:tabs>
              <w:rPr>
                <w:sz w:val="22"/>
                <w:szCs w:val="22"/>
              </w:rPr>
            </w:pPr>
            <w:r w:rsidRPr="002C5E58">
              <w:rPr>
                <w:sz w:val="22"/>
                <w:szCs w:val="22"/>
              </w:rPr>
              <w:t>IČO:</w:t>
            </w:r>
          </w:p>
        </w:tc>
        <w:tc>
          <w:tcPr>
            <w:tcW w:w="6232" w:type="dxa"/>
          </w:tcPr>
          <w:p w14:paraId="14C7B708" w14:textId="4333B74D" w:rsidR="005315D6" w:rsidRPr="002C5E58" w:rsidRDefault="005315D6" w:rsidP="005315D6">
            <w:pPr>
              <w:tabs>
                <w:tab w:val="left" w:pos="2552"/>
              </w:tabs>
              <w:rPr>
                <w:sz w:val="22"/>
                <w:szCs w:val="22"/>
              </w:rPr>
            </w:pPr>
            <w:r w:rsidRPr="00AA7D7B">
              <w:rPr>
                <w:sz w:val="22"/>
                <w:szCs w:val="22"/>
              </w:rPr>
              <w:t>00064190</w:t>
            </w:r>
          </w:p>
        </w:tc>
      </w:tr>
      <w:tr w:rsidR="005315D6" w:rsidRPr="002C5E58" w14:paraId="0B95CD3A" w14:textId="77777777" w:rsidTr="00E652F9">
        <w:tc>
          <w:tcPr>
            <w:tcW w:w="2830" w:type="dxa"/>
          </w:tcPr>
          <w:p w14:paraId="4A07EBDA" w14:textId="0D4FD926" w:rsidR="005315D6" w:rsidRPr="002C5E58" w:rsidRDefault="005315D6" w:rsidP="005315D6">
            <w:pPr>
              <w:tabs>
                <w:tab w:val="left" w:pos="2552"/>
              </w:tabs>
              <w:rPr>
                <w:sz w:val="22"/>
                <w:szCs w:val="22"/>
              </w:rPr>
            </w:pPr>
            <w:r w:rsidRPr="002C5E58">
              <w:rPr>
                <w:sz w:val="22"/>
                <w:szCs w:val="22"/>
              </w:rPr>
              <w:t>DIČ:</w:t>
            </w:r>
          </w:p>
        </w:tc>
        <w:tc>
          <w:tcPr>
            <w:tcW w:w="6232" w:type="dxa"/>
          </w:tcPr>
          <w:p w14:paraId="2CEFEE4D" w14:textId="7D2B857A" w:rsidR="005315D6" w:rsidRPr="002C5E58" w:rsidRDefault="005315D6" w:rsidP="005315D6">
            <w:pPr>
              <w:tabs>
                <w:tab w:val="left" w:pos="2552"/>
              </w:tabs>
              <w:rPr>
                <w:sz w:val="22"/>
                <w:szCs w:val="22"/>
              </w:rPr>
            </w:pPr>
            <w:r w:rsidRPr="00AA7D7B">
              <w:rPr>
                <w:sz w:val="22"/>
                <w:szCs w:val="22"/>
              </w:rPr>
              <w:t>CZ00064190</w:t>
            </w:r>
          </w:p>
        </w:tc>
      </w:tr>
      <w:tr w:rsidR="005315D6" w:rsidRPr="002C5E58" w14:paraId="3EA05A99" w14:textId="77777777" w:rsidTr="00E652F9">
        <w:tc>
          <w:tcPr>
            <w:tcW w:w="2830" w:type="dxa"/>
          </w:tcPr>
          <w:p w14:paraId="0CEEE7F7" w14:textId="3A825E58" w:rsidR="005315D6" w:rsidRPr="002C5E58" w:rsidRDefault="005315D6" w:rsidP="005315D6">
            <w:pPr>
              <w:tabs>
                <w:tab w:val="left" w:pos="2552"/>
              </w:tabs>
              <w:rPr>
                <w:sz w:val="22"/>
                <w:szCs w:val="22"/>
              </w:rPr>
            </w:pPr>
            <w:r w:rsidRPr="002C5E58">
              <w:rPr>
                <w:sz w:val="22"/>
                <w:szCs w:val="22"/>
              </w:rPr>
              <w:t>Se sídlem:</w:t>
            </w:r>
          </w:p>
        </w:tc>
        <w:tc>
          <w:tcPr>
            <w:tcW w:w="6232" w:type="dxa"/>
          </w:tcPr>
          <w:p w14:paraId="4445A38E" w14:textId="23B8BE5D" w:rsidR="005315D6" w:rsidRPr="002C5E58" w:rsidRDefault="005315D6" w:rsidP="005315D6">
            <w:pPr>
              <w:tabs>
                <w:tab w:val="left" w:pos="2552"/>
              </w:tabs>
              <w:rPr>
                <w:b/>
                <w:sz w:val="22"/>
                <w:szCs w:val="22"/>
                <w:highlight w:val="yellow"/>
              </w:rPr>
            </w:pPr>
            <w:r w:rsidRPr="00AA7D7B">
              <w:rPr>
                <w:sz w:val="22"/>
                <w:szCs w:val="22"/>
              </w:rPr>
              <w:t>Vídeňská 800, 140 59 Praha 4 - Krč</w:t>
            </w:r>
          </w:p>
        </w:tc>
      </w:tr>
      <w:tr w:rsidR="005315D6" w:rsidRPr="002C5E58" w14:paraId="31E0339C" w14:textId="77777777" w:rsidTr="00E652F9">
        <w:tc>
          <w:tcPr>
            <w:tcW w:w="2830" w:type="dxa"/>
          </w:tcPr>
          <w:p w14:paraId="28C07B85" w14:textId="1CBEC4B1" w:rsidR="005315D6" w:rsidRPr="002C5E58" w:rsidRDefault="005315D6" w:rsidP="005315D6">
            <w:pPr>
              <w:tabs>
                <w:tab w:val="left" w:pos="2552"/>
              </w:tabs>
              <w:rPr>
                <w:sz w:val="22"/>
                <w:szCs w:val="22"/>
              </w:rPr>
            </w:pPr>
            <w:r w:rsidRPr="002C5E58">
              <w:rPr>
                <w:sz w:val="22"/>
                <w:szCs w:val="22"/>
              </w:rPr>
              <w:t>Zastoupena:</w:t>
            </w:r>
          </w:p>
        </w:tc>
        <w:tc>
          <w:tcPr>
            <w:tcW w:w="6232" w:type="dxa"/>
          </w:tcPr>
          <w:p w14:paraId="720589D0" w14:textId="2AB1E42D" w:rsidR="005315D6" w:rsidRPr="007D7378" w:rsidRDefault="007D7378" w:rsidP="005315D6">
            <w:pPr>
              <w:tabs>
                <w:tab w:val="left" w:pos="2552"/>
              </w:tabs>
              <w:rPr>
                <w:sz w:val="22"/>
                <w:szCs w:val="22"/>
              </w:rPr>
            </w:pPr>
            <w:r w:rsidRPr="007D7378">
              <w:rPr>
                <w:bCs/>
                <w:sz w:val="22"/>
                <w:szCs w:val="22"/>
              </w:rPr>
              <w:t>Ing. Jan Halíř</w:t>
            </w:r>
            <w:r>
              <w:rPr>
                <w:bCs/>
                <w:sz w:val="22"/>
                <w:szCs w:val="22"/>
              </w:rPr>
              <w:t>, náměstek pro ekonomiku, techniku a provoz</w:t>
            </w:r>
            <w:r w:rsidR="005315D6" w:rsidRPr="007D7378">
              <w:rPr>
                <w:sz w:val="22"/>
                <w:szCs w:val="22"/>
              </w:rPr>
              <w:br/>
              <w:t>státní příspěvková instituce zřízená Ministerstvem zdravotnictví ČR</w:t>
            </w:r>
          </w:p>
          <w:p w14:paraId="7B4F7248" w14:textId="5984ED64" w:rsidR="005315D6" w:rsidRPr="007D7378" w:rsidRDefault="005315D6" w:rsidP="005315D6">
            <w:pPr>
              <w:tabs>
                <w:tab w:val="left" w:pos="2552"/>
              </w:tabs>
              <w:rPr>
                <w:b/>
                <w:sz w:val="22"/>
                <w:szCs w:val="22"/>
                <w:highlight w:val="yellow"/>
              </w:rPr>
            </w:pPr>
            <w:r w:rsidRPr="007D7378">
              <w:rPr>
                <w:sz w:val="22"/>
                <w:szCs w:val="22"/>
              </w:rPr>
              <w:t>zapsaná v obchodním rejstříku u Městského soudu v Praze, oddíl Pr, vl. 1043</w:t>
            </w:r>
          </w:p>
        </w:tc>
      </w:tr>
      <w:tr w:rsidR="005315D6" w:rsidRPr="002C5E58" w14:paraId="3D956943" w14:textId="77777777" w:rsidTr="00E652F9">
        <w:tc>
          <w:tcPr>
            <w:tcW w:w="2830" w:type="dxa"/>
          </w:tcPr>
          <w:p w14:paraId="0128C077" w14:textId="58D76D6D" w:rsidR="005315D6" w:rsidRPr="002C5E58" w:rsidRDefault="005315D6" w:rsidP="005315D6">
            <w:pPr>
              <w:tabs>
                <w:tab w:val="left" w:pos="2552"/>
              </w:tabs>
              <w:rPr>
                <w:sz w:val="22"/>
                <w:szCs w:val="22"/>
              </w:rPr>
            </w:pPr>
            <w:r w:rsidRPr="002C5E58">
              <w:rPr>
                <w:sz w:val="22"/>
                <w:szCs w:val="22"/>
              </w:rPr>
              <w:t>Bankovní spojení</w:t>
            </w:r>
            <w:r>
              <w:rPr>
                <w:sz w:val="22"/>
                <w:szCs w:val="22"/>
              </w:rPr>
              <w:t>:</w:t>
            </w:r>
          </w:p>
        </w:tc>
        <w:tc>
          <w:tcPr>
            <w:tcW w:w="6232" w:type="dxa"/>
          </w:tcPr>
          <w:p w14:paraId="136C5213" w14:textId="01982CBF" w:rsidR="005315D6" w:rsidRPr="002C5E58" w:rsidRDefault="007D7378" w:rsidP="005315D6">
            <w:pPr>
              <w:tabs>
                <w:tab w:val="left" w:pos="2552"/>
              </w:tabs>
              <w:rPr>
                <w:b/>
                <w:sz w:val="22"/>
                <w:szCs w:val="22"/>
                <w:highlight w:val="yellow"/>
              </w:rPr>
            </w:pPr>
            <w:r>
              <w:rPr>
                <w:sz w:val="22"/>
                <w:szCs w:val="22"/>
              </w:rPr>
              <w:t>XXX</w:t>
            </w:r>
          </w:p>
        </w:tc>
      </w:tr>
      <w:tr w:rsidR="00E9099C" w:rsidRPr="002C5E58" w14:paraId="51DCB4DF" w14:textId="77777777" w:rsidTr="00E652F9">
        <w:tc>
          <w:tcPr>
            <w:tcW w:w="2830" w:type="dxa"/>
          </w:tcPr>
          <w:p w14:paraId="2EB2681A" w14:textId="7E486F00" w:rsidR="00E9099C" w:rsidRDefault="00292882" w:rsidP="00E9099C">
            <w:pPr>
              <w:tabs>
                <w:tab w:val="left" w:pos="2552"/>
              </w:tabs>
              <w:rPr>
                <w:sz w:val="22"/>
                <w:szCs w:val="22"/>
              </w:rPr>
            </w:pPr>
            <w:r w:rsidRPr="00AA7D7B">
              <w:rPr>
                <w:sz w:val="22"/>
                <w:szCs w:val="22"/>
              </w:rPr>
              <w:t>Číslo účtu:</w:t>
            </w:r>
          </w:p>
          <w:p w14:paraId="27F403D3" w14:textId="72869439" w:rsidR="00E9099C" w:rsidRPr="002C5E58" w:rsidRDefault="00E9099C" w:rsidP="00E9099C">
            <w:pPr>
              <w:tabs>
                <w:tab w:val="left" w:pos="2552"/>
              </w:tabs>
              <w:rPr>
                <w:sz w:val="22"/>
                <w:szCs w:val="22"/>
              </w:rPr>
            </w:pPr>
          </w:p>
        </w:tc>
        <w:tc>
          <w:tcPr>
            <w:tcW w:w="6232" w:type="dxa"/>
          </w:tcPr>
          <w:p w14:paraId="57437497" w14:textId="4940C22A" w:rsidR="00E9099C" w:rsidRPr="009864A8" w:rsidRDefault="007D7378" w:rsidP="00E9099C">
            <w:pPr>
              <w:tabs>
                <w:tab w:val="left" w:pos="2552"/>
              </w:tabs>
              <w:rPr>
                <w:sz w:val="22"/>
                <w:szCs w:val="22"/>
              </w:rPr>
            </w:pPr>
            <w:r>
              <w:rPr>
                <w:sz w:val="22"/>
                <w:szCs w:val="22"/>
              </w:rPr>
              <w:t>XXX</w:t>
            </w:r>
          </w:p>
        </w:tc>
      </w:tr>
    </w:tbl>
    <w:p w14:paraId="5F6F0044" w14:textId="6358AA36" w:rsidR="00F714B4" w:rsidRDefault="00F714B4" w:rsidP="00F714B4">
      <w:pPr>
        <w:spacing w:before="120"/>
        <w:rPr>
          <w:snapToGrid w:val="0"/>
          <w:sz w:val="22"/>
          <w:szCs w:val="22"/>
        </w:rPr>
      </w:pPr>
      <w:r w:rsidRPr="002C5E58">
        <w:rPr>
          <w:snapToGrid w:val="0"/>
          <w:sz w:val="22"/>
          <w:szCs w:val="22"/>
        </w:rPr>
        <w:t>(dále jen „</w:t>
      </w:r>
      <w:r w:rsidRPr="002C5E58">
        <w:rPr>
          <w:b/>
          <w:snapToGrid w:val="0"/>
          <w:sz w:val="22"/>
          <w:szCs w:val="22"/>
        </w:rPr>
        <w:t>obdarovaný</w:t>
      </w:r>
      <w:r w:rsidRPr="002C5E58">
        <w:rPr>
          <w:snapToGrid w:val="0"/>
          <w:sz w:val="22"/>
          <w:szCs w:val="22"/>
        </w:rPr>
        <w:t>“)</w:t>
      </w:r>
      <w:r w:rsidR="009864A8">
        <w:rPr>
          <w:snapToGrid w:val="0"/>
          <w:sz w:val="22"/>
          <w:szCs w:val="22"/>
        </w:rPr>
        <w:t xml:space="preserve">, </w:t>
      </w:r>
      <w:r w:rsidRPr="002C5E58">
        <w:rPr>
          <w:snapToGrid w:val="0"/>
          <w:sz w:val="22"/>
          <w:szCs w:val="22"/>
        </w:rPr>
        <w:t>(společně jen „</w:t>
      </w:r>
      <w:r w:rsidRPr="002C5E58">
        <w:rPr>
          <w:b/>
          <w:snapToGrid w:val="0"/>
          <w:sz w:val="22"/>
          <w:szCs w:val="22"/>
        </w:rPr>
        <w:t>smluvní strany</w:t>
      </w:r>
      <w:r w:rsidRPr="002C5E58">
        <w:rPr>
          <w:snapToGrid w:val="0"/>
          <w:sz w:val="22"/>
          <w:szCs w:val="22"/>
        </w:rPr>
        <w:t>“)</w:t>
      </w:r>
    </w:p>
    <w:p w14:paraId="406A2119" w14:textId="77777777" w:rsidR="00F714B4" w:rsidRDefault="00F714B4" w:rsidP="00F714B4">
      <w:pPr>
        <w:spacing w:before="240"/>
        <w:jc w:val="both"/>
        <w:rPr>
          <w:snapToGrid w:val="0"/>
          <w:sz w:val="22"/>
          <w:szCs w:val="22"/>
        </w:rPr>
      </w:pPr>
      <w:r>
        <w:rPr>
          <w:snapToGrid w:val="0"/>
          <w:sz w:val="22"/>
          <w:szCs w:val="22"/>
        </w:rPr>
        <w:t>se v souladu s ustanovením § 2055 a násl. zákona č. 89/2012 Sb., občanského zákoníku, ve znění pozdějších předpisů (dále jen „</w:t>
      </w:r>
      <w:r w:rsidRPr="002C5E58">
        <w:rPr>
          <w:b/>
          <w:snapToGrid w:val="0"/>
          <w:sz w:val="22"/>
          <w:szCs w:val="22"/>
        </w:rPr>
        <w:t>občanský zákoník</w:t>
      </w:r>
      <w:r>
        <w:rPr>
          <w:snapToGrid w:val="0"/>
          <w:sz w:val="22"/>
          <w:szCs w:val="22"/>
        </w:rPr>
        <w:t xml:space="preserve">“), dohodly níže uvedeného dne, měsíce a roku uzavřít </w:t>
      </w:r>
    </w:p>
    <w:p w14:paraId="4284813E" w14:textId="77777777" w:rsidR="00F714B4" w:rsidRPr="002C5E58" w:rsidRDefault="00F714B4" w:rsidP="00F714B4">
      <w:pPr>
        <w:spacing w:before="240"/>
        <w:jc w:val="center"/>
        <w:rPr>
          <w:b/>
          <w:snapToGrid w:val="0"/>
          <w:sz w:val="28"/>
          <w:szCs w:val="28"/>
        </w:rPr>
      </w:pPr>
      <w:r w:rsidRPr="002C5E58">
        <w:rPr>
          <w:b/>
          <w:snapToGrid w:val="0"/>
          <w:sz w:val="28"/>
          <w:szCs w:val="28"/>
        </w:rPr>
        <w:t>DAROVACÍ SMLOUVU</w:t>
      </w:r>
    </w:p>
    <w:p w14:paraId="705EF419" w14:textId="77777777" w:rsidR="00F714B4" w:rsidRDefault="00F714B4" w:rsidP="00F714B4">
      <w:pPr>
        <w:jc w:val="center"/>
        <w:rPr>
          <w:snapToGrid w:val="0"/>
          <w:sz w:val="22"/>
          <w:szCs w:val="22"/>
        </w:rPr>
      </w:pPr>
      <w:r>
        <w:rPr>
          <w:snapToGrid w:val="0"/>
          <w:sz w:val="22"/>
          <w:szCs w:val="22"/>
        </w:rPr>
        <w:t>(dále jen „</w:t>
      </w:r>
      <w:r w:rsidRPr="002C5E58">
        <w:rPr>
          <w:b/>
          <w:snapToGrid w:val="0"/>
          <w:sz w:val="22"/>
          <w:szCs w:val="22"/>
        </w:rPr>
        <w:t>smlouva</w:t>
      </w:r>
      <w:r>
        <w:rPr>
          <w:snapToGrid w:val="0"/>
          <w:sz w:val="22"/>
          <w:szCs w:val="22"/>
        </w:rPr>
        <w:t>“)</w:t>
      </w:r>
    </w:p>
    <w:p w14:paraId="05C7555A" w14:textId="77777777" w:rsidR="00F714B4" w:rsidRPr="001A2A6E" w:rsidRDefault="00F714B4" w:rsidP="00F714B4">
      <w:pPr>
        <w:spacing w:before="120"/>
        <w:jc w:val="center"/>
        <w:rPr>
          <w:b/>
          <w:snapToGrid w:val="0"/>
          <w:sz w:val="22"/>
          <w:szCs w:val="22"/>
        </w:rPr>
      </w:pPr>
      <w:r w:rsidRPr="001A2A6E">
        <w:rPr>
          <w:b/>
          <w:snapToGrid w:val="0"/>
          <w:sz w:val="22"/>
          <w:szCs w:val="22"/>
        </w:rPr>
        <w:t xml:space="preserve">I. </w:t>
      </w:r>
      <w:r w:rsidRPr="001A2A6E">
        <w:rPr>
          <w:b/>
          <w:sz w:val="22"/>
          <w:szCs w:val="22"/>
        </w:rPr>
        <w:t>Postavení smluvních stran</w:t>
      </w:r>
    </w:p>
    <w:p w14:paraId="4B221152" w14:textId="74EB445D" w:rsidR="00F714B4" w:rsidRPr="007D7378" w:rsidRDefault="00F714B4" w:rsidP="0070161A">
      <w:pPr>
        <w:pStyle w:val="Odstavecseseznamem"/>
        <w:numPr>
          <w:ilvl w:val="0"/>
          <w:numId w:val="20"/>
        </w:numPr>
        <w:spacing w:before="120"/>
        <w:ind w:left="284" w:hanging="284"/>
        <w:jc w:val="both"/>
        <w:rPr>
          <w:rFonts w:ascii="Times New Roman" w:hAnsi="Times New Roman"/>
          <w:snapToGrid w:val="0"/>
          <w:sz w:val="22"/>
          <w:szCs w:val="22"/>
        </w:rPr>
      </w:pPr>
      <w:r w:rsidRPr="007D7378">
        <w:rPr>
          <w:rFonts w:ascii="Times New Roman" w:hAnsi="Times New Roman"/>
          <w:snapToGrid w:val="0"/>
          <w:sz w:val="22"/>
          <w:szCs w:val="22"/>
        </w:rPr>
        <w:t>Dárce je právnickou osobou zapsanou v</w:t>
      </w:r>
      <w:r w:rsidR="007D7378" w:rsidRPr="007D7378">
        <w:rPr>
          <w:rFonts w:ascii="Times New Roman" w:hAnsi="Times New Roman"/>
          <w:snapToGrid w:val="0"/>
          <w:sz w:val="22"/>
          <w:szCs w:val="22"/>
        </w:rPr>
        <w:t> </w:t>
      </w:r>
      <w:r w:rsidR="007D7378" w:rsidRPr="007D7378">
        <w:rPr>
          <w:rFonts w:ascii="Times New Roman" w:hAnsi="Times New Roman"/>
          <w:sz w:val="22"/>
          <w:szCs w:val="22"/>
        </w:rPr>
        <w:t xml:space="preserve">obchodním </w:t>
      </w:r>
      <w:r w:rsidRPr="007D7378">
        <w:rPr>
          <w:rFonts w:ascii="Times New Roman" w:hAnsi="Times New Roman"/>
          <w:sz w:val="22"/>
          <w:szCs w:val="22"/>
        </w:rPr>
        <w:t xml:space="preserve">rejstříku vedeném </w:t>
      </w:r>
      <w:r w:rsidR="007D7378" w:rsidRPr="007D7378">
        <w:rPr>
          <w:rFonts w:ascii="Times New Roman" w:hAnsi="Times New Roman"/>
          <w:sz w:val="22"/>
          <w:szCs w:val="22"/>
        </w:rPr>
        <w:t>u Městského soudu v </w:t>
      </w:r>
      <w:proofErr w:type="gramStart"/>
      <w:r w:rsidR="007D7378" w:rsidRPr="007D7378">
        <w:rPr>
          <w:rFonts w:ascii="Times New Roman" w:hAnsi="Times New Roman"/>
          <w:sz w:val="22"/>
          <w:szCs w:val="22"/>
        </w:rPr>
        <w:t xml:space="preserve">Praze, </w:t>
      </w:r>
      <w:r w:rsidRPr="007D7378">
        <w:rPr>
          <w:rFonts w:ascii="Times New Roman" w:hAnsi="Times New Roman"/>
          <w:sz w:val="22"/>
          <w:szCs w:val="22"/>
        </w:rPr>
        <w:t xml:space="preserve"> vložka</w:t>
      </w:r>
      <w:proofErr w:type="gramEnd"/>
      <w:r w:rsidRPr="007D7378">
        <w:rPr>
          <w:rFonts w:ascii="Times New Roman" w:hAnsi="Times New Roman"/>
          <w:sz w:val="22"/>
          <w:szCs w:val="22"/>
        </w:rPr>
        <w:t xml:space="preserve"> </w:t>
      </w:r>
      <w:r w:rsidR="007D7378" w:rsidRPr="007D7378">
        <w:rPr>
          <w:rFonts w:ascii="Times New Roman" w:hAnsi="Times New Roman"/>
          <w:sz w:val="22"/>
          <w:szCs w:val="22"/>
        </w:rPr>
        <w:t>N 1176.</w:t>
      </w:r>
    </w:p>
    <w:p w14:paraId="74FF5665" w14:textId="4809F336" w:rsidR="00F714B4" w:rsidRPr="00F714B4" w:rsidRDefault="00F714B4" w:rsidP="0070161A">
      <w:pPr>
        <w:pStyle w:val="Odstavecseseznamem"/>
        <w:numPr>
          <w:ilvl w:val="0"/>
          <w:numId w:val="20"/>
        </w:numPr>
        <w:spacing w:before="120"/>
        <w:ind w:left="284" w:hanging="284"/>
        <w:jc w:val="both"/>
        <w:rPr>
          <w:rFonts w:ascii="Times New Roman" w:hAnsi="Times New Roman"/>
          <w:snapToGrid w:val="0"/>
          <w:sz w:val="22"/>
          <w:szCs w:val="22"/>
        </w:rPr>
      </w:pPr>
      <w:r w:rsidRPr="00F714B4">
        <w:rPr>
          <w:rFonts w:ascii="Times New Roman" w:hAnsi="Times New Roman"/>
          <w:sz w:val="22"/>
          <w:szCs w:val="22"/>
        </w:rPr>
        <w:t xml:space="preserve">Obdarovaný je státní příspěvková organizace v přímé řídící působnosti Ministerstva zdravotnictví České republiky, zřízená rozhodnutím ministra zdravotnictví ze dne 25. 11. 1990, čj.: OP-054.25.11.90, ve znění </w:t>
      </w:r>
      <w:r w:rsidR="005315D6">
        <w:rPr>
          <w:rFonts w:ascii="Times New Roman" w:hAnsi="Times New Roman"/>
          <w:sz w:val="22"/>
          <w:szCs w:val="22"/>
        </w:rPr>
        <w:t xml:space="preserve">dalších </w:t>
      </w:r>
      <w:r w:rsidRPr="00F714B4">
        <w:rPr>
          <w:rFonts w:ascii="Times New Roman" w:hAnsi="Times New Roman"/>
          <w:sz w:val="22"/>
          <w:szCs w:val="22"/>
        </w:rPr>
        <w:t>změn</w:t>
      </w:r>
      <w:r w:rsidR="005315D6">
        <w:rPr>
          <w:rFonts w:ascii="Times New Roman" w:hAnsi="Times New Roman"/>
          <w:sz w:val="22"/>
          <w:szCs w:val="22"/>
        </w:rPr>
        <w:t>.</w:t>
      </w:r>
    </w:p>
    <w:p w14:paraId="02A25835" w14:textId="77777777" w:rsidR="00F714B4" w:rsidRPr="001A2A6E" w:rsidRDefault="00F714B4" w:rsidP="00F714B4">
      <w:pPr>
        <w:spacing w:before="240"/>
        <w:jc w:val="center"/>
        <w:rPr>
          <w:b/>
          <w:snapToGrid w:val="0"/>
          <w:sz w:val="22"/>
          <w:szCs w:val="22"/>
        </w:rPr>
      </w:pPr>
      <w:r w:rsidRPr="001A2A6E">
        <w:rPr>
          <w:b/>
          <w:snapToGrid w:val="0"/>
          <w:sz w:val="22"/>
          <w:szCs w:val="22"/>
        </w:rPr>
        <w:t>II. Předmět smlouvy</w:t>
      </w:r>
    </w:p>
    <w:p w14:paraId="291E91F1" w14:textId="7157695F" w:rsidR="00F714B4" w:rsidRPr="001A2A6E" w:rsidRDefault="00F714B4" w:rsidP="00F714B4">
      <w:pPr>
        <w:pStyle w:val="Odstavecseseznamem"/>
        <w:spacing w:before="120"/>
        <w:ind w:left="284"/>
        <w:contextualSpacing w:val="0"/>
        <w:jc w:val="both"/>
        <w:rPr>
          <w:rFonts w:ascii="Times New Roman" w:hAnsi="Times New Roman"/>
          <w:snapToGrid w:val="0"/>
          <w:sz w:val="22"/>
          <w:szCs w:val="22"/>
        </w:rPr>
      </w:pPr>
      <w:r w:rsidRPr="001A2A6E">
        <w:rPr>
          <w:rFonts w:ascii="Times New Roman" w:hAnsi="Times New Roman"/>
          <w:snapToGrid w:val="0"/>
          <w:sz w:val="22"/>
          <w:szCs w:val="22"/>
        </w:rPr>
        <w:t xml:space="preserve">Předmětem této smlouvy je závazek dárce poskytnout obdarovanému finanční prostředky ve </w:t>
      </w:r>
      <w:proofErr w:type="gramStart"/>
      <w:r w:rsidRPr="001A2A6E">
        <w:rPr>
          <w:rFonts w:ascii="Times New Roman" w:hAnsi="Times New Roman"/>
          <w:snapToGrid w:val="0"/>
          <w:sz w:val="22"/>
          <w:szCs w:val="22"/>
        </w:rPr>
        <w:t xml:space="preserve">výši </w:t>
      </w:r>
      <w:r w:rsidRPr="001A2A6E">
        <w:rPr>
          <w:rFonts w:ascii="Times New Roman" w:hAnsi="Times New Roman"/>
          <w:sz w:val="22"/>
          <w:szCs w:val="22"/>
        </w:rPr>
        <w:t xml:space="preserve"> </w:t>
      </w:r>
      <w:r w:rsidR="007D7378">
        <w:rPr>
          <w:rFonts w:ascii="Times New Roman" w:hAnsi="Times New Roman"/>
          <w:bCs/>
          <w:sz w:val="22"/>
          <w:szCs w:val="22"/>
        </w:rPr>
        <w:t>75.000</w:t>
      </w:r>
      <w:proofErr w:type="gramEnd"/>
      <w:r w:rsidRPr="001A2A6E">
        <w:rPr>
          <w:rFonts w:ascii="Times New Roman" w:hAnsi="Times New Roman"/>
          <w:sz w:val="22"/>
          <w:szCs w:val="22"/>
        </w:rPr>
        <w:t xml:space="preserve"> Kč (slovy: </w:t>
      </w:r>
      <w:r w:rsidR="007D7378" w:rsidRPr="007D7378">
        <w:rPr>
          <w:rFonts w:ascii="Times New Roman" w:hAnsi="Times New Roman"/>
          <w:bCs/>
          <w:sz w:val="22"/>
          <w:szCs w:val="22"/>
        </w:rPr>
        <w:t>sedmdesát pět tisíc korun českých</w:t>
      </w:r>
      <w:r w:rsidR="007D7378">
        <w:rPr>
          <w:rFonts w:ascii="Times New Roman" w:hAnsi="Times New Roman"/>
          <w:b/>
          <w:sz w:val="22"/>
          <w:szCs w:val="22"/>
        </w:rPr>
        <w:t>)</w:t>
      </w:r>
      <w:r w:rsidRPr="001A2A6E">
        <w:rPr>
          <w:rFonts w:ascii="Times New Roman" w:hAnsi="Times New Roman"/>
          <w:b/>
          <w:sz w:val="22"/>
          <w:szCs w:val="22"/>
        </w:rPr>
        <w:t xml:space="preserve"> </w:t>
      </w:r>
      <w:r w:rsidRPr="001A2A6E">
        <w:rPr>
          <w:rFonts w:ascii="Times New Roman" w:hAnsi="Times New Roman"/>
          <w:sz w:val="22"/>
          <w:szCs w:val="22"/>
        </w:rPr>
        <w:t>(dále jen „</w:t>
      </w:r>
      <w:r w:rsidRPr="001A2A6E">
        <w:rPr>
          <w:rFonts w:ascii="Times New Roman" w:hAnsi="Times New Roman"/>
          <w:b/>
          <w:sz w:val="22"/>
          <w:szCs w:val="22"/>
        </w:rPr>
        <w:t>dar</w:t>
      </w:r>
      <w:r w:rsidRPr="001A2A6E">
        <w:rPr>
          <w:rFonts w:ascii="Times New Roman" w:hAnsi="Times New Roman"/>
          <w:sz w:val="22"/>
          <w:szCs w:val="22"/>
        </w:rPr>
        <w:t xml:space="preserve">“). </w:t>
      </w:r>
    </w:p>
    <w:p w14:paraId="14D1963C" w14:textId="77777777" w:rsidR="00F714B4" w:rsidRPr="001A2A6E" w:rsidRDefault="00F714B4" w:rsidP="00F714B4">
      <w:pPr>
        <w:spacing w:before="240"/>
        <w:jc w:val="center"/>
        <w:rPr>
          <w:b/>
          <w:snapToGrid w:val="0"/>
          <w:sz w:val="22"/>
          <w:szCs w:val="22"/>
        </w:rPr>
      </w:pPr>
      <w:r w:rsidRPr="001A2A6E">
        <w:rPr>
          <w:b/>
          <w:snapToGrid w:val="0"/>
          <w:sz w:val="22"/>
          <w:szCs w:val="22"/>
        </w:rPr>
        <w:t>III. Prohlášení dárce</w:t>
      </w:r>
    </w:p>
    <w:p w14:paraId="477D3172" w14:textId="77777777" w:rsidR="00F714B4" w:rsidRPr="001A2A6E" w:rsidRDefault="00F714B4" w:rsidP="00F714B4">
      <w:pPr>
        <w:spacing w:before="120"/>
        <w:ind w:left="284"/>
        <w:jc w:val="both"/>
        <w:rPr>
          <w:snapToGrid w:val="0"/>
          <w:sz w:val="22"/>
          <w:szCs w:val="22"/>
        </w:rPr>
      </w:pPr>
      <w:r w:rsidRPr="001A2A6E">
        <w:rPr>
          <w:snapToGrid w:val="0"/>
          <w:sz w:val="22"/>
          <w:szCs w:val="22"/>
        </w:rPr>
        <w:t>Dárce prohlašuje, že souhlasí se zveřejněním všech náležitostí smluvního vztahu založeného touto smlouvou.</w:t>
      </w:r>
    </w:p>
    <w:p w14:paraId="28DEBE5A" w14:textId="77777777" w:rsidR="00F714B4" w:rsidRPr="001A2A6E" w:rsidRDefault="00F714B4" w:rsidP="00F714B4">
      <w:pPr>
        <w:spacing w:before="240"/>
        <w:jc w:val="center"/>
        <w:rPr>
          <w:b/>
          <w:snapToGrid w:val="0"/>
          <w:sz w:val="22"/>
          <w:szCs w:val="22"/>
        </w:rPr>
      </w:pPr>
      <w:r w:rsidRPr="001A2A6E">
        <w:rPr>
          <w:b/>
          <w:snapToGrid w:val="0"/>
          <w:sz w:val="22"/>
          <w:szCs w:val="22"/>
        </w:rPr>
        <w:t>IV. Předání a účel daru</w:t>
      </w:r>
    </w:p>
    <w:p w14:paraId="043957AB" w14:textId="2DEF57FC" w:rsidR="00F714B4" w:rsidRPr="001A2A6E" w:rsidRDefault="00F714B4" w:rsidP="00E47770">
      <w:pPr>
        <w:pStyle w:val="Odstavecseseznamem"/>
        <w:numPr>
          <w:ilvl w:val="0"/>
          <w:numId w:val="25"/>
        </w:numPr>
        <w:spacing w:before="120"/>
        <w:ind w:left="284" w:hanging="284"/>
        <w:jc w:val="both"/>
        <w:rPr>
          <w:rFonts w:ascii="Times New Roman" w:hAnsi="Times New Roman"/>
          <w:snapToGrid w:val="0"/>
          <w:sz w:val="22"/>
          <w:szCs w:val="22"/>
        </w:rPr>
      </w:pPr>
      <w:r w:rsidRPr="001A2A6E">
        <w:rPr>
          <w:rFonts w:ascii="Times New Roman" w:hAnsi="Times New Roman"/>
          <w:snapToGrid w:val="0"/>
          <w:sz w:val="22"/>
          <w:szCs w:val="22"/>
        </w:rPr>
        <w:t xml:space="preserve">Dárce se zavazuje poskytnout dar obdarovanému do </w:t>
      </w:r>
      <w:r w:rsidR="007D7378">
        <w:rPr>
          <w:rFonts w:ascii="Times New Roman" w:hAnsi="Times New Roman"/>
          <w:snapToGrid w:val="0"/>
          <w:sz w:val="22"/>
          <w:szCs w:val="22"/>
        </w:rPr>
        <w:t>15</w:t>
      </w:r>
      <w:r w:rsidRPr="009864A8">
        <w:rPr>
          <w:rFonts w:ascii="Times New Roman" w:hAnsi="Times New Roman"/>
          <w:snapToGrid w:val="0"/>
          <w:sz w:val="22"/>
          <w:szCs w:val="22"/>
        </w:rPr>
        <w:t xml:space="preserve"> dnů </w:t>
      </w:r>
      <w:r w:rsidRPr="001A2A6E">
        <w:rPr>
          <w:rFonts w:ascii="Times New Roman" w:hAnsi="Times New Roman"/>
          <w:snapToGrid w:val="0"/>
          <w:sz w:val="22"/>
          <w:szCs w:val="22"/>
        </w:rPr>
        <w:t>ode dne účinnosti této smlouvy, a to bezhotovostně na bankovní účet obdarovaného uvedený v záhlaví této smlouvy</w:t>
      </w:r>
      <w:r w:rsidR="007D7378">
        <w:rPr>
          <w:rFonts w:ascii="Times New Roman" w:hAnsi="Times New Roman"/>
          <w:snapToGrid w:val="0"/>
          <w:sz w:val="22"/>
          <w:szCs w:val="22"/>
        </w:rPr>
        <w:t xml:space="preserve"> po variabilním</w:t>
      </w:r>
      <w:r w:rsidR="00C07406">
        <w:rPr>
          <w:rFonts w:ascii="Times New Roman" w:hAnsi="Times New Roman"/>
          <w:snapToGrid w:val="0"/>
          <w:sz w:val="22"/>
          <w:szCs w:val="22"/>
        </w:rPr>
        <w:t xml:space="preserve"> symbolem 510.</w:t>
      </w:r>
    </w:p>
    <w:p w14:paraId="41E10137" w14:textId="70F0B660" w:rsidR="005315D6" w:rsidRPr="009864A8" w:rsidRDefault="00F714B4" w:rsidP="00E47770">
      <w:pPr>
        <w:pStyle w:val="Odstavecseseznamem"/>
        <w:numPr>
          <w:ilvl w:val="0"/>
          <w:numId w:val="25"/>
        </w:numPr>
        <w:spacing w:before="120"/>
        <w:ind w:left="284" w:hanging="284"/>
        <w:jc w:val="both"/>
        <w:rPr>
          <w:rFonts w:ascii="Times New Roman" w:hAnsi="Times New Roman"/>
          <w:snapToGrid w:val="0"/>
          <w:sz w:val="22"/>
          <w:szCs w:val="22"/>
        </w:rPr>
      </w:pPr>
      <w:r w:rsidRPr="001A2A6E">
        <w:rPr>
          <w:rFonts w:ascii="Times New Roman" w:hAnsi="Times New Roman"/>
          <w:snapToGrid w:val="0"/>
          <w:sz w:val="22"/>
          <w:szCs w:val="22"/>
        </w:rPr>
        <w:t xml:space="preserve">Obdarovaný je oprávněn použít dar za účelem </w:t>
      </w:r>
      <w:r w:rsidR="00C07406">
        <w:rPr>
          <w:rFonts w:ascii="Times New Roman" w:hAnsi="Times New Roman"/>
          <w:snapToGrid w:val="0"/>
          <w:sz w:val="22"/>
          <w:szCs w:val="22"/>
        </w:rPr>
        <w:t>vybavení dárcovské části Transfuzního oddělení.</w:t>
      </w:r>
      <w:r w:rsidRPr="009864A8">
        <w:rPr>
          <w:rFonts w:ascii="Times New Roman" w:hAnsi="Times New Roman"/>
          <w:snapToGrid w:val="0"/>
          <w:sz w:val="22"/>
          <w:szCs w:val="22"/>
        </w:rPr>
        <w:t xml:space="preserve"> </w:t>
      </w:r>
    </w:p>
    <w:p w14:paraId="3785768C" w14:textId="77777777" w:rsidR="00F714B4" w:rsidRPr="001A2A6E" w:rsidRDefault="00F714B4" w:rsidP="00F714B4">
      <w:pPr>
        <w:spacing w:before="240"/>
        <w:jc w:val="center"/>
        <w:rPr>
          <w:b/>
          <w:snapToGrid w:val="0"/>
          <w:sz w:val="22"/>
          <w:szCs w:val="22"/>
        </w:rPr>
      </w:pPr>
      <w:r w:rsidRPr="001A2A6E">
        <w:rPr>
          <w:b/>
          <w:snapToGrid w:val="0"/>
          <w:sz w:val="22"/>
          <w:szCs w:val="22"/>
        </w:rPr>
        <w:t>V. Prorogace</w:t>
      </w:r>
    </w:p>
    <w:p w14:paraId="1621B519" w14:textId="280E5754" w:rsidR="00F714B4" w:rsidRPr="001A2A6E" w:rsidRDefault="00F714B4" w:rsidP="00F714B4">
      <w:pPr>
        <w:pStyle w:val="Odstavecseseznamem"/>
        <w:spacing w:before="120"/>
        <w:ind w:left="284"/>
        <w:contextualSpacing w:val="0"/>
        <w:jc w:val="both"/>
        <w:rPr>
          <w:rFonts w:ascii="Times New Roman" w:hAnsi="Times New Roman"/>
          <w:snapToGrid w:val="0"/>
          <w:sz w:val="22"/>
          <w:szCs w:val="22"/>
        </w:rPr>
      </w:pPr>
      <w:r w:rsidRPr="001A2A6E">
        <w:rPr>
          <w:rFonts w:ascii="Times New Roman" w:hAnsi="Times New Roman"/>
          <w:snapToGrid w:val="0"/>
          <w:sz w:val="22"/>
          <w:szCs w:val="22"/>
        </w:rPr>
        <w:lastRenderedPageBreak/>
        <w:t>Smluvní strany se ve smyslu ustanovení § 89a zákona č. 99/1963 Sb., občanský soudní řád dohodly, že místně příslušným soudem k projednání a rozhodnutí sporů a jiných právních věcí vyplývajících z této smlouvy 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w:t>
      </w:r>
      <w:r w:rsidR="005315D6">
        <w:rPr>
          <w:rFonts w:ascii="Times New Roman" w:hAnsi="Times New Roman"/>
          <w:snapToGrid w:val="0"/>
          <w:sz w:val="22"/>
          <w:szCs w:val="22"/>
        </w:rPr>
        <w:t>4</w:t>
      </w:r>
      <w:r w:rsidRPr="001A2A6E">
        <w:rPr>
          <w:rFonts w:ascii="Times New Roman" w:hAnsi="Times New Roman"/>
          <w:snapToGrid w:val="0"/>
          <w:sz w:val="22"/>
          <w:szCs w:val="22"/>
        </w:rPr>
        <w:t>.</w:t>
      </w:r>
    </w:p>
    <w:p w14:paraId="262D4A90" w14:textId="77777777" w:rsidR="00F714B4" w:rsidRPr="001A2A6E" w:rsidRDefault="00F714B4" w:rsidP="00F714B4">
      <w:pPr>
        <w:spacing w:before="240"/>
        <w:jc w:val="center"/>
        <w:rPr>
          <w:b/>
          <w:snapToGrid w:val="0"/>
          <w:sz w:val="22"/>
          <w:szCs w:val="22"/>
        </w:rPr>
      </w:pPr>
      <w:r w:rsidRPr="001A2A6E">
        <w:rPr>
          <w:b/>
          <w:snapToGrid w:val="0"/>
          <w:sz w:val="22"/>
          <w:szCs w:val="22"/>
        </w:rPr>
        <w:t>V</w:t>
      </w:r>
      <w:r w:rsidR="006C26B9">
        <w:rPr>
          <w:b/>
          <w:snapToGrid w:val="0"/>
          <w:sz w:val="22"/>
          <w:szCs w:val="22"/>
        </w:rPr>
        <w:t>I</w:t>
      </w:r>
      <w:r w:rsidRPr="001A2A6E">
        <w:rPr>
          <w:b/>
          <w:snapToGrid w:val="0"/>
          <w:sz w:val="22"/>
          <w:szCs w:val="22"/>
        </w:rPr>
        <w:t xml:space="preserve">. Protikorupční </w:t>
      </w:r>
      <w:r>
        <w:rPr>
          <w:b/>
          <w:snapToGrid w:val="0"/>
          <w:sz w:val="22"/>
          <w:szCs w:val="22"/>
        </w:rPr>
        <w:t>ustanovení</w:t>
      </w:r>
    </w:p>
    <w:p w14:paraId="32923EEB" w14:textId="77777777" w:rsidR="00F714B4" w:rsidRPr="009864A8" w:rsidRDefault="00F714B4" w:rsidP="00E47770">
      <w:pPr>
        <w:pStyle w:val="Odstavecseseznamem"/>
        <w:numPr>
          <w:ilvl w:val="0"/>
          <w:numId w:val="26"/>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smluvní straně přičteno podle zákona č. 418/2011 Sb., o trestní odpovědnosti právnických osob a řízení proti ním, jakož aby ani nevznikla trestní odpovědnost fyzických osob (včetně zaměstnanců) podle trestního zákoníku, případně nebylo zahájeno trestní stíhání proti kterékoliv smluvní straně včetně jejich zaměstnanců podle platných právních předpisů.</w:t>
      </w:r>
    </w:p>
    <w:p w14:paraId="2F849796" w14:textId="77777777" w:rsidR="00F714B4" w:rsidRPr="009864A8" w:rsidRDefault="00F714B4" w:rsidP="00E47770">
      <w:pPr>
        <w:pStyle w:val="Odstavecseseznamem"/>
        <w:numPr>
          <w:ilvl w:val="0"/>
          <w:numId w:val="26"/>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 xml:space="preserve">Smluvní strany se dohodly, že při plnění této smlouvy budou vždy postupovat čestně a transparentně a potvrzují, že takto jednaly i v průběhu vyjednávání a po dobu účinnosti této smlouvy. 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 </w:t>
      </w:r>
    </w:p>
    <w:p w14:paraId="0CB823A5" w14:textId="77777777" w:rsidR="00F714B4" w:rsidRPr="009864A8" w:rsidRDefault="00F714B4" w:rsidP="00E47770">
      <w:pPr>
        <w:pStyle w:val="Odstavecseseznamem"/>
        <w:numPr>
          <w:ilvl w:val="0"/>
          <w:numId w:val="26"/>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0F3C35BB" w14:textId="77777777" w:rsidR="00F714B4" w:rsidRPr="001A2A6E" w:rsidRDefault="00F714B4" w:rsidP="00F714B4">
      <w:pPr>
        <w:spacing w:before="240"/>
        <w:jc w:val="center"/>
        <w:rPr>
          <w:b/>
          <w:snapToGrid w:val="0"/>
          <w:sz w:val="22"/>
          <w:szCs w:val="22"/>
        </w:rPr>
      </w:pPr>
      <w:r w:rsidRPr="001A2A6E">
        <w:rPr>
          <w:b/>
          <w:snapToGrid w:val="0"/>
          <w:sz w:val="22"/>
          <w:szCs w:val="22"/>
        </w:rPr>
        <w:t>VI</w:t>
      </w:r>
      <w:r w:rsidR="006C26B9">
        <w:rPr>
          <w:b/>
          <w:snapToGrid w:val="0"/>
          <w:sz w:val="22"/>
          <w:szCs w:val="22"/>
        </w:rPr>
        <w:t>I</w:t>
      </w:r>
      <w:r w:rsidRPr="001A2A6E">
        <w:rPr>
          <w:b/>
          <w:snapToGrid w:val="0"/>
          <w:sz w:val="22"/>
          <w:szCs w:val="22"/>
        </w:rPr>
        <w:t>. Závěrečná ustanovení</w:t>
      </w:r>
    </w:p>
    <w:p w14:paraId="13E5F0AC" w14:textId="1669258E" w:rsidR="00F714B4" w:rsidRPr="009864A8" w:rsidRDefault="00F714B4" w:rsidP="009864A8">
      <w:pPr>
        <w:pStyle w:val="Odstavecseseznamem"/>
        <w:numPr>
          <w:ilvl w:val="0"/>
          <w:numId w:val="24"/>
        </w:numPr>
        <w:ind w:left="284" w:hanging="284"/>
        <w:jc w:val="both"/>
        <w:rPr>
          <w:snapToGrid w:val="0"/>
          <w:sz w:val="22"/>
          <w:szCs w:val="22"/>
        </w:rPr>
      </w:pPr>
      <w:r w:rsidRPr="009864A8">
        <w:rPr>
          <w:snapToGrid w:val="0"/>
          <w:sz w:val="22"/>
          <w:szCs w:val="22"/>
        </w:rPr>
        <w:t>Tato smlouva nabývá platnosti a účinnosti dnem jejího podpisu oběma smluvními stranami, nemá-li nabýt v souladu se zákonem č. 340/2015 Sb., o zvláštních podmínkách účinnosti některých smluv, uveřejňování smluv a o registru smluv, v platném a účinném znění, účinnosti později; obdarovaný v takovém případě zajistí uveřejnění této smlouvy v registru smluv.</w:t>
      </w:r>
    </w:p>
    <w:p w14:paraId="774EB0A0" w14:textId="77777777" w:rsidR="00F714B4" w:rsidRPr="009864A8" w:rsidRDefault="00F714B4" w:rsidP="009864A8">
      <w:pPr>
        <w:pStyle w:val="Odstavecseseznamem"/>
        <w:numPr>
          <w:ilvl w:val="0"/>
          <w:numId w:val="24"/>
        </w:numPr>
        <w:ind w:left="284" w:hanging="284"/>
        <w:jc w:val="both"/>
        <w:rPr>
          <w:rFonts w:ascii="Times New Roman" w:hAnsi="Times New Roman"/>
          <w:snapToGrid w:val="0"/>
          <w:sz w:val="22"/>
          <w:szCs w:val="22"/>
        </w:rPr>
      </w:pPr>
      <w:r w:rsidRPr="009864A8">
        <w:rPr>
          <w:rFonts w:ascii="Times New Roman" w:hAnsi="Times New Roman"/>
          <w:snapToGrid w:val="0"/>
          <w:sz w:val="22"/>
          <w:szCs w:val="22"/>
        </w:rPr>
        <w:t>Smluvní vztahy mezi smluvními stranami založené touto smlouvou se řídí ustanoveními občanského zákoníku.</w:t>
      </w:r>
    </w:p>
    <w:p w14:paraId="20DAE888" w14:textId="77777777" w:rsidR="00F714B4" w:rsidRPr="009864A8" w:rsidRDefault="00F714B4" w:rsidP="009864A8">
      <w:pPr>
        <w:pStyle w:val="Odstavecseseznamem"/>
        <w:numPr>
          <w:ilvl w:val="0"/>
          <w:numId w:val="24"/>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Jakékoliv změny a dodatky k této smlouvě</w:t>
      </w:r>
      <w:r w:rsidRPr="001A2A6E">
        <w:rPr>
          <w:rFonts w:ascii="Times New Roman" w:hAnsi="Times New Roman"/>
          <w:snapToGrid w:val="0"/>
          <w:sz w:val="22"/>
          <w:szCs w:val="22"/>
        </w:rPr>
        <w:t xml:space="preserve"> musí mít písemnou formu a musí být podepsané oběma smluvními stranami. Případné dodatky k této smlouvě budou označeny jako „dodatek“ a číslovány vzestupně. Tato smlouva může být ukončena pouze písemně.</w:t>
      </w:r>
    </w:p>
    <w:p w14:paraId="09176D5F" w14:textId="77777777" w:rsidR="00F714B4" w:rsidRPr="009864A8" w:rsidRDefault="00F714B4" w:rsidP="009864A8">
      <w:pPr>
        <w:pStyle w:val="Odstavecseseznamem"/>
        <w:numPr>
          <w:ilvl w:val="0"/>
          <w:numId w:val="24"/>
        </w:numPr>
        <w:spacing w:before="120"/>
        <w:ind w:left="284" w:hanging="284"/>
        <w:jc w:val="both"/>
        <w:rPr>
          <w:rFonts w:ascii="Times New Roman" w:hAnsi="Times New Roman"/>
          <w:snapToGrid w:val="0"/>
          <w:sz w:val="22"/>
          <w:szCs w:val="22"/>
        </w:rPr>
      </w:pPr>
      <w:r w:rsidRPr="001A2A6E">
        <w:rPr>
          <w:rFonts w:ascii="Times New Roman" w:hAnsi="Times New Roman"/>
          <w:snapToGrid w:val="0"/>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62CB7F52" w14:textId="77777777" w:rsidR="00F714B4" w:rsidRPr="009864A8" w:rsidRDefault="00F714B4" w:rsidP="009864A8">
      <w:pPr>
        <w:pStyle w:val="Odstavecseseznamem"/>
        <w:numPr>
          <w:ilvl w:val="0"/>
          <w:numId w:val="24"/>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 xml:space="preserve">Je-li tato smlouva uzavřena v listinné podobě, je vyhotovena ve třech stejnopisech, z nichž každý má platnost originálu. Dárce obdrží jeden stejnopis a obdarovaný obdrží dva stejnopisy. V případě, že je tato smlouva vyhotovena v elektronické podobě, jedná se o jedno vyhotovení s elektronickými podpisy obou smluvních stran v souladu se zákonem č. 297/2016 Sb., o službách vytvářejících důvěru pro elektronické transakce, ve znění pozdějších předpisů. </w:t>
      </w:r>
    </w:p>
    <w:p w14:paraId="33E05444" w14:textId="77777777" w:rsidR="00F714B4" w:rsidRPr="009864A8" w:rsidRDefault="00F714B4" w:rsidP="009864A8">
      <w:pPr>
        <w:pStyle w:val="Odstavecseseznamem"/>
        <w:numPr>
          <w:ilvl w:val="0"/>
          <w:numId w:val="24"/>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Smluvní strany na závěr této smlouvy výslovně prohlašují, že jim nejsou známy žádné okolnosti bránící v uzavření této smlouvy.</w:t>
      </w:r>
    </w:p>
    <w:p w14:paraId="2C80F337" w14:textId="43168416" w:rsidR="005315D6" w:rsidRPr="009864A8" w:rsidRDefault="00F714B4" w:rsidP="009864A8">
      <w:pPr>
        <w:pStyle w:val="Odstavecseseznamem"/>
        <w:numPr>
          <w:ilvl w:val="0"/>
          <w:numId w:val="24"/>
        </w:numPr>
        <w:spacing w:before="120"/>
        <w:ind w:left="284" w:hanging="284"/>
        <w:jc w:val="both"/>
        <w:rPr>
          <w:rFonts w:ascii="Times New Roman" w:hAnsi="Times New Roman"/>
          <w:snapToGrid w:val="0"/>
          <w:sz w:val="22"/>
          <w:szCs w:val="22"/>
        </w:rPr>
      </w:pPr>
      <w:r w:rsidRPr="009864A8">
        <w:rPr>
          <w:rFonts w:ascii="Times New Roman" w:hAnsi="Times New Roman"/>
          <w:snapToGrid w:val="0"/>
          <w:sz w:val="22"/>
          <w:szCs w:val="22"/>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tbl>
      <w:tblPr>
        <w:tblStyle w:val="Mkatabulky"/>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161"/>
        <w:gridCol w:w="4404"/>
      </w:tblGrid>
      <w:tr w:rsidR="00F714B4" w:rsidRPr="00C07406" w14:paraId="72FD2506" w14:textId="77777777" w:rsidTr="00C07406">
        <w:trPr>
          <w:trHeight w:val="339"/>
        </w:trPr>
        <w:tc>
          <w:tcPr>
            <w:tcW w:w="3528" w:type="dxa"/>
          </w:tcPr>
          <w:p w14:paraId="623F2662" w14:textId="1950F573" w:rsidR="00F714B4" w:rsidRPr="00C07406" w:rsidRDefault="00F714B4" w:rsidP="00E652F9">
            <w:pPr>
              <w:keepLines/>
              <w:spacing w:before="120"/>
              <w:rPr>
                <w:sz w:val="22"/>
                <w:szCs w:val="22"/>
              </w:rPr>
            </w:pPr>
            <w:r w:rsidRPr="00C07406">
              <w:rPr>
                <w:sz w:val="22"/>
                <w:szCs w:val="22"/>
              </w:rPr>
              <w:t>V</w:t>
            </w:r>
            <w:r w:rsidR="00C07406" w:rsidRPr="00C07406">
              <w:rPr>
                <w:sz w:val="22"/>
                <w:szCs w:val="22"/>
              </w:rPr>
              <w:t> Praze dne 18.3.2026</w:t>
            </w:r>
          </w:p>
        </w:tc>
        <w:tc>
          <w:tcPr>
            <w:tcW w:w="1161" w:type="dxa"/>
          </w:tcPr>
          <w:p w14:paraId="2BB069A6" w14:textId="77777777" w:rsidR="00F714B4" w:rsidRPr="00C07406" w:rsidRDefault="00F714B4" w:rsidP="00E652F9">
            <w:pPr>
              <w:spacing w:before="120"/>
              <w:jc w:val="both"/>
              <w:rPr>
                <w:sz w:val="22"/>
                <w:szCs w:val="22"/>
              </w:rPr>
            </w:pPr>
          </w:p>
        </w:tc>
        <w:tc>
          <w:tcPr>
            <w:tcW w:w="4404" w:type="dxa"/>
          </w:tcPr>
          <w:p w14:paraId="29D1DC4C" w14:textId="09799992" w:rsidR="00F714B4" w:rsidRPr="00C07406" w:rsidRDefault="00F714B4" w:rsidP="00E652F9">
            <w:pPr>
              <w:keepLines/>
              <w:spacing w:before="120"/>
              <w:rPr>
                <w:sz w:val="22"/>
                <w:szCs w:val="22"/>
              </w:rPr>
            </w:pPr>
            <w:r w:rsidRPr="00C07406">
              <w:rPr>
                <w:sz w:val="22"/>
                <w:szCs w:val="22"/>
              </w:rPr>
              <w:t xml:space="preserve">V Praze dne </w:t>
            </w:r>
            <w:r w:rsidR="00C07406" w:rsidRPr="00C07406">
              <w:rPr>
                <w:sz w:val="22"/>
                <w:szCs w:val="22"/>
              </w:rPr>
              <w:t>16.3.2026</w:t>
            </w:r>
          </w:p>
        </w:tc>
      </w:tr>
      <w:tr w:rsidR="00F714B4" w14:paraId="448E54A1" w14:textId="77777777" w:rsidTr="00C07406">
        <w:trPr>
          <w:trHeight w:val="455"/>
        </w:trPr>
        <w:tc>
          <w:tcPr>
            <w:tcW w:w="3528" w:type="dxa"/>
          </w:tcPr>
          <w:p w14:paraId="47C697B1" w14:textId="77777777" w:rsidR="00F714B4" w:rsidRPr="00E10FA4" w:rsidRDefault="00F714B4" w:rsidP="00E652F9">
            <w:pPr>
              <w:keepLines/>
              <w:rPr>
                <w:sz w:val="22"/>
                <w:szCs w:val="22"/>
              </w:rPr>
            </w:pPr>
          </w:p>
          <w:p w14:paraId="28B646D5" w14:textId="77777777" w:rsidR="00F714B4" w:rsidRDefault="00F714B4" w:rsidP="00E652F9">
            <w:pPr>
              <w:keepLines/>
              <w:rPr>
                <w:sz w:val="22"/>
                <w:szCs w:val="22"/>
              </w:rPr>
            </w:pPr>
            <w:r w:rsidRPr="00E10FA4">
              <w:rPr>
                <w:sz w:val="22"/>
                <w:szCs w:val="22"/>
              </w:rPr>
              <w:t>………………………………………</w:t>
            </w:r>
          </w:p>
        </w:tc>
        <w:tc>
          <w:tcPr>
            <w:tcW w:w="1161" w:type="dxa"/>
          </w:tcPr>
          <w:p w14:paraId="73C81193" w14:textId="77777777" w:rsidR="00F714B4" w:rsidRDefault="00F714B4" w:rsidP="00E652F9">
            <w:pPr>
              <w:spacing w:before="120"/>
              <w:jc w:val="both"/>
              <w:rPr>
                <w:sz w:val="22"/>
                <w:szCs w:val="22"/>
              </w:rPr>
            </w:pPr>
          </w:p>
        </w:tc>
        <w:tc>
          <w:tcPr>
            <w:tcW w:w="4404" w:type="dxa"/>
          </w:tcPr>
          <w:p w14:paraId="711D6302" w14:textId="77777777" w:rsidR="00F714B4" w:rsidRPr="00E10FA4" w:rsidRDefault="00F714B4" w:rsidP="00E652F9">
            <w:pPr>
              <w:keepLines/>
              <w:rPr>
                <w:sz w:val="22"/>
                <w:szCs w:val="22"/>
              </w:rPr>
            </w:pPr>
          </w:p>
          <w:p w14:paraId="0F6C3087" w14:textId="77777777" w:rsidR="00F714B4" w:rsidRDefault="00F714B4" w:rsidP="00E652F9">
            <w:pPr>
              <w:keepLines/>
              <w:rPr>
                <w:sz w:val="22"/>
                <w:szCs w:val="22"/>
              </w:rPr>
            </w:pPr>
            <w:r w:rsidRPr="00E10FA4">
              <w:rPr>
                <w:sz w:val="22"/>
                <w:szCs w:val="22"/>
              </w:rPr>
              <w:t>………………………………………</w:t>
            </w:r>
          </w:p>
        </w:tc>
      </w:tr>
      <w:tr w:rsidR="00B3772A" w14:paraId="00C7EF94" w14:textId="77777777" w:rsidTr="00C07406">
        <w:trPr>
          <w:trHeight w:val="329"/>
        </w:trPr>
        <w:tc>
          <w:tcPr>
            <w:tcW w:w="3528" w:type="dxa"/>
          </w:tcPr>
          <w:p w14:paraId="23517710" w14:textId="287221AF" w:rsidR="00B3772A" w:rsidRPr="00F87F93" w:rsidRDefault="00C07406" w:rsidP="00C07406">
            <w:pPr>
              <w:keepLines/>
              <w:rPr>
                <w:b/>
                <w:sz w:val="22"/>
                <w:szCs w:val="22"/>
              </w:rPr>
            </w:pPr>
            <w:r>
              <w:rPr>
                <w:b/>
                <w:sz w:val="22"/>
                <w:szCs w:val="22"/>
              </w:rPr>
              <w:t>Nadační fond HC Sparta Praha</w:t>
            </w:r>
          </w:p>
        </w:tc>
        <w:tc>
          <w:tcPr>
            <w:tcW w:w="1161" w:type="dxa"/>
          </w:tcPr>
          <w:p w14:paraId="07515ABC" w14:textId="77777777" w:rsidR="00B3772A" w:rsidRDefault="00B3772A" w:rsidP="00C07406">
            <w:pPr>
              <w:spacing w:before="120"/>
              <w:jc w:val="both"/>
              <w:rPr>
                <w:sz w:val="22"/>
                <w:szCs w:val="22"/>
              </w:rPr>
            </w:pPr>
          </w:p>
        </w:tc>
        <w:tc>
          <w:tcPr>
            <w:tcW w:w="4404" w:type="dxa"/>
          </w:tcPr>
          <w:p w14:paraId="5712A16E" w14:textId="1778D35F" w:rsidR="00B3772A" w:rsidRPr="00F87F93" w:rsidRDefault="00B3772A" w:rsidP="00C07406">
            <w:pPr>
              <w:keepLines/>
              <w:rPr>
                <w:b/>
                <w:sz w:val="22"/>
                <w:szCs w:val="22"/>
              </w:rPr>
            </w:pPr>
            <w:r w:rsidRPr="00467B37">
              <w:rPr>
                <w:b/>
                <w:bCs/>
                <w:sz w:val="22"/>
                <w:szCs w:val="22"/>
              </w:rPr>
              <w:t>Fakultní Thomayerova nemocnice</w:t>
            </w:r>
          </w:p>
        </w:tc>
      </w:tr>
      <w:tr w:rsidR="00B3772A" w:rsidRPr="00C07406" w14:paraId="14642CE8" w14:textId="77777777" w:rsidTr="00C07406">
        <w:trPr>
          <w:trHeight w:val="465"/>
        </w:trPr>
        <w:tc>
          <w:tcPr>
            <w:tcW w:w="3528" w:type="dxa"/>
          </w:tcPr>
          <w:p w14:paraId="113EA27D" w14:textId="5C078F11" w:rsidR="00B3772A" w:rsidRPr="00C07406" w:rsidRDefault="00C07406" w:rsidP="00C07406">
            <w:pPr>
              <w:keepLines/>
              <w:rPr>
                <w:bCs/>
                <w:sz w:val="22"/>
                <w:szCs w:val="22"/>
              </w:rPr>
            </w:pPr>
            <w:r w:rsidRPr="00C07406">
              <w:rPr>
                <w:bCs/>
                <w:sz w:val="22"/>
                <w:szCs w:val="22"/>
              </w:rPr>
              <w:t>Ing. Jakub Dlouhý, předseda správní rady (dárce)</w:t>
            </w:r>
          </w:p>
        </w:tc>
        <w:tc>
          <w:tcPr>
            <w:tcW w:w="1161" w:type="dxa"/>
          </w:tcPr>
          <w:p w14:paraId="2AEC3ED9" w14:textId="77777777" w:rsidR="00B3772A" w:rsidRPr="00C07406" w:rsidRDefault="00B3772A" w:rsidP="00C07406">
            <w:pPr>
              <w:spacing w:before="120"/>
              <w:jc w:val="both"/>
              <w:rPr>
                <w:sz w:val="22"/>
                <w:szCs w:val="22"/>
              </w:rPr>
            </w:pPr>
          </w:p>
        </w:tc>
        <w:tc>
          <w:tcPr>
            <w:tcW w:w="4404" w:type="dxa"/>
          </w:tcPr>
          <w:p w14:paraId="4433DAF8" w14:textId="3D1505A2" w:rsidR="00C07406" w:rsidRPr="00C07406" w:rsidRDefault="00C07406" w:rsidP="00C07406">
            <w:pPr>
              <w:keepLines/>
              <w:rPr>
                <w:bCs/>
                <w:sz w:val="22"/>
                <w:szCs w:val="22"/>
              </w:rPr>
            </w:pPr>
            <w:r>
              <w:rPr>
                <w:bCs/>
                <w:sz w:val="22"/>
                <w:szCs w:val="22"/>
              </w:rPr>
              <w:t>Ing. Jan Halíř, náměstek pro ekonomiku, techniku a provoz (obdarovaný)</w:t>
            </w:r>
          </w:p>
        </w:tc>
      </w:tr>
    </w:tbl>
    <w:p w14:paraId="43882B6D" w14:textId="6A85E6AD" w:rsidR="00030B41" w:rsidRPr="00454E7B" w:rsidRDefault="00F714B4" w:rsidP="00C07406">
      <w:pPr>
        <w:tabs>
          <w:tab w:val="left" w:pos="2211"/>
        </w:tabs>
        <w:rPr>
          <w:rFonts w:ascii="Calibri" w:hAnsi="Calibri"/>
          <w:sz w:val="22"/>
          <w:szCs w:val="22"/>
        </w:rPr>
      </w:pPr>
      <w:r>
        <w:rPr>
          <w:rFonts w:ascii="Calibri" w:hAnsi="Calibri"/>
          <w:sz w:val="22"/>
          <w:szCs w:val="22"/>
        </w:rPr>
        <w:tab/>
      </w:r>
    </w:p>
    <w:sectPr w:rsidR="00030B41" w:rsidRPr="00454E7B" w:rsidSect="00F714B4">
      <w:headerReference w:type="default" r:id="rId11"/>
      <w:footerReference w:type="default" r:id="rId12"/>
      <w:pgSz w:w="11906" w:h="16838"/>
      <w:pgMar w:top="851" w:right="1417" w:bottom="851" w:left="1417" w:header="284"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7E1D" w14:textId="77777777" w:rsidR="004008F6" w:rsidRDefault="004008F6">
      <w:r>
        <w:separator/>
      </w:r>
    </w:p>
  </w:endnote>
  <w:endnote w:type="continuationSeparator" w:id="0">
    <w:p w14:paraId="4138AACF" w14:textId="77777777" w:rsidR="004008F6" w:rsidRDefault="0040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8B2E" w14:textId="15DED73D" w:rsidR="006E0A78" w:rsidRPr="006E0A78" w:rsidRDefault="004C3579" w:rsidP="00944585">
    <w:pPr>
      <w:tabs>
        <w:tab w:val="center" w:pos="4536"/>
        <w:tab w:val="right" w:pos="9072"/>
      </w:tabs>
      <w:ind w:left="567" w:hanging="1276"/>
      <w:rPr>
        <w:rFonts w:ascii="Calibri" w:hAnsi="Calibri"/>
        <w:sz w:val="16"/>
        <w:szCs w:val="16"/>
      </w:rPr>
    </w:pPr>
    <w:r>
      <w:rPr>
        <w:rFonts w:ascii="Calibri" w:hAnsi="Calibri"/>
        <w:sz w:val="16"/>
        <w:szCs w:val="16"/>
      </w:rPr>
      <w:t>Verze:</w:t>
    </w:r>
    <w:r w:rsidR="00944585">
      <w:rPr>
        <w:rFonts w:ascii="Calibri" w:hAnsi="Calibri"/>
        <w:sz w:val="16"/>
        <w:szCs w:val="16"/>
      </w:rPr>
      <w:t xml:space="preserve"> </w:t>
    </w:r>
    <w:r w:rsidR="00C07406">
      <w:rPr>
        <w:rFonts w:ascii="Calibri" w:hAnsi="Calibri"/>
        <w:sz w:val="16"/>
        <w:szCs w:val="16"/>
      </w:rPr>
      <w:t>únor</w:t>
    </w:r>
    <w:r w:rsidR="005315D6" w:rsidRPr="00457C6D">
      <w:rPr>
        <w:rFonts w:ascii="Calibri" w:hAnsi="Calibri"/>
        <w:sz w:val="16"/>
        <w:szCs w:val="16"/>
      </w:rPr>
      <w:t xml:space="preserve"> </w:t>
    </w:r>
    <w:r w:rsidRPr="00457C6D">
      <w:rPr>
        <w:rFonts w:ascii="Calibri" w:hAnsi="Calibri"/>
        <w:sz w:val="16"/>
        <w:szCs w:val="16"/>
      </w:rPr>
      <w:t>202</w:t>
    </w:r>
    <w:r w:rsidR="00457C6D" w:rsidRPr="00457C6D">
      <w:rPr>
        <w:rFonts w:ascii="Calibri" w:hAnsi="Calibri"/>
        <w:sz w:val="16"/>
        <w:szCs w:val="16"/>
      </w:rPr>
      <w:t>6</w:t>
    </w:r>
    <w:r w:rsidR="00944585">
      <w:rPr>
        <w:rFonts w:ascii="Calibri" w:hAnsi="Calibri"/>
        <w:sz w:val="16"/>
        <w:szCs w:val="16"/>
      </w:rPr>
      <w:tab/>
    </w:r>
    <w:r w:rsidR="006E0A78" w:rsidRPr="006E0A78">
      <w:rPr>
        <w:rFonts w:ascii="Calibri" w:hAnsi="Calibri"/>
        <w:sz w:val="16"/>
        <w:szCs w:val="16"/>
      </w:rPr>
      <w:tab/>
    </w:r>
    <w:r w:rsidR="000D1FD2">
      <w:rPr>
        <w:rFonts w:ascii="Calibri" w:hAnsi="Calibri"/>
        <w:sz w:val="16"/>
        <w:szCs w:val="16"/>
      </w:rPr>
      <w:tab/>
    </w:r>
    <w:r w:rsidR="006E0A78" w:rsidRPr="006E0A78">
      <w:rPr>
        <w:rFonts w:ascii="Calibri" w:hAnsi="Calibri"/>
        <w:sz w:val="16"/>
        <w:szCs w:val="16"/>
      </w:rPr>
      <w:t xml:space="preserve">Stránka </w:t>
    </w:r>
    <w:r w:rsidR="006E0A78" w:rsidRPr="006E0A78">
      <w:rPr>
        <w:rFonts w:ascii="Calibri" w:hAnsi="Calibri"/>
        <w:b/>
        <w:bCs/>
        <w:sz w:val="16"/>
        <w:szCs w:val="16"/>
      </w:rPr>
      <w:fldChar w:fldCharType="begin"/>
    </w:r>
    <w:r w:rsidR="006E0A78" w:rsidRPr="006E0A78">
      <w:rPr>
        <w:rFonts w:ascii="Calibri" w:hAnsi="Calibri"/>
        <w:b/>
        <w:bCs/>
        <w:sz w:val="16"/>
        <w:szCs w:val="16"/>
      </w:rPr>
      <w:instrText>PAGE</w:instrText>
    </w:r>
    <w:r w:rsidR="006E0A78" w:rsidRPr="006E0A78">
      <w:rPr>
        <w:rFonts w:ascii="Calibri" w:hAnsi="Calibri"/>
        <w:b/>
        <w:bCs/>
        <w:sz w:val="16"/>
        <w:szCs w:val="16"/>
      </w:rPr>
      <w:fldChar w:fldCharType="separate"/>
    </w:r>
    <w:r w:rsidR="006C26B9">
      <w:rPr>
        <w:rFonts w:ascii="Calibri" w:hAnsi="Calibri"/>
        <w:b/>
        <w:bCs/>
        <w:noProof/>
        <w:sz w:val="16"/>
        <w:szCs w:val="16"/>
      </w:rPr>
      <w:t>2</w:t>
    </w:r>
    <w:r w:rsidR="006E0A78" w:rsidRPr="006E0A78">
      <w:rPr>
        <w:rFonts w:ascii="Calibri" w:hAnsi="Calibri"/>
        <w:b/>
        <w:bCs/>
        <w:sz w:val="16"/>
        <w:szCs w:val="16"/>
      </w:rPr>
      <w:fldChar w:fldCharType="end"/>
    </w:r>
    <w:r w:rsidR="006E0A78" w:rsidRPr="006E0A78">
      <w:rPr>
        <w:rFonts w:ascii="Calibri" w:hAnsi="Calibri"/>
        <w:sz w:val="16"/>
        <w:szCs w:val="16"/>
      </w:rPr>
      <w:t xml:space="preserve"> z </w:t>
    </w:r>
    <w:r w:rsidR="006E0A78" w:rsidRPr="006E0A78">
      <w:rPr>
        <w:rFonts w:ascii="Calibri" w:hAnsi="Calibri"/>
        <w:b/>
        <w:bCs/>
        <w:sz w:val="16"/>
        <w:szCs w:val="16"/>
      </w:rPr>
      <w:fldChar w:fldCharType="begin"/>
    </w:r>
    <w:r w:rsidR="006E0A78" w:rsidRPr="006E0A78">
      <w:rPr>
        <w:rFonts w:ascii="Calibri" w:hAnsi="Calibri"/>
        <w:b/>
        <w:bCs/>
        <w:sz w:val="16"/>
        <w:szCs w:val="16"/>
      </w:rPr>
      <w:instrText>NUMPAGES</w:instrText>
    </w:r>
    <w:r w:rsidR="006E0A78" w:rsidRPr="006E0A78">
      <w:rPr>
        <w:rFonts w:ascii="Calibri" w:hAnsi="Calibri"/>
        <w:b/>
        <w:bCs/>
        <w:sz w:val="16"/>
        <w:szCs w:val="16"/>
      </w:rPr>
      <w:fldChar w:fldCharType="separate"/>
    </w:r>
    <w:r w:rsidR="006C26B9">
      <w:rPr>
        <w:rFonts w:ascii="Calibri" w:hAnsi="Calibri"/>
        <w:b/>
        <w:bCs/>
        <w:noProof/>
        <w:sz w:val="16"/>
        <w:szCs w:val="16"/>
      </w:rPr>
      <w:t>2</w:t>
    </w:r>
    <w:r w:rsidR="006E0A78" w:rsidRPr="006E0A78">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CC04" w14:textId="77777777" w:rsidR="004008F6" w:rsidRDefault="004008F6">
      <w:r>
        <w:separator/>
      </w:r>
    </w:p>
  </w:footnote>
  <w:footnote w:type="continuationSeparator" w:id="0">
    <w:p w14:paraId="462C9A58" w14:textId="77777777" w:rsidR="004008F6" w:rsidRDefault="0040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176" w:type="dxa"/>
      <w:tblLook w:val="04A0" w:firstRow="1" w:lastRow="0" w:firstColumn="1" w:lastColumn="0" w:noHBand="0" w:noVBand="1"/>
    </w:tblPr>
    <w:tblGrid>
      <w:gridCol w:w="1476"/>
      <w:gridCol w:w="2621"/>
      <w:gridCol w:w="6252"/>
    </w:tblGrid>
    <w:tr w:rsidR="005315D6" w:rsidRPr="00CB51DC" w14:paraId="6B960D57" w14:textId="77777777" w:rsidTr="00CB51DC">
      <w:trPr>
        <w:trHeight w:val="725"/>
      </w:trPr>
      <w:tc>
        <w:tcPr>
          <w:tcW w:w="851" w:type="dxa"/>
          <w:hideMark/>
        </w:tcPr>
        <w:p w14:paraId="2A5004A2" w14:textId="49B24899" w:rsidR="005315D6" w:rsidRPr="00CB51DC" w:rsidRDefault="005315D6" w:rsidP="005315D6">
          <w:pPr>
            <w:spacing w:before="120" w:after="120"/>
            <w:ind w:right="-138"/>
            <w:jc w:val="both"/>
            <w:rPr>
              <w:rFonts w:ascii="Calibri" w:hAnsi="Calibri"/>
              <w:b/>
              <w:sz w:val="22"/>
            </w:rPr>
          </w:pPr>
          <w:r w:rsidRPr="00CB2E54">
            <w:rPr>
              <w:rFonts w:ascii="Arial" w:hAnsi="Arial"/>
              <w:b/>
              <w:noProof/>
              <w:spacing w:val="60"/>
              <w:sz w:val="28"/>
              <w:highlight w:val="green"/>
            </w:rPr>
            <w:drawing>
              <wp:anchor distT="0" distB="0" distL="114300" distR="114300" simplePos="0" relativeHeight="251659264" behindDoc="0" locked="0" layoutInCell="1" allowOverlap="1" wp14:anchorId="5D3B8C87" wp14:editId="508AECC3">
                <wp:simplePos x="0" y="0"/>
                <wp:positionH relativeFrom="column">
                  <wp:posOffset>68580</wp:posOffset>
                </wp:positionH>
                <wp:positionV relativeFrom="paragraph">
                  <wp:posOffset>248920</wp:posOffset>
                </wp:positionV>
                <wp:extent cx="790575" cy="647700"/>
                <wp:effectExtent l="0" t="0" r="9525" b="0"/>
                <wp:wrapSquare wrapText="bothSides"/>
                <wp:docPr id="1"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835" w:type="dxa"/>
          <w:hideMark/>
        </w:tcPr>
        <w:p w14:paraId="03416898" w14:textId="61136228" w:rsidR="005315D6" w:rsidRPr="00CB51DC" w:rsidRDefault="005315D6" w:rsidP="005315D6">
          <w:pPr>
            <w:jc w:val="both"/>
            <w:rPr>
              <w:rFonts w:ascii="Calibri" w:hAnsi="Calibri"/>
              <w:b/>
              <w:sz w:val="20"/>
              <w:szCs w:val="20"/>
            </w:rPr>
          </w:pPr>
        </w:p>
      </w:tc>
      <w:tc>
        <w:tcPr>
          <w:tcW w:w="6663" w:type="dxa"/>
          <w:hideMark/>
        </w:tcPr>
        <w:p w14:paraId="7F564DDB" w14:textId="55CCDCDD" w:rsidR="005315D6" w:rsidRPr="00CB51DC" w:rsidRDefault="005315D6" w:rsidP="005315D6">
          <w:pPr>
            <w:spacing w:before="120"/>
            <w:ind w:right="743"/>
            <w:jc w:val="right"/>
            <w:rPr>
              <w:rFonts w:ascii="Calibri" w:hAnsi="Calibri"/>
              <w:b/>
              <w:sz w:val="16"/>
              <w:szCs w:val="16"/>
            </w:rPr>
          </w:pPr>
        </w:p>
        <w:p w14:paraId="10DCFA68" w14:textId="77777777" w:rsidR="0062671A" w:rsidRDefault="0062671A" w:rsidP="0062671A">
          <w:pPr>
            <w:ind w:right="743"/>
            <w:jc w:val="right"/>
            <w:rPr>
              <w:b/>
              <w:color w:val="1F4E79" w:themeColor="accent1" w:themeShade="80"/>
              <w:sz w:val="18"/>
              <w:szCs w:val="18"/>
            </w:rPr>
          </w:pPr>
          <w:r>
            <w:rPr>
              <w:b/>
              <w:color w:val="1F4E79" w:themeColor="accent1" w:themeShade="80"/>
              <w:sz w:val="18"/>
              <w:szCs w:val="18"/>
            </w:rPr>
            <w:t xml:space="preserve">Darovací smlouva </w:t>
          </w:r>
        </w:p>
        <w:p w14:paraId="2CF5C512" w14:textId="087F32A3" w:rsidR="005315D6" w:rsidRPr="00CB51DC" w:rsidRDefault="0062671A" w:rsidP="0062671A">
          <w:pPr>
            <w:ind w:right="743"/>
            <w:jc w:val="right"/>
            <w:rPr>
              <w:rFonts w:ascii="Calibri" w:hAnsi="Calibri"/>
              <w:b/>
              <w:sz w:val="16"/>
              <w:szCs w:val="16"/>
            </w:rPr>
          </w:pPr>
          <w:r>
            <w:rPr>
              <w:b/>
              <w:color w:val="1F4E79" w:themeColor="accent1" w:themeShade="80"/>
              <w:sz w:val="18"/>
              <w:szCs w:val="18"/>
            </w:rPr>
            <w:t>F-S-TN-04b Verze 1, 2025</w:t>
          </w:r>
        </w:p>
      </w:tc>
    </w:tr>
  </w:tbl>
  <w:p w14:paraId="768ABF95" w14:textId="77777777" w:rsidR="00CB51DC" w:rsidRDefault="00CB51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B22"/>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800247"/>
    <w:multiLevelType w:val="hybridMultilevel"/>
    <w:tmpl w:val="391E8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CE12F2"/>
    <w:multiLevelType w:val="hybridMultilevel"/>
    <w:tmpl w:val="7BBEAC04"/>
    <w:lvl w:ilvl="0" w:tplc="A50A142C">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E4236"/>
    <w:multiLevelType w:val="hybridMultilevel"/>
    <w:tmpl w:val="475AAF70"/>
    <w:lvl w:ilvl="0" w:tplc="484E3ECA">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3BB7E73"/>
    <w:multiLevelType w:val="hybridMultilevel"/>
    <w:tmpl w:val="A8A8A3E4"/>
    <w:lvl w:ilvl="0" w:tplc="BDE81880">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B1608"/>
    <w:multiLevelType w:val="multilevel"/>
    <w:tmpl w:val="D278C7C8"/>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907"/>
        </w:tabs>
        <w:ind w:left="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ECA2CCB"/>
    <w:multiLevelType w:val="hybridMultilevel"/>
    <w:tmpl w:val="634E3AEE"/>
    <w:lvl w:ilvl="0" w:tplc="C8B433A2">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F7A2A95"/>
    <w:multiLevelType w:val="multilevel"/>
    <w:tmpl w:val="12A0C8FC"/>
    <w:lvl w:ilvl="0">
      <w:start w:val="1"/>
      <w:numFmt w:val="decimal"/>
      <w:lvlText w:val="%1."/>
      <w:lvlJc w:val="left"/>
      <w:pPr>
        <w:tabs>
          <w:tab w:val="num" w:pos="709"/>
        </w:tabs>
        <w:ind w:left="709" w:hanging="567"/>
      </w:pPr>
      <w:rPr>
        <w:rFonts w:ascii="Calibri" w:hAnsi="Calibri" w:hint="default"/>
        <w:b/>
        <w:i w:val="0"/>
        <w:caps w:val="0"/>
        <w:strike w:val="0"/>
        <w:dstrike w:val="0"/>
        <w:vanish w:val="0"/>
        <w:color w:val="000000"/>
        <w:sz w:val="22"/>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Calibri" w:hAnsi="Calibri"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445B5C"/>
    <w:multiLevelType w:val="hybridMultilevel"/>
    <w:tmpl w:val="4F028BA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330749F"/>
    <w:multiLevelType w:val="hybridMultilevel"/>
    <w:tmpl w:val="6A1AFC82"/>
    <w:lvl w:ilvl="0" w:tplc="313295DA">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A036127"/>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49089E"/>
    <w:multiLevelType w:val="hybridMultilevel"/>
    <w:tmpl w:val="A4FCDFEA"/>
    <w:lvl w:ilvl="0" w:tplc="89A64C62">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2D786A"/>
    <w:multiLevelType w:val="hybridMultilevel"/>
    <w:tmpl w:val="FEFA439C"/>
    <w:lvl w:ilvl="0" w:tplc="D070F404">
      <w:start w:val="1"/>
      <w:numFmt w:val="bullet"/>
      <w:pStyle w:val="odr2"/>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B56092C"/>
    <w:multiLevelType w:val="hybridMultilevel"/>
    <w:tmpl w:val="85E4EAD8"/>
    <w:lvl w:ilvl="0" w:tplc="EB5CCE1A">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CA3B40"/>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4557903">
    <w:abstractNumId w:val="4"/>
  </w:num>
  <w:num w:numId="2" w16cid:durableId="2049186154">
    <w:abstractNumId w:val="11"/>
  </w:num>
  <w:num w:numId="3" w16cid:durableId="1318146966">
    <w:abstractNumId w:val="4"/>
  </w:num>
  <w:num w:numId="4" w16cid:durableId="1857500498">
    <w:abstractNumId w:val="4"/>
  </w:num>
  <w:num w:numId="5" w16cid:durableId="1084186626">
    <w:abstractNumId w:val="4"/>
  </w:num>
  <w:num w:numId="6" w16cid:durableId="2009750611">
    <w:abstractNumId w:val="5"/>
  </w:num>
  <w:num w:numId="7" w16cid:durableId="583729854">
    <w:abstractNumId w:val="5"/>
  </w:num>
  <w:num w:numId="8" w16cid:durableId="859007467">
    <w:abstractNumId w:val="9"/>
  </w:num>
  <w:num w:numId="9" w16cid:durableId="1054743783">
    <w:abstractNumId w:val="3"/>
  </w:num>
  <w:num w:numId="10" w16cid:durableId="1885100408">
    <w:abstractNumId w:val="9"/>
  </w:num>
  <w:num w:numId="11" w16cid:durableId="1145732429">
    <w:abstractNumId w:val="3"/>
  </w:num>
  <w:num w:numId="12" w16cid:durableId="456720752">
    <w:abstractNumId w:val="6"/>
  </w:num>
  <w:num w:numId="13" w16cid:durableId="1483111802">
    <w:abstractNumId w:val="12"/>
  </w:num>
  <w:num w:numId="14" w16cid:durableId="440731958">
    <w:abstractNumId w:val="6"/>
  </w:num>
  <w:num w:numId="15" w16cid:durableId="281109110">
    <w:abstractNumId w:val="12"/>
  </w:num>
  <w:num w:numId="16" w16cid:durableId="1930577285">
    <w:abstractNumId w:val="6"/>
  </w:num>
  <w:num w:numId="17" w16cid:durableId="1385716474">
    <w:abstractNumId w:val="6"/>
  </w:num>
  <w:num w:numId="18" w16cid:durableId="2023433187">
    <w:abstractNumId w:val="12"/>
  </w:num>
  <w:num w:numId="19" w16cid:durableId="361248693">
    <w:abstractNumId w:val="7"/>
  </w:num>
  <w:num w:numId="20" w16cid:durableId="904336861">
    <w:abstractNumId w:val="1"/>
  </w:num>
  <w:num w:numId="21" w16cid:durableId="624888160">
    <w:abstractNumId w:val="14"/>
  </w:num>
  <w:num w:numId="22" w16cid:durableId="1436512048">
    <w:abstractNumId w:val="2"/>
  </w:num>
  <w:num w:numId="23" w16cid:durableId="186406869">
    <w:abstractNumId w:val="8"/>
  </w:num>
  <w:num w:numId="24" w16cid:durableId="14233021">
    <w:abstractNumId w:val="13"/>
  </w:num>
  <w:num w:numId="25" w16cid:durableId="1590651753">
    <w:abstractNumId w:val="0"/>
  </w:num>
  <w:num w:numId="26" w16cid:durableId="1589579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80"/>
    <w:rsid w:val="000203C6"/>
    <w:rsid w:val="00020945"/>
    <w:rsid w:val="00030B41"/>
    <w:rsid w:val="00084B82"/>
    <w:rsid w:val="00087C46"/>
    <w:rsid w:val="00093779"/>
    <w:rsid w:val="000971C0"/>
    <w:rsid w:val="000A4FF1"/>
    <w:rsid w:val="000C4DDF"/>
    <w:rsid w:val="000D1FD2"/>
    <w:rsid w:val="000D35CE"/>
    <w:rsid w:val="001176E8"/>
    <w:rsid w:val="00161981"/>
    <w:rsid w:val="001B1B02"/>
    <w:rsid w:val="001B6CAC"/>
    <w:rsid w:val="001D514D"/>
    <w:rsid w:val="001E7C29"/>
    <w:rsid w:val="001F4675"/>
    <w:rsid w:val="00210CC2"/>
    <w:rsid w:val="00292882"/>
    <w:rsid w:val="002936D9"/>
    <w:rsid w:val="002B0D03"/>
    <w:rsid w:val="002B741F"/>
    <w:rsid w:val="002D5F17"/>
    <w:rsid w:val="002E126E"/>
    <w:rsid w:val="002E19F9"/>
    <w:rsid w:val="002E3112"/>
    <w:rsid w:val="00303FB8"/>
    <w:rsid w:val="00306C01"/>
    <w:rsid w:val="003138FF"/>
    <w:rsid w:val="00327B56"/>
    <w:rsid w:val="003475C6"/>
    <w:rsid w:val="0035638F"/>
    <w:rsid w:val="00361796"/>
    <w:rsid w:val="00382F04"/>
    <w:rsid w:val="003A02F8"/>
    <w:rsid w:val="003D349C"/>
    <w:rsid w:val="003D4DD9"/>
    <w:rsid w:val="003E03C6"/>
    <w:rsid w:val="003F1501"/>
    <w:rsid w:val="004008F6"/>
    <w:rsid w:val="00402C0D"/>
    <w:rsid w:val="00420537"/>
    <w:rsid w:val="00427708"/>
    <w:rsid w:val="00432065"/>
    <w:rsid w:val="00454E7B"/>
    <w:rsid w:val="00457C6D"/>
    <w:rsid w:val="00465EC7"/>
    <w:rsid w:val="0047733D"/>
    <w:rsid w:val="00485A9D"/>
    <w:rsid w:val="004A54D1"/>
    <w:rsid w:val="004C0EBB"/>
    <w:rsid w:val="004C3579"/>
    <w:rsid w:val="004E0A84"/>
    <w:rsid w:val="004F3E86"/>
    <w:rsid w:val="005134EE"/>
    <w:rsid w:val="0052129F"/>
    <w:rsid w:val="00531366"/>
    <w:rsid w:val="005315D6"/>
    <w:rsid w:val="0053504F"/>
    <w:rsid w:val="00542602"/>
    <w:rsid w:val="00560CA6"/>
    <w:rsid w:val="0056132D"/>
    <w:rsid w:val="00571538"/>
    <w:rsid w:val="00594486"/>
    <w:rsid w:val="00596E8A"/>
    <w:rsid w:val="0059706F"/>
    <w:rsid w:val="005C1C71"/>
    <w:rsid w:val="005E4B13"/>
    <w:rsid w:val="005E7A48"/>
    <w:rsid w:val="0062671A"/>
    <w:rsid w:val="006362B4"/>
    <w:rsid w:val="0065162C"/>
    <w:rsid w:val="00680689"/>
    <w:rsid w:val="006828B2"/>
    <w:rsid w:val="006863D5"/>
    <w:rsid w:val="00696C85"/>
    <w:rsid w:val="006A15BA"/>
    <w:rsid w:val="006A38F1"/>
    <w:rsid w:val="006A5399"/>
    <w:rsid w:val="006C0132"/>
    <w:rsid w:val="006C26B9"/>
    <w:rsid w:val="006C3614"/>
    <w:rsid w:val="006D35CF"/>
    <w:rsid w:val="006D3C00"/>
    <w:rsid w:val="006D5B52"/>
    <w:rsid w:val="006E0A78"/>
    <w:rsid w:val="00753923"/>
    <w:rsid w:val="00763C53"/>
    <w:rsid w:val="007B322A"/>
    <w:rsid w:val="007D7378"/>
    <w:rsid w:val="007E795F"/>
    <w:rsid w:val="007F78A2"/>
    <w:rsid w:val="00812260"/>
    <w:rsid w:val="00834EC6"/>
    <w:rsid w:val="008525D4"/>
    <w:rsid w:val="0085676B"/>
    <w:rsid w:val="008807DA"/>
    <w:rsid w:val="00886CAD"/>
    <w:rsid w:val="008B038D"/>
    <w:rsid w:val="008B31F7"/>
    <w:rsid w:val="008E2954"/>
    <w:rsid w:val="0091626B"/>
    <w:rsid w:val="00921A12"/>
    <w:rsid w:val="00933C46"/>
    <w:rsid w:val="009376F0"/>
    <w:rsid w:val="00944585"/>
    <w:rsid w:val="00966EA2"/>
    <w:rsid w:val="0098349F"/>
    <w:rsid w:val="009864A8"/>
    <w:rsid w:val="00987165"/>
    <w:rsid w:val="00990B4C"/>
    <w:rsid w:val="009C6E95"/>
    <w:rsid w:val="00A33539"/>
    <w:rsid w:val="00A43335"/>
    <w:rsid w:val="00A46A52"/>
    <w:rsid w:val="00A65E7C"/>
    <w:rsid w:val="00A75657"/>
    <w:rsid w:val="00A95D88"/>
    <w:rsid w:val="00A963CC"/>
    <w:rsid w:val="00AB7641"/>
    <w:rsid w:val="00AC5840"/>
    <w:rsid w:val="00AF38C8"/>
    <w:rsid w:val="00AF6F40"/>
    <w:rsid w:val="00B203B7"/>
    <w:rsid w:val="00B3772A"/>
    <w:rsid w:val="00B70308"/>
    <w:rsid w:val="00B75BB9"/>
    <w:rsid w:val="00BC074D"/>
    <w:rsid w:val="00BC5498"/>
    <w:rsid w:val="00C07406"/>
    <w:rsid w:val="00C14559"/>
    <w:rsid w:val="00C406DE"/>
    <w:rsid w:val="00C46EC2"/>
    <w:rsid w:val="00C77CD8"/>
    <w:rsid w:val="00C929E8"/>
    <w:rsid w:val="00C949C8"/>
    <w:rsid w:val="00CB3F80"/>
    <w:rsid w:val="00CB51DC"/>
    <w:rsid w:val="00CB6621"/>
    <w:rsid w:val="00CF2192"/>
    <w:rsid w:val="00D227C3"/>
    <w:rsid w:val="00D303CF"/>
    <w:rsid w:val="00D35AD5"/>
    <w:rsid w:val="00D562EA"/>
    <w:rsid w:val="00D6323F"/>
    <w:rsid w:val="00D745A6"/>
    <w:rsid w:val="00D8161E"/>
    <w:rsid w:val="00DA2B40"/>
    <w:rsid w:val="00DA5BF2"/>
    <w:rsid w:val="00DC2671"/>
    <w:rsid w:val="00DC66DE"/>
    <w:rsid w:val="00DF163C"/>
    <w:rsid w:val="00E01C9C"/>
    <w:rsid w:val="00E10F80"/>
    <w:rsid w:val="00E15224"/>
    <w:rsid w:val="00E35476"/>
    <w:rsid w:val="00E47129"/>
    <w:rsid w:val="00E47770"/>
    <w:rsid w:val="00E55176"/>
    <w:rsid w:val="00E768AA"/>
    <w:rsid w:val="00E779B9"/>
    <w:rsid w:val="00E9099C"/>
    <w:rsid w:val="00E97926"/>
    <w:rsid w:val="00EB47B0"/>
    <w:rsid w:val="00F024F9"/>
    <w:rsid w:val="00F136A4"/>
    <w:rsid w:val="00F3649D"/>
    <w:rsid w:val="00F545AB"/>
    <w:rsid w:val="00F669E3"/>
    <w:rsid w:val="00F714B4"/>
    <w:rsid w:val="00F91790"/>
    <w:rsid w:val="00F91FD7"/>
    <w:rsid w:val="00F93979"/>
    <w:rsid w:val="00FB610E"/>
    <w:rsid w:val="00FD402B"/>
    <w:rsid w:val="00FE7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F1775"/>
  <w15:chartTrackingRefBased/>
  <w15:docId w15:val="{F20D9155-1CD6-40AD-A640-F8AB0C78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538"/>
    <w:rPr>
      <w:sz w:val="24"/>
      <w:szCs w:val="24"/>
    </w:rPr>
  </w:style>
  <w:style w:type="paragraph" w:styleId="Nadpis1">
    <w:name w:val="heading 1"/>
    <w:basedOn w:val="Normln"/>
    <w:next w:val="Normln"/>
    <w:qFormat/>
    <w:rsid w:val="00B7030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6828B2"/>
    <w:pPr>
      <w:keepNext/>
      <w:spacing w:before="240" w:after="60"/>
      <w:outlineLvl w:val="1"/>
    </w:pPr>
    <w:rPr>
      <w:rFonts w:cs="Arial"/>
      <w:b/>
      <w:bCs/>
      <w:i/>
      <w:iCs/>
      <w:sz w:val="28"/>
      <w:szCs w:val="28"/>
    </w:rPr>
  </w:style>
  <w:style w:type="paragraph" w:styleId="Nadpis3">
    <w:name w:val="heading 3"/>
    <w:basedOn w:val="Normln"/>
    <w:next w:val="Normln"/>
    <w:qFormat/>
    <w:rsid w:val="00303FB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pravo">
    <w:name w:val="Vpravo"/>
    <w:basedOn w:val="Normln"/>
    <w:rsid w:val="0091626B"/>
    <w:pPr>
      <w:jc w:val="right"/>
    </w:pPr>
  </w:style>
  <w:style w:type="character" w:styleId="Zdraznn">
    <w:name w:val="Emphasis"/>
    <w:qFormat/>
    <w:rsid w:val="00B203B7"/>
    <w:rPr>
      <w:i/>
      <w:iCs/>
    </w:rPr>
  </w:style>
  <w:style w:type="character" w:styleId="Siln">
    <w:name w:val="Strong"/>
    <w:qFormat/>
    <w:rsid w:val="006828B2"/>
    <w:rPr>
      <w:b/>
      <w:bCs/>
    </w:rPr>
  </w:style>
  <w:style w:type="paragraph" w:customStyle="1" w:styleId="NaSted">
    <w:name w:val="NaStřed"/>
    <w:basedOn w:val="Normln"/>
    <w:rsid w:val="00F545AB"/>
    <w:pPr>
      <w:jc w:val="center"/>
    </w:pPr>
  </w:style>
  <w:style w:type="paragraph" w:customStyle="1" w:styleId="odr1">
    <w:name w:val="odr1"/>
    <w:basedOn w:val="Normln"/>
    <w:rsid w:val="00087C46"/>
    <w:pPr>
      <w:numPr>
        <w:numId w:val="17"/>
      </w:numPr>
      <w:jc w:val="both"/>
    </w:pPr>
  </w:style>
  <w:style w:type="paragraph" w:styleId="Nzev">
    <w:name w:val="Title"/>
    <w:basedOn w:val="Normln"/>
    <w:qFormat/>
    <w:rsid w:val="00E35476"/>
    <w:pPr>
      <w:keepNext/>
      <w:spacing w:before="240" w:after="240"/>
      <w:jc w:val="center"/>
      <w:outlineLvl w:val="0"/>
    </w:pPr>
    <w:rPr>
      <w:rFonts w:cs="Arial"/>
      <w:b/>
      <w:bCs/>
      <w:kern w:val="28"/>
      <w:sz w:val="32"/>
      <w:szCs w:val="32"/>
    </w:rPr>
  </w:style>
  <w:style w:type="paragraph" w:customStyle="1" w:styleId="odr2">
    <w:name w:val="odr2"/>
    <w:basedOn w:val="Normln"/>
    <w:rsid w:val="00087C46"/>
    <w:pPr>
      <w:numPr>
        <w:numId w:val="18"/>
      </w:numPr>
      <w:jc w:val="both"/>
    </w:pPr>
    <w:rPr>
      <w:lang w:val="en-US"/>
    </w:rPr>
  </w:style>
  <w:style w:type="paragraph" w:customStyle="1" w:styleId="Odstavec">
    <w:name w:val="Odstavec"/>
    <w:basedOn w:val="Normln"/>
    <w:rsid w:val="002E3112"/>
    <w:pPr>
      <w:tabs>
        <w:tab w:val="num" w:pos="907"/>
      </w:tabs>
      <w:spacing w:before="120"/>
      <w:ind w:firstLine="397"/>
      <w:jc w:val="both"/>
      <w:outlineLvl w:val="3"/>
    </w:pPr>
  </w:style>
  <w:style w:type="paragraph" w:styleId="Obsah1">
    <w:name w:val="toc 1"/>
    <w:basedOn w:val="Normln"/>
    <w:next w:val="Normln"/>
    <w:autoRedefine/>
    <w:semiHidden/>
    <w:rsid w:val="003F1501"/>
    <w:pPr>
      <w:keepNext/>
      <w:tabs>
        <w:tab w:val="right" w:leader="dot" w:pos="9072"/>
      </w:tabs>
      <w:spacing w:before="60"/>
      <w:ind w:left="567" w:hanging="567"/>
    </w:pPr>
  </w:style>
  <w:style w:type="paragraph" w:styleId="Obsah3">
    <w:name w:val="toc 3"/>
    <w:basedOn w:val="Normln"/>
    <w:next w:val="Normln"/>
    <w:autoRedefine/>
    <w:semiHidden/>
    <w:rsid w:val="001B1B02"/>
    <w:pPr>
      <w:tabs>
        <w:tab w:val="right" w:leader="dot" w:pos="9072"/>
      </w:tabs>
      <w:ind w:left="1418" w:hanging="851"/>
    </w:pPr>
  </w:style>
  <w:style w:type="paragraph" w:customStyle="1" w:styleId="Bod">
    <w:name w:val="Bod"/>
    <w:basedOn w:val="Normln"/>
    <w:rsid w:val="002E3112"/>
    <w:pPr>
      <w:tabs>
        <w:tab w:val="num" w:pos="851"/>
      </w:tabs>
      <w:ind w:left="851" w:hanging="171"/>
      <w:jc w:val="both"/>
    </w:pPr>
  </w:style>
  <w:style w:type="paragraph" w:customStyle="1" w:styleId="predaz">
    <w:name w:val="predaz"/>
    <w:basedOn w:val="Normln"/>
    <w:rsid w:val="00E35476"/>
    <w:pPr>
      <w:ind w:left="284" w:hanging="284"/>
      <w:jc w:val="both"/>
    </w:pPr>
  </w:style>
  <w:style w:type="paragraph" w:styleId="Zkladntext">
    <w:name w:val="Body Text"/>
    <w:basedOn w:val="Normln"/>
    <w:rsid w:val="00303FB8"/>
    <w:pPr>
      <w:spacing w:after="60"/>
      <w:jc w:val="both"/>
    </w:pPr>
  </w:style>
  <w:style w:type="character" w:styleId="Hypertextovodkaz">
    <w:name w:val="Hyperlink"/>
    <w:rsid w:val="00087C46"/>
    <w:rPr>
      <w:color w:val="0000FF"/>
      <w:u w:val="single"/>
    </w:rPr>
  </w:style>
  <w:style w:type="paragraph" w:customStyle="1" w:styleId="ZklOdsaz">
    <w:name w:val="ZáklOdsaz"/>
    <w:basedOn w:val="Zkladntext"/>
    <w:rsid w:val="00F3649D"/>
    <w:pPr>
      <w:ind w:firstLine="709"/>
    </w:pPr>
  </w:style>
  <w:style w:type="paragraph" w:styleId="Zkladntext3">
    <w:name w:val="Body Text 3"/>
    <w:basedOn w:val="Normln"/>
    <w:rsid w:val="00E10F80"/>
    <w:pPr>
      <w:keepNext/>
      <w:keepLines/>
      <w:jc w:val="both"/>
    </w:pPr>
    <w:rPr>
      <w:rFonts w:ascii="CG Times" w:hAnsi="CG Times"/>
      <w:szCs w:val="20"/>
    </w:rPr>
  </w:style>
  <w:style w:type="paragraph" w:styleId="Zkladntext2">
    <w:name w:val="Body Text 2"/>
    <w:basedOn w:val="Normln"/>
    <w:rsid w:val="00E10F80"/>
    <w:pPr>
      <w:ind w:left="567"/>
      <w:jc w:val="center"/>
    </w:pPr>
    <w:rPr>
      <w:snapToGrid w:val="0"/>
      <w:szCs w:val="20"/>
    </w:rPr>
  </w:style>
  <w:style w:type="character" w:customStyle="1" w:styleId="platne1">
    <w:name w:val="platne1"/>
    <w:basedOn w:val="Standardnpsmoodstavce"/>
    <w:rsid w:val="00E10F80"/>
  </w:style>
  <w:style w:type="character" w:customStyle="1" w:styleId="Nadpis2Char">
    <w:name w:val="Nadpis 2 Char"/>
    <w:link w:val="Nadpis2"/>
    <w:rsid w:val="00E10F80"/>
    <w:rPr>
      <w:rFonts w:cs="Arial"/>
      <w:b/>
      <w:bCs/>
      <w:i/>
      <w:iCs/>
      <w:sz w:val="28"/>
      <w:szCs w:val="28"/>
      <w:lang w:val="cs-CZ" w:eastAsia="cs-CZ" w:bidi="ar-SA"/>
    </w:rPr>
  </w:style>
  <w:style w:type="paragraph" w:styleId="Zhlav">
    <w:name w:val="header"/>
    <w:basedOn w:val="Normln"/>
    <w:rsid w:val="00E15224"/>
    <w:pPr>
      <w:tabs>
        <w:tab w:val="center" w:pos="4536"/>
        <w:tab w:val="right" w:pos="9072"/>
      </w:tabs>
    </w:pPr>
  </w:style>
  <w:style w:type="paragraph" w:styleId="Zpat">
    <w:name w:val="footer"/>
    <w:basedOn w:val="Normln"/>
    <w:rsid w:val="00E15224"/>
    <w:pPr>
      <w:tabs>
        <w:tab w:val="center" w:pos="4536"/>
        <w:tab w:val="right" w:pos="9072"/>
      </w:tabs>
    </w:pPr>
  </w:style>
  <w:style w:type="character" w:styleId="slostrnky">
    <w:name w:val="page number"/>
    <w:basedOn w:val="Standardnpsmoodstavce"/>
    <w:rsid w:val="00E15224"/>
  </w:style>
  <w:style w:type="paragraph" w:styleId="Textbubliny">
    <w:name w:val="Balloon Text"/>
    <w:basedOn w:val="Normln"/>
    <w:link w:val="TextbublinyChar"/>
    <w:rsid w:val="007B322A"/>
    <w:rPr>
      <w:rFonts w:ascii="Segoe UI" w:hAnsi="Segoe UI" w:cs="Segoe UI"/>
      <w:sz w:val="18"/>
      <w:szCs w:val="18"/>
    </w:rPr>
  </w:style>
  <w:style w:type="character" w:customStyle="1" w:styleId="TextbublinyChar">
    <w:name w:val="Text bubliny Char"/>
    <w:link w:val="Textbubliny"/>
    <w:rsid w:val="007B322A"/>
    <w:rPr>
      <w:rFonts w:ascii="Segoe UI" w:hAnsi="Segoe UI" w:cs="Segoe UI"/>
      <w:sz w:val="18"/>
      <w:szCs w:val="18"/>
    </w:rPr>
  </w:style>
  <w:style w:type="table" w:styleId="Mkatabulky">
    <w:name w:val="Table Grid"/>
    <w:basedOn w:val="Normlntabulka"/>
    <w:rsid w:val="00F7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714B4"/>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738">
      <w:bodyDiv w:val="1"/>
      <w:marLeft w:val="0"/>
      <w:marRight w:val="0"/>
      <w:marTop w:val="0"/>
      <w:marBottom w:val="0"/>
      <w:divBdr>
        <w:top w:val="none" w:sz="0" w:space="0" w:color="auto"/>
        <w:left w:val="none" w:sz="0" w:space="0" w:color="auto"/>
        <w:bottom w:val="none" w:sz="0" w:space="0" w:color="auto"/>
        <w:right w:val="none" w:sz="0" w:space="0" w:color="auto"/>
      </w:divBdr>
    </w:div>
    <w:div w:id="723717153">
      <w:bodyDiv w:val="1"/>
      <w:marLeft w:val="0"/>
      <w:marRight w:val="0"/>
      <w:marTop w:val="0"/>
      <w:marBottom w:val="0"/>
      <w:divBdr>
        <w:top w:val="none" w:sz="0" w:space="0" w:color="auto"/>
        <w:left w:val="none" w:sz="0" w:space="0" w:color="auto"/>
        <w:bottom w:val="none" w:sz="0" w:space="0" w:color="auto"/>
        <w:right w:val="none" w:sz="0" w:space="0" w:color="auto"/>
      </w:divBdr>
    </w:div>
    <w:div w:id="1381981624">
      <w:bodyDiv w:val="1"/>
      <w:marLeft w:val="0"/>
      <w:marRight w:val="0"/>
      <w:marTop w:val="0"/>
      <w:marBottom w:val="0"/>
      <w:divBdr>
        <w:top w:val="none" w:sz="0" w:space="0" w:color="auto"/>
        <w:left w:val="none" w:sz="0" w:space="0" w:color="auto"/>
        <w:bottom w:val="none" w:sz="0" w:space="0" w:color="auto"/>
        <w:right w:val="none" w:sz="0" w:space="0" w:color="auto"/>
      </w:divBdr>
    </w:div>
    <w:div w:id="1681930992">
      <w:bodyDiv w:val="1"/>
      <w:marLeft w:val="0"/>
      <w:marRight w:val="0"/>
      <w:marTop w:val="0"/>
      <w:marBottom w:val="0"/>
      <w:divBdr>
        <w:top w:val="none" w:sz="0" w:space="0" w:color="auto"/>
        <w:left w:val="none" w:sz="0" w:space="0" w:color="auto"/>
        <w:bottom w:val="none" w:sz="0" w:space="0" w:color="auto"/>
        <w:right w:val="none" w:sz="0" w:space="0" w:color="auto"/>
      </w:divBdr>
    </w:div>
    <w:div w:id="17938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01f524-601d-41fa-b056-4cc961d36a7b" xsi:nil="true"/>
    <lcf76f155ced4ddcb4097134ff3c332f xmlns="e1322826-bef6-4fb8-90fc-06c6615f5e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27BE6803029B4489433E7077C2AEC8" ma:contentTypeVersion="11" ma:contentTypeDescription="Vytvoří nový dokument" ma:contentTypeScope="" ma:versionID="78b7ae7e0ef460d3a63717707b8c3a17">
  <xsd:schema xmlns:xsd="http://www.w3.org/2001/XMLSchema" xmlns:xs="http://www.w3.org/2001/XMLSchema" xmlns:p="http://schemas.microsoft.com/office/2006/metadata/properties" xmlns:ns2="e1322826-bef6-4fb8-90fc-06c6615f5ec3" xmlns:ns3="d501f524-601d-41fa-b056-4cc961d36a7b" targetNamespace="http://schemas.microsoft.com/office/2006/metadata/properties" ma:root="true" ma:fieldsID="2d31b8c42babaf88a9236cf6afd39f03" ns2:_="" ns3:_="">
    <xsd:import namespace="e1322826-bef6-4fb8-90fc-06c6615f5ec3"/>
    <xsd:import namespace="d501f524-601d-41fa-b056-4cc961d36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22826-bef6-4fb8-90fc-06c6615f5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1f524-601d-41fa-b056-4cc961d36a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f0fdce-5b02-4edb-a367-40994413e4d6}" ma:internalName="TaxCatchAll" ma:showField="CatchAllData" ma:web="d501f524-601d-41fa-b056-4cc961d36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55E8-8A63-4382-ACF8-65217C653113}">
  <ds:schemaRefs>
    <ds:schemaRef ds:uri="http://schemas.microsoft.com/office/2006/metadata/properties"/>
    <ds:schemaRef ds:uri="http://schemas.microsoft.com/office/infopath/2007/PartnerControls"/>
    <ds:schemaRef ds:uri="d501f524-601d-41fa-b056-4cc961d36a7b"/>
    <ds:schemaRef ds:uri="e1322826-bef6-4fb8-90fc-06c6615f5ec3"/>
  </ds:schemaRefs>
</ds:datastoreItem>
</file>

<file path=customXml/itemProps2.xml><?xml version="1.0" encoding="utf-8"?>
<ds:datastoreItem xmlns:ds="http://schemas.openxmlformats.org/officeDocument/2006/customXml" ds:itemID="{7C769738-16B5-4529-B324-9AB3282F3B5F}">
  <ds:schemaRefs>
    <ds:schemaRef ds:uri="http://schemas.microsoft.com/sharepoint/v3/contenttype/forms"/>
  </ds:schemaRefs>
</ds:datastoreItem>
</file>

<file path=customXml/itemProps3.xml><?xml version="1.0" encoding="utf-8"?>
<ds:datastoreItem xmlns:ds="http://schemas.openxmlformats.org/officeDocument/2006/customXml" ds:itemID="{D8B145EC-AFAA-4AB7-9174-8BCA1AD0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22826-bef6-4fb8-90fc-06c6615f5ec3"/>
    <ds:schemaRef ds:uri="d501f524-601d-41fa-b056-4cc961d36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2D9B-9FF3-4990-A552-709F1E80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854</Words>
  <Characters>5043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Smluvní strany</vt:lpstr>
    </vt:vector>
  </TitlesOfParts>
  <Company>Nemocnice Na Homolce</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Jaroslav Borecký</dc:creator>
  <cp:keywords/>
  <cp:lastModifiedBy>Mašterová Hana</cp:lastModifiedBy>
  <cp:revision>2</cp:revision>
  <cp:lastPrinted>2013-12-27T08:56:00Z</cp:lastPrinted>
  <dcterms:created xsi:type="dcterms:W3CDTF">2026-04-08T06:41:00Z</dcterms:created>
  <dcterms:modified xsi:type="dcterms:W3CDTF">2026-04-08T06:41:00Z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2025-09-02T09:02:59Z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d3a75ba4-6f11-437d-b4c3-6025d8c60142</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0x0101008327BE6803029B4489433E7077C2AEC8</vt:lpwstr>
  </property>
</Properties>
</file>