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34128" w14:textId="77777777" w:rsidR="00A701DB" w:rsidRDefault="00844E82">
      <w:pPr>
        <w:pStyle w:val="Bezmezer"/>
        <w:rPr>
          <w:rFonts w:ascii="Arial" w:hAnsi="Arial" w:cs="Arial"/>
          <w:sz w:val="18"/>
        </w:rPr>
      </w:pPr>
      <w:bookmarkStart w:id="0" w:name="_GoBack"/>
      <w:bookmarkEnd w:id="0"/>
      <w:r>
        <w:rPr>
          <w:noProof/>
        </w:rPr>
        <w:drawing>
          <wp:inline distT="0" distB="0" distL="0" distR="0" wp14:anchorId="56C3412C" wp14:editId="56C3412D">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56C34129" w14:textId="77777777" w:rsidR="00A701DB" w:rsidRDefault="00844E82">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UZSVM/A/150551/2026</w:t>
      </w:r>
      <w:r>
        <w:fldChar w:fldCharType="end"/>
      </w:r>
      <w:r>
        <w:rPr>
          <w:rFonts w:ascii="Arial" w:hAnsi="Arial" w:cs="Arial"/>
          <w:sz w:val="18"/>
        </w:rPr>
        <w:t xml:space="preserve"> </w:t>
      </w:r>
    </w:p>
    <w:p w14:paraId="56C3412A" w14:textId="77777777" w:rsidR="00A701DB" w:rsidRDefault="00844E82">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UZSVM/A/148224/2026-SKOM</w:t>
      </w:r>
      <w:r>
        <w:fldChar w:fldCharType="end"/>
      </w:r>
    </w:p>
    <w:p w14:paraId="56C3412B" w14:textId="6C764886" w:rsidR="00A701DB" w:rsidRDefault="00A701DB">
      <w:pPr>
        <w:rPr>
          <w:rFonts w:ascii="Arial" w:hAnsi="Arial" w:cs="Arial"/>
          <w:sz w:val="22"/>
        </w:rPr>
      </w:pPr>
    </w:p>
    <w:p w14:paraId="77BBA3F3" w14:textId="77777777" w:rsidR="00844E82" w:rsidRDefault="00844E82" w:rsidP="00844E82">
      <w:pPr>
        <w:rPr>
          <w:rFonts w:ascii="Arial" w:hAnsi="Arial" w:cs="Arial"/>
          <w:b/>
          <w:bCs/>
          <w:sz w:val="22"/>
          <w:szCs w:val="22"/>
        </w:rPr>
      </w:pPr>
      <w:bookmarkStart w:id="1" w:name="_Hlk172621084"/>
    </w:p>
    <w:p w14:paraId="748D8E38" w14:textId="77777777" w:rsidR="00844E82" w:rsidRDefault="00844E82" w:rsidP="00844E82">
      <w:pPr>
        <w:rPr>
          <w:rFonts w:ascii="Arial" w:hAnsi="Arial" w:cs="Arial"/>
          <w:b/>
          <w:bCs/>
          <w:sz w:val="22"/>
          <w:szCs w:val="22"/>
        </w:rPr>
      </w:pPr>
      <w:r>
        <w:rPr>
          <w:rFonts w:ascii="Arial" w:hAnsi="Arial" w:cs="Arial"/>
          <w:b/>
          <w:bCs/>
          <w:sz w:val="22"/>
          <w:szCs w:val="22"/>
        </w:rPr>
        <w:t xml:space="preserve">Česká </w:t>
      </w:r>
      <w:proofErr w:type="gramStart"/>
      <w:r>
        <w:rPr>
          <w:rFonts w:ascii="Arial" w:hAnsi="Arial" w:cs="Arial"/>
          <w:b/>
          <w:bCs/>
          <w:sz w:val="22"/>
          <w:szCs w:val="22"/>
        </w:rPr>
        <w:t>republika - Úřad</w:t>
      </w:r>
      <w:proofErr w:type="gramEnd"/>
      <w:r>
        <w:rPr>
          <w:rFonts w:ascii="Arial" w:hAnsi="Arial" w:cs="Arial"/>
          <w:b/>
          <w:bCs/>
          <w:sz w:val="22"/>
          <w:szCs w:val="22"/>
        </w:rPr>
        <w:t xml:space="preserve"> pro zastupování státu ve věcech majetkových </w:t>
      </w:r>
    </w:p>
    <w:p w14:paraId="7595FEBD" w14:textId="77777777" w:rsidR="00844E82" w:rsidRDefault="00844E82" w:rsidP="00844E82">
      <w:pPr>
        <w:rPr>
          <w:rFonts w:ascii="Arial" w:hAnsi="Arial" w:cs="Arial"/>
          <w:sz w:val="22"/>
          <w:szCs w:val="22"/>
        </w:rPr>
      </w:pPr>
      <w:r>
        <w:rPr>
          <w:rFonts w:ascii="Arial" w:hAnsi="Arial" w:cs="Arial"/>
          <w:sz w:val="22"/>
          <w:szCs w:val="22"/>
        </w:rPr>
        <w:t xml:space="preserve">se sídlem Rašínovo nábřeží 390/42, 128 00 Praha 2 </w:t>
      </w:r>
    </w:p>
    <w:p w14:paraId="165A975E" w14:textId="77777777" w:rsidR="00844E82" w:rsidRDefault="00844E82" w:rsidP="00844E82">
      <w:pPr>
        <w:jc w:val="both"/>
        <w:rPr>
          <w:rFonts w:ascii="Arial" w:hAnsi="Arial" w:cs="Arial"/>
          <w:sz w:val="22"/>
          <w:szCs w:val="22"/>
        </w:rPr>
      </w:pPr>
      <w:bookmarkStart w:id="2" w:name="_Hlk132108705"/>
      <w:r w:rsidRPr="002D0C61">
        <w:rPr>
          <w:rFonts w:ascii="Arial" w:hAnsi="Arial" w:cs="Arial"/>
          <w:sz w:val="22"/>
          <w:szCs w:val="22"/>
        </w:rPr>
        <w:t xml:space="preserve">za kterou právně jedná </w:t>
      </w:r>
      <w:r>
        <w:rPr>
          <w:rFonts w:ascii="Arial" w:hAnsi="Arial" w:cs="Arial"/>
          <w:sz w:val="22"/>
          <w:szCs w:val="22"/>
        </w:rPr>
        <w:t>Ing. Karel Žáček, vedoucí odboru Odloučené pracoviště Kolín</w:t>
      </w:r>
    </w:p>
    <w:p w14:paraId="2C6DAA9F" w14:textId="77777777" w:rsidR="00844E82" w:rsidRPr="002D0C61" w:rsidRDefault="00844E82" w:rsidP="00844E82">
      <w:pPr>
        <w:jc w:val="both"/>
        <w:rPr>
          <w:rFonts w:ascii="Arial" w:hAnsi="Arial" w:cs="Arial"/>
          <w:sz w:val="22"/>
          <w:szCs w:val="22"/>
        </w:rPr>
      </w:pPr>
      <w:r w:rsidRPr="002D0C61">
        <w:rPr>
          <w:rFonts w:ascii="Arial" w:hAnsi="Arial" w:cs="Arial"/>
          <w:sz w:val="22"/>
          <w:szCs w:val="22"/>
        </w:rPr>
        <w:t>na základě pověření Příkazem č. 6/2019, v platném znění</w:t>
      </w:r>
    </w:p>
    <w:bookmarkEnd w:id="2"/>
    <w:p w14:paraId="06375574" w14:textId="77777777" w:rsidR="00844E82" w:rsidRDefault="00844E82" w:rsidP="00844E82">
      <w:pPr>
        <w:ind w:right="-108"/>
        <w:rPr>
          <w:rFonts w:ascii="Arial" w:hAnsi="Arial" w:cs="Arial"/>
          <w:sz w:val="22"/>
          <w:szCs w:val="22"/>
        </w:rPr>
      </w:pPr>
      <w:r>
        <w:rPr>
          <w:rFonts w:ascii="Arial" w:hAnsi="Arial" w:cs="Arial"/>
          <w:sz w:val="22"/>
          <w:szCs w:val="22"/>
        </w:rPr>
        <w:t>IČO: 69797111</w:t>
      </w:r>
    </w:p>
    <w:p w14:paraId="13D605C1" w14:textId="77777777" w:rsidR="00844E82" w:rsidRDefault="00844E82" w:rsidP="00844E82">
      <w:pPr>
        <w:spacing w:after="240"/>
        <w:jc w:val="both"/>
        <w:rPr>
          <w:rFonts w:ascii="Arial" w:hAnsi="Arial" w:cs="Arial"/>
          <w:sz w:val="22"/>
          <w:szCs w:val="22"/>
        </w:rPr>
      </w:pPr>
      <w:r w:rsidRPr="00086B15">
        <w:rPr>
          <w:rFonts w:ascii="Arial" w:hAnsi="Arial" w:cs="Arial"/>
          <w:sz w:val="22"/>
          <w:szCs w:val="22"/>
        </w:rPr>
        <w:t>(dále jen „</w:t>
      </w:r>
      <w:r w:rsidRPr="00086B15">
        <w:rPr>
          <w:rFonts w:ascii="Arial" w:hAnsi="Arial" w:cs="Arial"/>
          <w:b/>
          <w:sz w:val="22"/>
          <w:szCs w:val="22"/>
        </w:rPr>
        <w:t>předávající</w:t>
      </w:r>
      <w:r w:rsidRPr="00086B15">
        <w:rPr>
          <w:rFonts w:ascii="Arial" w:hAnsi="Arial" w:cs="Arial"/>
          <w:sz w:val="22"/>
          <w:szCs w:val="22"/>
        </w:rPr>
        <w:t>“)</w:t>
      </w:r>
      <w:r>
        <w:rPr>
          <w:rFonts w:ascii="Arial" w:hAnsi="Arial" w:cs="Arial"/>
          <w:sz w:val="22"/>
          <w:szCs w:val="22"/>
        </w:rPr>
        <w:t>,</w:t>
      </w:r>
    </w:p>
    <w:p w14:paraId="14A782F3" w14:textId="77777777" w:rsidR="00844E82" w:rsidRDefault="00844E82" w:rsidP="00844E82">
      <w:pPr>
        <w:spacing w:after="240"/>
        <w:jc w:val="both"/>
        <w:rPr>
          <w:rFonts w:ascii="Arial" w:hAnsi="Arial" w:cs="Arial"/>
          <w:sz w:val="22"/>
          <w:szCs w:val="22"/>
        </w:rPr>
      </w:pPr>
      <w:r w:rsidRPr="00086B15">
        <w:rPr>
          <w:rFonts w:ascii="Arial" w:hAnsi="Arial" w:cs="Arial"/>
          <w:sz w:val="22"/>
          <w:szCs w:val="22"/>
        </w:rPr>
        <w:t>a</w:t>
      </w:r>
    </w:p>
    <w:p w14:paraId="795762D7" w14:textId="77777777" w:rsidR="00844E82" w:rsidRDefault="00844E82" w:rsidP="00844E82">
      <w:pPr>
        <w:jc w:val="both"/>
        <w:rPr>
          <w:rFonts w:ascii="Arial" w:hAnsi="Arial" w:cs="Arial"/>
          <w:b/>
          <w:sz w:val="22"/>
          <w:szCs w:val="22"/>
        </w:rPr>
      </w:pPr>
      <w:r w:rsidRPr="00086B15">
        <w:rPr>
          <w:rFonts w:ascii="Arial" w:hAnsi="Arial" w:cs="Arial"/>
          <w:b/>
          <w:sz w:val="22"/>
          <w:szCs w:val="22"/>
        </w:rPr>
        <w:t>Povodí Labe, státní podnik</w:t>
      </w:r>
    </w:p>
    <w:p w14:paraId="2877C5A6" w14:textId="77777777" w:rsidR="00844E82" w:rsidRDefault="00844E82" w:rsidP="00844E82">
      <w:pPr>
        <w:jc w:val="both"/>
        <w:rPr>
          <w:rFonts w:ascii="Arial" w:hAnsi="Arial" w:cs="Arial"/>
          <w:sz w:val="22"/>
          <w:szCs w:val="22"/>
        </w:rPr>
      </w:pPr>
      <w:r w:rsidRPr="00086B15">
        <w:rPr>
          <w:rFonts w:ascii="Arial" w:hAnsi="Arial" w:cs="Arial"/>
          <w:sz w:val="22"/>
          <w:szCs w:val="22"/>
        </w:rPr>
        <w:t>se sídlem Víta Nejedlého 951/8, Slezské Předměstí, 500 03 Hradec Králové,</w:t>
      </w:r>
    </w:p>
    <w:p w14:paraId="15E62861" w14:textId="77777777" w:rsidR="00844E82" w:rsidRDefault="00844E82" w:rsidP="00844E82">
      <w:pPr>
        <w:jc w:val="both"/>
        <w:rPr>
          <w:rFonts w:ascii="Arial" w:hAnsi="Arial" w:cs="Arial"/>
          <w:sz w:val="22"/>
          <w:szCs w:val="22"/>
        </w:rPr>
      </w:pPr>
      <w:r w:rsidRPr="00086B15">
        <w:rPr>
          <w:rFonts w:ascii="Arial" w:hAnsi="Arial" w:cs="Arial"/>
          <w:sz w:val="22"/>
          <w:szCs w:val="22"/>
        </w:rPr>
        <w:t>zaps</w:t>
      </w:r>
      <w:r>
        <w:rPr>
          <w:rFonts w:ascii="Arial" w:hAnsi="Arial" w:cs="Arial"/>
          <w:sz w:val="22"/>
          <w:szCs w:val="22"/>
        </w:rPr>
        <w:t>aný</w:t>
      </w:r>
      <w:r w:rsidRPr="00086B15">
        <w:rPr>
          <w:rFonts w:ascii="Arial" w:hAnsi="Arial" w:cs="Arial"/>
          <w:sz w:val="22"/>
          <w:szCs w:val="22"/>
        </w:rPr>
        <w:t xml:space="preserve"> v Obchodním rejstříku vedeném Krajským soudem v Hradci Králové, oddíl A, vložka 9473,</w:t>
      </w:r>
    </w:p>
    <w:p w14:paraId="39A7D81F" w14:textId="77777777" w:rsidR="00844E82" w:rsidRDefault="00844E82" w:rsidP="00844E82">
      <w:pPr>
        <w:jc w:val="both"/>
        <w:rPr>
          <w:rFonts w:ascii="Arial" w:hAnsi="Arial" w:cs="Arial"/>
          <w:sz w:val="22"/>
          <w:szCs w:val="22"/>
        </w:rPr>
      </w:pPr>
      <w:r w:rsidRPr="00086B15">
        <w:rPr>
          <w:rFonts w:ascii="Arial" w:hAnsi="Arial" w:cs="Arial"/>
          <w:sz w:val="22"/>
          <w:szCs w:val="22"/>
        </w:rPr>
        <w:t xml:space="preserve">zastoupený </w:t>
      </w:r>
      <w:r w:rsidRPr="00086B15">
        <w:rPr>
          <w:rFonts w:ascii="Arial" w:hAnsi="Arial" w:cs="Arial"/>
          <w:bCs/>
          <w:sz w:val="22"/>
          <w:szCs w:val="22"/>
        </w:rPr>
        <w:t xml:space="preserve">Ing. </w:t>
      </w:r>
      <w:r>
        <w:rPr>
          <w:rFonts w:ascii="Arial" w:hAnsi="Arial" w:cs="Arial"/>
          <w:bCs/>
          <w:sz w:val="22"/>
          <w:szCs w:val="22"/>
        </w:rPr>
        <w:t>Mgr. Danielem Vlkanova, Ph.D., MBA</w:t>
      </w:r>
      <w:r w:rsidRPr="00086B15">
        <w:rPr>
          <w:rFonts w:ascii="Arial" w:hAnsi="Arial" w:cs="Arial"/>
          <w:sz w:val="22"/>
          <w:szCs w:val="22"/>
        </w:rPr>
        <w:t xml:space="preserve">, </w:t>
      </w:r>
      <w:r w:rsidRPr="00086B15">
        <w:rPr>
          <w:rFonts w:ascii="Arial" w:hAnsi="Arial" w:cs="Arial"/>
          <w:bCs/>
          <w:sz w:val="22"/>
          <w:szCs w:val="22"/>
        </w:rPr>
        <w:t>finanční</w:t>
      </w:r>
      <w:r>
        <w:rPr>
          <w:rFonts w:ascii="Arial" w:hAnsi="Arial" w:cs="Arial"/>
          <w:bCs/>
          <w:sz w:val="22"/>
          <w:szCs w:val="22"/>
        </w:rPr>
        <w:t>m</w:t>
      </w:r>
      <w:r w:rsidRPr="00086B15">
        <w:rPr>
          <w:rFonts w:ascii="Arial" w:hAnsi="Arial" w:cs="Arial"/>
          <w:bCs/>
          <w:sz w:val="22"/>
          <w:szCs w:val="22"/>
        </w:rPr>
        <w:t xml:space="preserve"> ředitel</w:t>
      </w:r>
      <w:r>
        <w:rPr>
          <w:rFonts w:ascii="Arial" w:hAnsi="Arial" w:cs="Arial"/>
          <w:bCs/>
          <w:sz w:val="22"/>
          <w:szCs w:val="22"/>
        </w:rPr>
        <w:t>em</w:t>
      </w:r>
      <w:r w:rsidRPr="00086B15">
        <w:rPr>
          <w:rFonts w:ascii="Arial" w:hAnsi="Arial" w:cs="Arial"/>
          <w:bCs/>
          <w:sz w:val="22"/>
          <w:szCs w:val="22"/>
        </w:rPr>
        <w:t>,</w:t>
      </w:r>
      <w:r>
        <w:rPr>
          <w:rFonts w:ascii="Arial" w:hAnsi="Arial" w:cs="Arial"/>
          <w:bCs/>
          <w:sz w:val="22"/>
          <w:szCs w:val="22"/>
        </w:rPr>
        <w:t xml:space="preserve"> </w:t>
      </w:r>
      <w:r w:rsidRPr="00086B15">
        <w:rPr>
          <w:rFonts w:ascii="Arial" w:hAnsi="Arial" w:cs="Arial"/>
          <w:bCs/>
          <w:sz w:val="22"/>
          <w:szCs w:val="22"/>
        </w:rPr>
        <w:t xml:space="preserve">na základě pověření </w:t>
      </w:r>
      <w:proofErr w:type="spellStart"/>
      <w:r w:rsidRPr="00086B15">
        <w:rPr>
          <w:rFonts w:ascii="Arial" w:hAnsi="Arial" w:cs="Arial"/>
          <w:bCs/>
          <w:sz w:val="22"/>
          <w:szCs w:val="22"/>
        </w:rPr>
        <w:t>ev.č</w:t>
      </w:r>
      <w:proofErr w:type="spellEnd"/>
      <w:r w:rsidRPr="00086B15">
        <w:rPr>
          <w:rFonts w:ascii="Arial" w:hAnsi="Arial" w:cs="Arial"/>
          <w:bCs/>
          <w:sz w:val="22"/>
          <w:szCs w:val="22"/>
        </w:rPr>
        <w:t>. 3</w:t>
      </w:r>
      <w:r>
        <w:rPr>
          <w:rFonts w:ascii="Arial" w:hAnsi="Arial" w:cs="Arial"/>
          <w:bCs/>
          <w:sz w:val="22"/>
          <w:szCs w:val="22"/>
        </w:rPr>
        <w:t>7</w:t>
      </w:r>
      <w:r w:rsidRPr="00086B15">
        <w:rPr>
          <w:rFonts w:ascii="Arial" w:hAnsi="Arial" w:cs="Arial"/>
          <w:bCs/>
          <w:sz w:val="22"/>
          <w:szCs w:val="22"/>
        </w:rPr>
        <w:t>/20</w:t>
      </w:r>
      <w:r>
        <w:rPr>
          <w:rFonts w:ascii="Arial" w:hAnsi="Arial" w:cs="Arial"/>
          <w:bCs/>
          <w:sz w:val="22"/>
          <w:szCs w:val="22"/>
        </w:rPr>
        <w:t>2</w:t>
      </w:r>
      <w:r w:rsidRPr="00086B15">
        <w:rPr>
          <w:rFonts w:ascii="Arial" w:hAnsi="Arial" w:cs="Arial"/>
          <w:bCs/>
          <w:sz w:val="22"/>
          <w:szCs w:val="22"/>
        </w:rPr>
        <w:t xml:space="preserve">1 ze dne </w:t>
      </w:r>
      <w:r>
        <w:rPr>
          <w:rFonts w:ascii="Arial" w:hAnsi="Arial" w:cs="Arial"/>
          <w:bCs/>
          <w:sz w:val="22"/>
          <w:szCs w:val="22"/>
        </w:rPr>
        <w:t>1</w:t>
      </w:r>
      <w:r w:rsidRPr="00086B15">
        <w:rPr>
          <w:rFonts w:ascii="Arial" w:hAnsi="Arial" w:cs="Arial"/>
          <w:bCs/>
          <w:sz w:val="22"/>
          <w:szCs w:val="22"/>
        </w:rPr>
        <w:t>.</w:t>
      </w:r>
      <w:r>
        <w:rPr>
          <w:rFonts w:ascii="Arial" w:hAnsi="Arial" w:cs="Arial"/>
          <w:bCs/>
          <w:sz w:val="22"/>
          <w:szCs w:val="22"/>
        </w:rPr>
        <w:t> 5</w:t>
      </w:r>
      <w:r w:rsidRPr="00086B15">
        <w:rPr>
          <w:rFonts w:ascii="Arial" w:hAnsi="Arial" w:cs="Arial"/>
          <w:bCs/>
          <w:sz w:val="22"/>
          <w:szCs w:val="22"/>
        </w:rPr>
        <w:t>. 20</w:t>
      </w:r>
      <w:r>
        <w:rPr>
          <w:rFonts w:ascii="Arial" w:hAnsi="Arial" w:cs="Arial"/>
          <w:bCs/>
          <w:sz w:val="22"/>
          <w:szCs w:val="22"/>
        </w:rPr>
        <w:t>2</w:t>
      </w:r>
      <w:r w:rsidRPr="00086B15">
        <w:rPr>
          <w:rFonts w:ascii="Arial" w:hAnsi="Arial" w:cs="Arial"/>
          <w:bCs/>
          <w:sz w:val="22"/>
          <w:szCs w:val="22"/>
        </w:rPr>
        <w:t>1,</w:t>
      </w:r>
    </w:p>
    <w:p w14:paraId="771AF0A7" w14:textId="77777777" w:rsidR="00844E82" w:rsidRDefault="00844E82" w:rsidP="00844E82">
      <w:pPr>
        <w:jc w:val="both"/>
        <w:rPr>
          <w:rFonts w:ascii="Arial" w:hAnsi="Arial" w:cs="Arial"/>
          <w:sz w:val="22"/>
          <w:szCs w:val="22"/>
        </w:rPr>
      </w:pPr>
      <w:r w:rsidRPr="00086B15">
        <w:rPr>
          <w:rFonts w:ascii="Arial" w:hAnsi="Arial" w:cs="Arial"/>
          <w:sz w:val="22"/>
          <w:szCs w:val="22"/>
        </w:rPr>
        <w:t>IČO: 70890005, DIČ: CZ70890005</w:t>
      </w:r>
    </w:p>
    <w:p w14:paraId="5F8F3D3D" w14:textId="77777777" w:rsidR="00844E82" w:rsidRDefault="00844E82" w:rsidP="00844E82">
      <w:pPr>
        <w:jc w:val="both"/>
        <w:rPr>
          <w:rFonts w:ascii="Arial" w:hAnsi="Arial" w:cs="Arial"/>
          <w:sz w:val="22"/>
          <w:szCs w:val="22"/>
        </w:rPr>
      </w:pPr>
      <w:r w:rsidRPr="00086B15">
        <w:rPr>
          <w:rFonts w:ascii="Arial" w:hAnsi="Arial" w:cs="Arial"/>
          <w:sz w:val="22"/>
          <w:szCs w:val="22"/>
        </w:rPr>
        <w:t>(dále jen „</w:t>
      </w:r>
      <w:r w:rsidRPr="00086B15">
        <w:rPr>
          <w:rFonts w:ascii="Arial" w:hAnsi="Arial" w:cs="Arial"/>
          <w:b/>
          <w:sz w:val="22"/>
          <w:szCs w:val="22"/>
        </w:rPr>
        <w:t>přejímající</w:t>
      </w:r>
      <w:r w:rsidRPr="00086B15">
        <w:rPr>
          <w:rFonts w:ascii="Arial" w:hAnsi="Arial" w:cs="Arial"/>
          <w:sz w:val="22"/>
          <w:szCs w:val="22"/>
        </w:rPr>
        <w:t>“)</w:t>
      </w:r>
      <w:r>
        <w:rPr>
          <w:rFonts w:ascii="Arial" w:hAnsi="Arial" w:cs="Arial"/>
          <w:sz w:val="22"/>
          <w:szCs w:val="22"/>
        </w:rPr>
        <w:t>,</w:t>
      </w:r>
    </w:p>
    <w:p w14:paraId="2A1B5620" w14:textId="77777777" w:rsidR="00844E82" w:rsidRDefault="00844E82" w:rsidP="00844E82">
      <w:pPr>
        <w:spacing w:after="240"/>
        <w:jc w:val="both"/>
        <w:rPr>
          <w:rFonts w:ascii="Arial" w:hAnsi="Arial" w:cs="Arial"/>
          <w:sz w:val="22"/>
          <w:szCs w:val="22"/>
        </w:rPr>
      </w:pPr>
    </w:p>
    <w:p w14:paraId="75C3C7F6" w14:textId="77777777" w:rsidR="00844E82" w:rsidRDefault="00844E82" w:rsidP="00844E82">
      <w:pPr>
        <w:spacing w:after="240"/>
        <w:jc w:val="both"/>
        <w:rPr>
          <w:rFonts w:ascii="Arial" w:hAnsi="Arial" w:cs="Arial"/>
          <w:sz w:val="22"/>
          <w:szCs w:val="22"/>
        </w:rPr>
      </w:pPr>
      <w:r w:rsidRPr="00086B15">
        <w:rPr>
          <w:rFonts w:ascii="Arial" w:hAnsi="Arial" w:cs="Arial"/>
          <w:sz w:val="22"/>
          <w:szCs w:val="22"/>
        </w:rPr>
        <w:t xml:space="preserve">uzavírají podle ustanovení § 1746 odst. 2 zákona č. 89/2012 Sb., občanský zákoník, ve znění pozdějších předpisů, § 55 odst. 3 zákona č. 219/2000 Sb., o majetku České republiky a jejím vystupování v právních vztazích, ve znění pozdějších předpisů (dále jen „zákon č. 219/2000 Sb.“), § 14 a násl. vyhlášky č. 62/2001 Sb., o hospodaření organizačních složek státu a státních organizací s majetkem státu (dále jen „vyhláška č. 62/2001 Sb.“), zákona č. 77/1997 Sb., o státním podniku, ve znění pozdějších předpisů, a </w:t>
      </w:r>
      <w:r w:rsidRPr="00086B15">
        <w:rPr>
          <w:rFonts w:ascii="Arial" w:hAnsi="Arial"/>
          <w:color w:val="000000"/>
          <w:sz w:val="22"/>
          <w:szCs w:val="22"/>
        </w:rPr>
        <w:t>s přihlédnutím k ustanovením zákona č. 254/2001 Sb., o</w:t>
      </w:r>
      <w:r>
        <w:rPr>
          <w:rFonts w:ascii="Arial" w:hAnsi="Arial"/>
          <w:color w:val="000000"/>
          <w:sz w:val="22"/>
          <w:szCs w:val="22"/>
        </w:rPr>
        <w:t> </w:t>
      </w:r>
      <w:r w:rsidRPr="00086B15">
        <w:rPr>
          <w:rFonts w:ascii="Arial" w:hAnsi="Arial"/>
          <w:color w:val="000000"/>
          <w:sz w:val="22"/>
          <w:szCs w:val="22"/>
        </w:rPr>
        <w:t>vodách a o změně některých zákonů (vodní zákon), ve znění pozdějších předpisů,</w:t>
      </w:r>
      <w:r w:rsidRPr="00086B15">
        <w:rPr>
          <w:rFonts w:ascii="Arial" w:hAnsi="Arial" w:cs="Arial"/>
          <w:sz w:val="22"/>
          <w:szCs w:val="22"/>
        </w:rPr>
        <w:t xml:space="preserve"> tuto</w:t>
      </w:r>
    </w:p>
    <w:p w14:paraId="72DB2D5D" w14:textId="77777777" w:rsidR="00844E82" w:rsidRPr="00086B15" w:rsidRDefault="00844E82" w:rsidP="00844E82">
      <w:pPr>
        <w:spacing w:after="240"/>
        <w:jc w:val="center"/>
        <w:rPr>
          <w:rFonts w:ascii="Arial" w:hAnsi="Arial" w:cs="Arial"/>
          <w:b/>
          <w:caps/>
          <w:sz w:val="28"/>
          <w:szCs w:val="28"/>
        </w:rPr>
      </w:pPr>
      <w:r w:rsidRPr="00086B15">
        <w:rPr>
          <w:rFonts w:ascii="Arial" w:hAnsi="Arial" w:cs="Arial"/>
          <w:b/>
          <w:caps/>
          <w:spacing w:val="60"/>
          <w:sz w:val="28"/>
          <w:szCs w:val="28"/>
        </w:rPr>
        <w:t>smlouvu o změně příslušnosti hospodařit s majetkem státu na právo hospodařit s majetkem státu</w:t>
      </w:r>
    </w:p>
    <w:p w14:paraId="5D683282" w14:textId="4CFA0615" w:rsidR="00844E82" w:rsidRPr="00086B15" w:rsidRDefault="00844E82" w:rsidP="00844E82">
      <w:pPr>
        <w:spacing w:after="240"/>
        <w:jc w:val="center"/>
        <w:rPr>
          <w:rFonts w:ascii="Arial" w:hAnsi="Arial" w:cs="Arial"/>
          <w:sz w:val="22"/>
          <w:szCs w:val="22"/>
        </w:rPr>
      </w:pPr>
      <w:r w:rsidRPr="00086B15">
        <w:rPr>
          <w:rFonts w:ascii="Arial" w:hAnsi="Arial" w:cs="Arial"/>
          <w:b/>
          <w:sz w:val="22"/>
          <w:szCs w:val="22"/>
        </w:rPr>
        <w:t>Č. j. UZSVM</w:t>
      </w:r>
      <w:r>
        <w:rPr>
          <w:rFonts w:ascii="Arial" w:hAnsi="Arial" w:cs="Arial"/>
          <w:b/>
          <w:sz w:val="22"/>
          <w:szCs w:val="22"/>
        </w:rPr>
        <w:t>/A/148224/2026-SKOM</w:t>
      </w:r>
    </w:p>
    <w:p w14:paraId="01668A75" w14:textId="77777777" w:rsidR="00844E82" w:rsidRDefault="00844E82" w:rsidP="00844E82">
      <w:pPr>
        <w:spacing w:after="240"/>
        <w:jc w:val="center"/>
        <w:rPr>
          <w:rFonts w:ascii="Arial" w:hAnsi="Arial" w:cs="Arial"/>
          <w:i/>
          <w:sz w:val="22"/>
          <w:szCs w:val="22"/>
        </w:rPr>
      </w:pPr>
      <w:r>
        <w:rPr>
          <w:rFonts w:ascii="Arial" w:hAnsi="Arial" w:cs="Arial"/>
          <w:b/>
          <w:sz w:val="22"/>
          <w:szCs w:val="22"/>
        </w:rPr>
        <w:t>č.:26DOD99940018</w:t>
      </w:r>
    </w:p>
    <w:p w14:paraId="55DA6D30" w14:textId="77777777" w:rsidR="00844E82" w:rsidRPr="00086B15" w:rsidRDefault="00844E82" w:rsidP="00844E82">
      <w:pPr>
        <w:spacing w:after="240"/>
        <w:jc w:val="center"/>
        <w:rPr>
          <w:rFonts w:ascii="Arial" w:hAnsi="Arial" w:cs="Arial"/>
          <w:b/>
          <w:sz w:val="22"/>
          <w:szCs w:val="22"/>
        </w:rPr>
      </w:pPr>
    </w:p>
    <w:p w14:paraId="379BBD9B" w14:textId="77777777" w:rsidR="00844E82" w:rsidRDefault="00844E82" w:rsidP="00844E82">
      <w:pPr>
        <w:jc w:val="center"/>
        <w:rPr>
          <w:rFonts w:ascii="Arial" w:hAnsi="Arial" w:cs="Arial"/>
          <w:b/>
          <w:sz w:val="22"/>
          <w:szCs w:val="22"/>
        </w:rPr>
      </w:pPr>
      <w:r w:rsidRPr="00086B15">
        <w:rPr>
          <w:rFonts w:ascii="Arial" w:hAnsi="Arial" w:cs="Arial"/>
          <w:b/>
          <w:sz w:val="22"/>
          <w:szCs w:val="22"/>
        </w:rPr>
        <w:t>Čl. I.</w:t>
      </w:r>
    </w:p>
    <w:p w14:paraId="6CC5A937" w14:textId="77777777" w:rsidR="00844E82" w:rsidRDefault="00844E82" w:rsidP="00844E82">
      <w:pPr>
        <w:jc w:val="center"/>
        <w:rPr>
          <w:rFonts w:ascii="Arial" w:hAnsi="Arial" w:cs="Arial"/>
          <w:b/>
          <w:sz w:val="22"/>
          <w:szCs w:val="22"/>
        </w:rPr>
      </w:pPr>
    </w:p>
    <w:p w14:paraId="75F98EE0" w14:textId="77777777" w:rsidR="00844E82" w:rsidRPr="001F5155" w:rsidRDefault="00844E82" w:rsidP="00844E82">
      <w:pPr>
        <w:pStyle w:val="Odstavecseseznamem"/>
        <w:numPr>
          <w:ilvl w:val="0"/>
          <w:numId w:val="1"/>
        </w:numPr>
        <w:spacing w:after="120"/>
        <w:contextualSpacing w:val="0"/>
        <w:jc w:val="both"/>
        <w:rPr>
          <w:rFonts w:ascii="Arial" w:hAnsi="Arial" w:cs="Arial"/>
          <w:sz w:val="22"/>
          <w:szCs w:val="22"/>
        </w:rPr>
      </w:pPr>
      <w:r w:rsidRPr="001F5155">
        <w:rPr>
          <w:rFonts w:ascii="Arial" w:hAnsi="Arial" w:cs="Arial"/>
          <w:sz w:val="22"/>
          <w:szCs w:val="22"/>
        </w:rPr>
        <w:t xml:space="preserve">Česká republika je </w:t>
      </w:r>
      <w:r>
        <w:rPr>
          <w:rFonts w:ascii="Arial" w:hAnsi="Arial" w:cs="Arial"/>
          <w:sz w:val="22"/>
          <w:szCs w:val="22"/>
        </w:rPr>
        <w:t xml:space="preserve">vlastníkem </w:t>
      </w:r>
      <w:r w:rsidRPr="001F5155">
        <w:rPr>
          <w:rFonts w:ascii="Arial" w:hAnsi="Arial" w:cs="Arial"/>
          <w:sz w:val="22"/>
          <w:szCs w:val="22"/>
        </w:rPr>
        <w:t>níže uveden</w:t>
      </w:r>
      <w:r>
        <w:rPr>
          <w:rFonts w:ascii="Arial" w:hAnsi="Arial" w:cs="Arial"/>
          <w:sz w:val="22"/>
          <w:szCs w:val="22"/>
        </w:rPr>
        <w:t>ého</w:t>
      </w:r>
      <w:r w:rsidRPr="001F5155">
        <w:rPr>
          <w:rFonts w:ascii="Arial" w:hAnsi="Arial" w:cs="Arial"/>
          <w:sz w:val="22"/>
          <w:szCs w:val="22"/>
        </w:rPr>
        <w:t xml:space="preserve"> nemovit</w:t>
      </w:r>
      <w:r>
        <w:rPr>
          <w:rFonts w:ascii="Arial" w:hAnsi="Arial" w:cs="Arial"/>
          <w:sz w:val="22"/>
          <w:szCs w:val="22"/>
        </w:rPr>
        <w:t>ého</w:t>
      </w:r>
      <w:r w:rsidRPr="001F5155">
        <w:rPr>
          <w:rFonts w:ascii="Arial" w:hAnsi="Arial" w:cs="Arial"/>
          <w:sz w:val="22"/>
          <w:szCs w:val="22"/>
        </w:rPr>
        <w:t xml:space="preserve"> majetku:</w:t>
      </w:r>
    </w:p>
    <w:p w14:paraId="01EB16CC" w14:textId="77777777" w:rsidR="00844E82" w:rsidRPr="00484084" w:rsidRDefault="00844E82" w:rsidP="00844E82">
      <w:pPr>
        <w:pStyle w:val="Nadpis2"/>
        <w:ind w:left="360"/>
        <w:jc w:val="both"/>
        <w:rPr>
          <w:rFonts w:ascii="Arial" w:hAnsi="Arial" w:cs="Arial"/>
          <w:i/>
          <w:color w:val="auto"/>
          <w:sz w:val="22"/>
          <w:szCs w:val="22"/>
        </w:rPr>
      </w:pPr>
      <w:r w:rsidRPr="00484084">
        <w:rPr>
          <w:rFonts w:ascii="Arial" w:hAnsi="Arial" w:cs="Arial"/>
          <w:color w:val="auto"/>
          <w:sz w:val="22"/>
          <w:szCs w:val="22"/>
        </w:rPr>
        <w:t>Pozem</w:t>
      </w:r>
      <w:r>
        <w:rPr>
          <w:rFonts w:ascii="Arial" w:hAnsi="Arial" w:cs="Arial"/>
          <w:color w:val="auto"/>
          <w:sz w:val="22"/>
          <w:szCs w:val="22"/>
        </w:rPr>
        <w:t>e</w:t>
      </w:r>
      <w:r w:rsidRPr="00484084">
        <w:rPr>
          <w:rFonts w:ascii="Arial" w:hAnsi="Arial" w:cs="Arial"/>
          <w:color w:val="auto"/>
          <w:sz w:val="22"/>
          <w:szCs w:val="22"/>
        </w:rPr>
        <w:t>k:</w:t>
      </w:r>
    </w:p>
    <w:p w14:paraId="32D6477C" w14:textId="77777777" w:rsidR="00844E82" w:rsidRPr="00985EDF" w:rsidRDefault="00844E82" w:rsidP="00844E82">
      <w:pPr>
        <w:numPr>
          <w:ilvl w:val="0"/>
          <w:numId w:val="5"/>
        </w:numPr>
        <w:tabs>
          <w:tab w:val="clear" w:pos="644"/>
          <w:tab w:val="num" w:pos="709"/>
        </w:tabs>
        <w:spacing w:after="60"/>
        <w:ind w:left="709" w:right="16" w:hanging="283"/>
        <w:jc w:val="both"/>
        <w:rPr>
          <w:rFonts w:ascii="Arial" w:hAnsi="Arial" w:cs="Arial"/>
          <w:b/>
          <w:sz w:val="22"/>
          <w:szCs w:val="22"/>
        </w:rPr>
      </w:pPr>
      <w:r w:rsidRPr="00DA13BD">
        <w:rPr>
          <w:rFonts w:ascii="Arial" w:hAnsi="Arial" w:cs="Arial"/>
          <w:b/>
          <w:sz w:val="22"/>
          <w:szCs w:val="22"/>
        </w:rPr>
        <w:t xml:space="preserve">pozemková parcela č. </w:t>
      </w:r>
      <w:r>
        <w:rPr>
          <w:rFonts w:ascii="Arial" w:hAnsi="Arial" w:cs="Arial"/>
          <w:b/>
          <w:sz w:val="22"/>
          <w:szCs w:val="22"/>
        </w:rPr>
        <w:t>437</w:t>
      </w:r>
      <w:r>
        <w:rPr>
          <w:rFonts w:ascii="Arial" w:hAnsi="Arial" w:cs="Arial"/>
          <w:sz w:val="22"/>
          <w:szCs w:val="22"/>
        </w:rPr>
        <w:t>, druh pozemku – ostatní plocha, způsob využití – jiná plocha, o výměře 377 m</w:t>
      </w:r>
      <w:r>
        <w:rPr>
          <w:rFonts w:ascii="Arial" w:hAnsi="Arial" w:cs="Arial"/>
          <w:sz w:val="22"/>
          <w:szCs w:val="22"/>
          <w:vertAlign w:val="superscript"/>
        </w:rPr>
        <w:t>2</w:t>
      </w:r>
      <w:r>
        <w:rPr>
          <w:rFonts w:ascii="Arial" w:hAnsi="Arial" w:cs="Arial"/>
          <w:sz w:val="22"/>
          <w:szCs w:val="22"/>
        </w:rPr>
        <w:t xml:space="preserve">, účetní hodnota 305.912,88 Kč </w:t>
      </w:r>
    </w:p>
    <w:p w14:paraId="61811C71" w14:textId="77777777" w:rsidR="00844E82" w:rsidRDefault="00844E82" w:rsidP="00844E82">
      <w:pPr>
        <w:pStyle w:val="Textvbloku"/>
        <w:ind w:left="426" w:right="16"/>
        <w:rPr>
          <w:rFonts w:ascii="Arial" w:hAnsi="Arial" w:cs="Arial"/>
          <w:sz w:val="22"/>
          <w:szCs w:val="22"/>
        </w:rPr>
      </w:pPr>
    </w:p>
    <w:p w14:paraId="312CF4F7" w14:textId="77777777" w:rsidR="00844E82" w:rsidRDefault="00844E82" w:rsidP="00844E82">
      <w:pPr>
        <w:pStyle w:val="Textvbloku"/>
        <w:ind w:left="426" w:right="16"/>
        <w:rPr>
          <w:rFonts w:ascii="Arial" w:hAnsi="Arial" w:cs="Arial"/>
          <w:sz w:val="22"/>
          <w:szCs w:val="22"/>
        </w:rPr>
      </w:pPr>
      <w:r>
        <w:rPr>
          <w:rFonts w:ascii="Arial" w:hAnsi="Arial" w:cs="Arial"/>
          <w:sz w:val="22"/>
          <w:szCs w:val="22"/>
        </w:rPr>
        <w:t>zapsaný na listu vlastnictví č. 60000 pro katastrální území Žehuň, obec Žehuň, v katastru nemovitostí vedeném Katastrálním úřadem pro Středočeský kraj, Katastrálním pracovištěm Kolín</w:t>
      </w:r>
      <w:r w:rsidRPr="00484084">
        <w:rPr>
          <w:rFonts w:ascii="Arial" w:hAnsi="Arial" w:cs="Arial"/>
          <w:bCs/>
          <w:sz w:val="22"/>
          <w:szCs w:val="22"/>
        </w:rPr>
        <w:t xml:space="preserve"> (dále jen „</w:t>
      </w:r>
      <w:r w:rsidRPr="00484084">
        <w:rPr>
          <w:rFonts w:ascii="Arial" w:hAnsi="Arial" w:cs="Arial"/>
          <w:b/>
          <w:bCs/>
          <w:sz w:val="22"/>
          <w:szCs w:val="22"/>
        </w:rPr>
        <w:t>předávaný majetek</w:t>
      </w:r>
      <w:r w:rsidRPr="00484084">
        <w:rPr>
          <w:rFonts w:ascii="Arial" w:hAnsi="Arial" w:cs="Arial"/>
          <w:bCs/>
          <w:sz w:val="22"/>
          <w:szCs w:val="22"/>
        </w:rPr>
        <w:t>“)</w:t>
      </w:r>
      <w:r w:rsidRPr="00484084">
        <w:rPr>
          <w:rFonts w:ascii="Arial" w:hAnsi="Arial" w:cs="Arial"/>
          <w:sz w:val="22"/>
          <w:szCs w:val="22"/>
        </w:rPr>
        <w:t>.</w:t>
      </w:r>
      <w:r>
        <w:rPr>
          <w:rFonts w:ascii="Arial" w:hAnsi="Arial" w:cs="Arial"/>
          <w:sz w:val="22"/>
          <w:szCs w:val="22"/>
        </w:rPr>
        <w:t xml:space="preserve"> </w:t>
      </w:r>
    </w:p>
    <w:p w14:paraId="24BE805F" w14:textId="77777777" w:rsidR="00844E82" w:rsidRPr="00484084" w:rsidRDefault="00844E82" w:rsidP="00844E82">
      <w:pPr>
        <w:pStyle w:val="Textvbloku"/>
        <w:ind w:left="426" w:right="16"/>
        <w:rPr>
          <w:rFonts w:ascii="Arial" w:hAnsi="Arial" w:cs="Arial"/>
          <w:sz w:val="22"/>
          <w:szCs w:val="22"/>
        </w:rPr>
      </w:pPr>
    </w:p>
    <w:p w14:paraId="3B4F91C8" w14:textId="2EC83842" w:rsidR="00844E82" w:rsidRDefault="00844E82" w:rsidP="00844E82">
      <w:pPr>
        <w:pStyle w:val="Odstavecseseznamem"/>
        <w:numPr>
          <w:ilvl w:val="0"/>
          <w:numId w:val="1"/>
        </w:numPr>
        <w:spacing w:after="240"/>
        <w:contextualSpacing w:val="0"/>
        <w:jc w:val="both"/>
        <w:rPr>
          <w:rFonts w:ascii="Arial" w:hAnsi="Arial" w:cs="Arial"/>
          <w:sz w:val="22"/>
          <w:szCs w:val="22"/>
        </w:rPr>
      </w:pPr>
      <w:r w:rsidRPr="001F5155">
        <w:rPr>
          <w:rFonts w:ascii="Arial" w:hAnsi="Arial" w:cs="Arial"/>
          <w:sz w:val="22"/>
          <w:szCs w:val="22"/>
        </w:rPr>
        <w:t xml:space="preserve">Předávající </w:t>
      </w:r>
      <w:r w:rsidRPr="001F5155">
        <w:rPr>
          <w:rFonts w:ascii="Arial" w:hAnsi="Arial" w:cs="Arial"/>
          <w:bCs/>
          <w:sz w:val="22"/>
          <w:szCs w:val="22"/>
        </w:rPr>
        <w:t>je na základě</w:t>
      </w:r>
      <w:r>
        <w:rPr>
          <w:rFonts w:ascii="Arial" w:hAnsi="Arial" w:cs="Arial"/>
          <w:bCs/>
          <w:sz w:val="22"/>
          <w:szCs w:val="22"/>
        </w:rPr>
        <w:t xml:space="preserve"> </w:t>
      </w:r>
      <w:r>
        <w:rPr>
          <w:rFonts w:ascii="Arial" w:hAnsi="Arial" w:cs="Arial"/>
          <w:sz w:val="22"/>
          <w:szCs w:val="22"/>
        </w:rPr>
        <w:t xml:space="preserve">ustanovení </w:t>
      </w:r>
      <w:r w:rsidRPr="00756BBF">
        <w:rPr>
          <w:rFonts w:ascii="Arial" w:hAnsi="Arial" w:cs="Arial"/>
          <w:sz w:val="22"/>
          <w:szCs w:val="22"/>
        </w:rPr>
        <w:t xml:space="preserve">§ 10 písm. b) zákona č. 219/2000 Sb. příslušný hospodařit </w:t>
      </w:r>
      <w:r>
        <w:rPr>
          <w:rFonts w:ascii="Arial" w:hAnsi="Arial" w:cs="Arial"/>
          <w:sz w:val="22"/>
          <w:szCs w:val="22"/>
        </w:rPr>
        <w:t xml:space="preserve">s předmětným majetkem </w:t>
      </w:r>
      <w:r w:rsidRPr="00756BBF">
        <w:rPr>
          <w:rFonts w:ascii="Arial" w:hAnsi="Arial" w:cs="Arial"/>
          <w:sz w:val="22"/>
          <w:szCs w:val="22"/>
        </w:rPr>
        <w:t>ve smyslu ustanovení § 11</w:t>
      </w:r>
      <w:r>
        <w:rPr>
          <w:rFonts w:ascii="Arial" w:hAnsi="Arial" w:cs="Arial"/>
          <w:sz w:val="22"/>
          <w:szCs w:val="22"/>
        </w:rPr>
        <w:t xml:space="preserve"> a od 2. 1. 2026 ve smyslu ustanovení § 9 </w:t>
      </w:r>
      <w:r w:rsidRPr="00756BBF">
        <w:rPr>
          <w:rFonts w:ascii="Arial" w:hAnsi="Arial" w:cs="Arial"/>
          <w:sz w:val="22"/>
          <w:szCs w:val="22"/>
        </w:rPr>
        <w:t>zákona č. 219/2000 Sb.</w:t>
      </w:r>
    </w:p>
    <w:p w14:paraId="522313A4" w14:textId="77777777" w:rsidR="00844E82" w:rsidRDefault="00844E82" w:rsidP="00844E82">
      <w:pPr>
        <w:pStyle w:val="Odstavecseseznamem"/>
        <w:spacing w:after="240"/>
        <w:ind w:left="360"/>
        <w:contextualSpacing w:val="0"/>
        <w:jc w:val="both"/>
        <w:rPr>
          <w:rFonts w:ascii="Arial" w:hAnsi="Arial" w:cs="Arial"/>
          <w:sz w:val="22"/>
          <w:szCs w:val="22"/>
        </w:rPr>
      </w:pPr>
    </w:p>
    <w:p w14:paraId="76987441" w14:textId="77777777" w:rsidR="00844E82" w:rsidRDefault="00844E82" w:rsidP="00844E82">
      <w:pPr>
        <w:spacing w:after="120"/>
        <w:jc w:val="center"/>
        <w:rPr>
          <w:rFonts w:ascii="Arial" w:hAnsi="Arial" w:cs="Arial"/>
          <w:b/>
          <w:sz w:val="22"/>
          <w:szCs w:val="22"/>
        </w:rPr>
      </w:pPr>
      <w:r w:rsidRPr="00086B15">
        <w:rPr>
          <w:rFonts w:ascii="Arial" w:hAnsi="Arial" w:cs="Arial"/>
          <w:b/>
          <w:sz w:val="22"/>
          <w:szCs w:val="22"/>
        </w:rPr>
        <w:lastRenderedPageBreak/>
        <w:t>Čl. II.</w:t>
      </w:r>
    </w:p>
    <w:p w14:paraId="51B0D035" w14:textId="77777777" w:rsidR="00844E82" w:rsidRPr="001F5155" w:rsidRDefault="00844E82" w:rsidP="00844E82">
      <w:pPr>
        <w:pStyle w:val="Odstavecseseznamem"/>
        <w:numPr>
          <w:ilvl w:val="0"/>
          <w:numId w:val="2"/>
        </w:numPr>
        <w:spacing w:after="120"/>
        <w:contextualSpacing w:val="0"/>
        <w:jc w:val="both"/>
        <w:rPr>
          <w:rFonts w:ascii="Arial" w:hAnsi="Arial" w:cs="Arial"/>
          <w:sz w:val="22"/>
          <w:szCs w:val="22"/>
        </w:rPr>
      </w:pPr>
      <w:r w:rsidRPr="001F5155">
        <w:rPr>
          <w:rFonts w:ascii="Arial" w:hAnsi="Arial" w:cs="Arial"/>
          <w:sz w:val="22"/>
          <w:szCs w:val="22"/>
        </w:rPr>
        <w:t>Předávající předává přejímajícímu předávaný majetek a přejímající předávaný majetek od předávajícího přejímá.</w:t>
      </w:r>
    </w:p>
    <w:p w14:paraId="07305EFE" w14:textId="77777777" w:rsidR="00844E82" w:rsidRPr="00D0797F" w:rsidRDefault="00844E82" w:rsidP="00844E82">
      <w:pPr>
        <w:pStyle w:val="Odstavecseseznamem"/>
        <w:numPr>
          <w:ilvl w:val="0"/>
          <w:numId w:val="2"/>
        </w:numPr>
        <w:spacing w:after="120"/>
        <w:contextualSpacing w:val="0"/>
        <w:jc w:val="both"/>
        <w:rPr>
          <w:rFonts w:ascii="Arial" w:hAnsi="Arial"/>
          <w:sz w:val="22"/>
          <w:szCs w:val="22"/>
        </w:rPr>
      </w:pPr>
      <w:r w:rsidRPr="00D0797F">
        <w:rPr>
          <w:rFonts w:ascii="Arial" w:hAnsi="Arial" w:cs="Arial"/>
          <w:sz w:val="22"/>
          <w:szCs w:val="22"/>
        </w:rPr>
        <w:t xml:space="preserve">Přejímající potřebuje předávaný majetek k zabezpečení výkonu své působnosti. </w:t>
      </w:r>
      <w:r>
        <w:rPr>
          <w:rFonts w:ascii="Arial" w:hAnsi="Arial" w:cs="Arial"/>
          <w:sz w:val="22"/>
          <w:szCs w:val="22"/>
        </w:rPr>
        <w:t>Na p</w:t>
      </w:r>
      <w:r w:rsidRPr="00D0797F">
        <w:rPr>
          <w:rFonts w:ascii="Arial" w:hAnsi="Arial" w:cs="Arial"/>
          <w:sz w:val="22"/>
          <w:szCs w:val="22"/>
        </w:rPr>
        <w:t>ředávan</w:t>
      </w:r>
      <w:r>
        <w:rPr>
          <w:rFonts w:ascii="Arial" w:hAnsi="Arial" w:cs="Arial"/>
          <w:sz w:val="22"/>
          <w:szCs w:val="22"/>
        </w:rPr>
        <w:t>ém</w:t>
      </w:r>
      <w:r w:rsidRPr="00D0797F">
        <w:rPr>
          <w:rFonts w:ascii="Arial" w:hAnsi="Arial" w:cs="Arial"/>
          <w:sz w:val="22"/>
          <w:szCs w:val="22"/>
        </w:rPr>
        <w:t xml:space="preserve"> majetk</w:t>
      </w:r>
      <w:r>
        <w:rPr>
          <w:rFonts w:ascii="Arial" w:hAnsi="Arial" w:cs="Arial"/>
          <w:sz w:val="22"/>
          <w:szCs w:val="22"/>
        </w:rPr>
        <w:t>u</w:t>
      </w:r>
      <w:r w:rsidRPr="00D0797F">
        <w:rPr>
          <w:rFonts w:ascii="Arial" w:hAnsi="Arial" w:cs="Arial"/>
          <w:sz w:val="22"/>
          <w:szCs w:val="22"/>
        </w:rPr>
        <w:t xml:space="preserve"> se nachází </w:t>
      </w:r>
      <w:r>
        <w:rPr>
          <w:rFonts w:ascii="Arial" w:hAnsi="Arial" w:cs="Arial"/>
          <w:sz w:val="22"/>
          <w:szCs w:val="22"/>
        </w:rPr>
        <w:t xml:space="preserve">koryto </w:t>
      </w:r>
      <w:r w:rsidRPr="00844E82">
        <w:rPr>
          <w:rFonts w:ascii="Arial" w:hAnsi="Arial" w:cs="Arial"/>
          <w:sz w:val="22"/>
          <w:szCs w:val="22"/>
        </w:rPr>
        <w:t xml:space="preserve">a břehová část </w:t>
      </w:r>
      <w:r>
        <w:rPr>
          <w:rFonts w:ascii="Arial" w:hAnsi="Arial" w:cs="Arial"/>
          <w:sz w:val="22"/>
          <w:szCs w:val="22"/>
        </w:rPr>
        <w:t xml:space="preserve">vodního toku Dobšické odlehčovací rameno Cidliny </w:t>
      </w:r>
      <w:r w:rsidRPr="00D0797F">
        <w:rPr>
          <w:rFonts w:ascii="Arial" w:hAnsi="Arial" w:cs="Arial"/>
          <w:sz w:val="22"/>
          <w:szCs w:val="22"/>
        </w:rPr>
        <w:t>IDVT 10</w:t>
      </w:r>
      <w:r>
        <w:rPr>
          <w:rFonts w:ascii="Arial" w:hAnsi="Arial" w:cs="Arial"/>
          <w:sz w:val="22"/>
          <w:szCs w:val="22"/>
        </w:rPr>
        <w:t>185665, jehož správu vykonává přejímající.</w:t>
      </w:r>
    </w:p>
    <w:p w14:paraId="65B8F2AA" w14:textId="77777777" w:rsidR="00844E82" w:rsidRDefault="00844E82" w:rsidP="00844E82">
      <w:pPr>
        <w:pStyle w:val="Odstavecseseznamem"/>
        <w:numPr>
          <w:ilvl w:val="0"/>
          <w:numId w:val="2"/>
        </w:numPr>
        <w:spacing w:after="120"/>
        <w:contextualSpacing w:val="0"/>
        <w:jc w:val="both"/>
        <w:rPr>
          <w:rFonts w:ascii="Arial" w:hAnsi="Arial" w:cs="Arial"/>
          <w:sz w:val="22"/>
          <w:szCs w:val="22"/>
        </w:rPr>
      </w:pPr>
      <w:r w:rsidRPr="001F5155">
        <w:rPr>
          <w:rFonts w:ascii="Arial" w:hAnsi="Arial" w:cs="Arial"/>
          <w:sz w:val="22"/>
          <w:szCs w:val="22"/>
        </w:rPr>
        <w:t>Změna příslušnosti hospodařit na právo hospodařit s předávaným majetkem nastává dnem podání návrhu na zápis změny příslušnosti hospodařit na právo hospodařit u příslušného katastrálního úřadu.</w:t>
      </w:r>
    </w:p>
    <w:p w14:paraId="03424D09" w14:textId="77777777" w:rsidR="00844E82" w:rsidRPr="001F5155" w:rsidRDefault="00844E82" w:rsidP="00844E82">
      <w:pPr>
        <w:pStyle w:val="Odstavecseseznamem"/>
        <w:ind w:left="360"/>
        <w:contextualSpacing w:val="0"/>
        <w:jc w:val="both"/>
        <w:rPr>
          <w:rFonts w:ascii="Arial" w:hAnsi="Arial" w:cs="Arial"/>
          <w:sz w:val="22"/>
          <w:szCs w:val="22"/>
        </w:rPr>
      </w:pPr>
    </w:p>
    <w:p w14:paraId="21920D9D" w14:textId="77777777" w:rsidR="00844E82" w:rsidRDefault="00844E82" w:rsidP="00844E82">
      <w:pPr>
        <w:spacing w:after="120"/>
        <w:jc w:val="center"/>
        <w:rPr>
          <w:rFonts w:ascii="Arial" w:hAnsi="Arial" w:cs="Arial"/>
          <w:b/>
          <w:sz w:val="22"/>
          <w:szCs w:val="22"/>
        </w:rPr>
      </w:pPr>
      <w:r w:rsidRPr="00086B15">
        <w:rPr>
          <w:rFonts w:ascii="Arial" w:hAnsi="Arial" w:cs="Arial"/>
          <w:b/>
          <w:sz w:val="22"/>
          <w:szCs w:val="22"/>
        </w:rPr>
        <w:t>Čl. III.</w:t>
      </w:r>
    </w:p>
    <w:p w14:paraId="7B21147A" w14:textId="77777777" w:rsidR="00844E82" w:rsidRDefault="00844E82" w:rsidP="00844E82">
      <w:pPr>
        <w:spacing w:after="120"/>
        <w:jc w:val="both"/>
        <w:rPr>
          <w:rFonts w:ascii="Arial" w:hAnsi="Arial" w:cs="Arial"/>
          <w:sz w:val="22"/>
          <w:szCs w:val="22"/>
        </w:rPr>
      </w:pPr>
      <w:r w:rsidRPr="00086B15">
        <w:rPr>
          <w:rFonts w:ascii="Arial" w:hAnsi="Arial" w:cs="Arial"/>
          <w:sz w:val="22"/>
          <w:szCs w:val="22"/>
        </w:rPr>
        <w:t xml:space="preserve">Předávající prohlašuje, že na předávaném majetku nevázne žádný dluh, omezení ani jiné právní závady s výjimkou těch, které vyplývají ze zákona nebo jsou zapsány na listu vlastnictví. </w:t>
      </w:r>
      <w:r w:rsidRPr="004B337F">
        <w:rPr>
          <w:rFonts w:ascii="Arial" w:hAnsi="Arial" w:cs="Arial"/>
          <w:sz w:val="22"/>
          <w:szCs w:val="22"/>
        </w:rPr>
        <w:t xml:space="preserve">Přejímající prohlašuje, že fyzický stav předávaného majetku </w:t>
      </w:r>
      <w:r w:rsidRPr="00086B15">
        <w:rPr>
          <w:rFonts w:ascii="Arial" w:hAnsi="Arial" w:cs="Arial"/>
          <w:sz w:val="22"/>
          <w:szCs w:val="22"/>
        </w:rPr>
        <w:t>je mu znám. Fyzické předání a převzetí proto není třeba.</w:t>
      </w:r>
    </w:p>
    <w:p w14:paraId="3F1B985D" w14:textId="77777777" w:rsidR="00844E82" w:rsidRDefault="00844E82" w:rsidP="00844E82">
      <w:pPr>
        <w:jc w:val="both"/>
        <w:rPr>
          <w:rFonts w:ascii="Arial" w:hAnsi="Arial" w:cs="Arial"/>
          <w:sz w:val="22"/>
          <w:szCs w:val="22"/>
        </w:rPr>
      </w:pPr>
    </w:p>
    <w:p w14:paraId="20B0EDFF" w14:textId="77777777" w:rsidR="00844E82" w:rsidRDefault="00844E82" w:rsidP="00844E82">
      <w:pPr>
        <w:spacing w:after="120"/>
        <w:jc w:val="center"/>
        <w:rPr>
          <w:rFonts w:ascii="Arial" w:hAnsi="Arial" w:cs="Arial"/>
          <w:b/>
          <w:sz w:val="22"/>
          <w:szCs w:val="22"/>
        </w:rPr>
      </w:pPr>
      <w:r w:rsidRPr="00086B15">
        <w:rPr>
          <w:rFonts w:ascii="Arial" w:hAnsi="Arial" w:cs="Arial"/>
          <w:b/>
          <w:sz w:val="22"/>
          <w:szCs w:val="22"/>
        </w:rPr>
        <w:t>Čl. IV.</w:t>
      </w:r>
    </w:p>
    <w:p w14:paraId="3EA70AAE" w14:textId="77777777" w:rsidR="00844E82" w:rsidRDefault="00844E82" w:rsidP="00844E82">
      <w:pPr>
        <w:spacing w:after="120"/>
        <w:jc w:val="both"/>
        <w:rPr>
          <w:rFonts w:ascii="Arial" w:hAnsi="Arial" w:cs="Arial"/>
          <w:sz w:val="22"/>
          <w:szCs w:val="22"/>
        </w:rPr>
      </w:pPr>
      <w:r w:rsidRPr="00086B15">
        <w:rPr>
          <w:rFonts w:ascii="Arial" w:hAnsi="Arial" w:cs="Arial"/>
          <w:sz w:val="22"/>
          <w:szCs w:val="22"/>
        </w:rPr>
        <w:t>V souladu s</w:t>
      </w:r>
      <w:r>
        <w:rPr>
          <w:rFonts w:ascii="Arial" w:hAnsi="Arial" w:cs="Arial"/>
          <w:sz w:val="22"/>
          <w:szCs w:val="22"/>
        </w:rPr>
        <w:t xml:space="preserve"> ustanovením </w:t>
      </w:r>
      <w:r w:rsidRPr="00086B15">
        <w:rPr>
          <w:rFonts w:ascii="Arial" w:hAnsi="Arial" w:cs="Arial"/>
          <w:sz w:val="22"/>
          <w:szCs w:val="22"/>
        </w:rPr>
        <w:t>§ 16 vyhlášky č. 62/2001 Sb. se smluvní strany dohodly, že nebude za předávaný majetek podle této smlouvy poskytnuto peněžité plnění, ani jiná náhrada.</w:t>
      </w:r>
    </w:p>
    <w:p w14:paraId="29519426" w14:textId="77777777" w:rsidR="00844E82" w:rsidRDefault="00844E82" w:rsidP="00844E82">
      <w:pPr>
        <w:jc w:val="both"/>
        <w:rPr>
          <w:rFonts w:ascii="Arial" w:hAnsi="Arial" w:cs="Arial"/>
          <w:sz w:val="22"/>
          <w:szCs w:val="22"/>
        </w:rPr>
      </w:pPr>
    </w:p>
    <w:p w14:paraId="39AD2E9A" w14:textId="77777777" w:rsidR="00844E82" w:rsidRPr="006622FD" w:rsidRDefault="00844E82" w:rsidP="00844E82">
      <w:pPr>
        <w:jc w:val="both"/>
        <w:rPr>
          <w:rFonts w:ascii="Arial" w:hAnsi="Arial" w:cs="Arial"/>
          <w:sz w:val="22"/>
          <w:szCs w:val="22"/>
        </w:rPr>
      </w:pPr>
    </w:p>
    <w:p w14:paraId="43E197A5" w14:textId="77777777" w:rsidR="00844E82" w:rsidRPr="006622FD" w:rsidRDefault="00844E82" w:rsidP="00844E82">
      <w:pPr>
        <w:spacing w:after="120"/>
        <w:jc w:val="center"/>
        <w:rPr>
          <w:rFonts w:ascii="Arial" w:hAnsi="Arial" w:cs="Arial"/>
          <w:b/>
          <w:iCs/>
          <w:sz w:val="22"/>
          <w:szCs w:val="22"/>
        </w:rPr>
      </w:pPr>
      <w:r w:rsidRPr="006622FD">
        <w:rPr>
          <w:rFonts w:ascii="Arial" w:hAnsi="Arial" w:cs="Arial"/>
          <w:b/>
          <w:iCs/>
          <w:sz w:val="22"/>
          <w:szCs w:val="22"/>
        </w:rPr>
        <w:t>Čl. V.</w:t>
      </w:r>
    </w:p>
    <w:p w14:paraId="40837CA4" w14:textId="77777777" w:rsidR="00844E82" w:rsidRPr="006622FD" w:rsidRDefault="00844E82" w:rsidP="00844E82">
      <w:pPr>
        <w:jc w:val="both"/>
        <w:rPr>
          <w:rFonts w:ascii="Arial" w:hAnsi="Arial" w:cs="Arial"/>
          <w:iCs/>
          <w:sz w:val="22"/>
          <w:szCs w:val="22"/>
        </w:rPr>
      </w:pPr>
      <w:r w:rsidRPr="006622FD">
        <w:rPr>
          <w:rFonts w:ascii="Arial" w:hAnsi="Arial" w:cs="Arial"/>
          <w:iCs/>
          <w:sz w:val="22"/>
          <w:szCs w:val="22"/>
        </w:rPr>
        <w:t xml:space="preserve">Tato smlouva je vyhotovena elektronicky v jednom vyhotovení s platností originálu, </w:t>
      </w:r>
      <w:r>
        <w:rPr>
          <w:rFonts w:ascii="Arial" w:hAnsi="Arial" w:cs="Arial"/>
          <w:iCs/>
          <w:sz w:val="22"/>
          <w:szCs w:val="22"/>
        </w:rPr>
        <w:br/>
      </w:r>
      <w:r w:rsidRPr="006622FD">
        <w:rPr>
          <w:rFonts w:ascii="Arial" w:hAnsi="Arial" w:cs="Arial"/>
          <w:iCs/>
          <w:sz w:val="22"/>
          <w:szCs w:val="22"/>
        </w:rPr>
        <w:t xml:space="preserve">s kvalifikovanými elektronickými podpisy a kvalifikovanými časovými razítky obou smluvních stran v souladu se zákonem č. 297/2016 Sb., o službách vytvářející důvěru pro elektronické transakce, ve znění pozdějších podpisů. Změnu zápisu u Katastrálního úřadu pro Středočeský kraj, Katastrální pracoviště </w:t>
      </w:r>
      <w:r>
        <w:rPr>
          <w:rFonts w:ascii="Arial" w:hAnsi="Arial" w:cs="Arial"/>
          <w:iCs/>
          <w:sz w:val="22"/>
          <w:szCs w:val="22"/>
        </w:rPr>
        <w:t>Kolín</w:t>
      </w:r>
      <w:r w:rsidRPr="006622FD">
        <w:rPr>
          <w:rFonts w:ascii="Arial" w:hAnsi="Arial" w:cs="Arial"/>
          <w:iCs/>
          <w:sz w:val="22"/>
          <w:szCs w:val="22"/>
        </w:rPr>
        <w:t xml:space="preserve">, ve smyslu této smlouvy zajistí předávající. </w:t>
      </w:r>
    </w:p>
    <w:p w14:paraId="0F518868" w14:textId="77777777" w:rsidR="00844E82" w:rsidRPr="006622FD" w:rsidRDefault="00844E82" w:rsidP="00844E82">
      <w:pPr>
        <w:spacing w:after="120"/>
        <w:jc w:val="center"/>
        <w:rPr>
          <w:rFonts w:ascii="Arial" w:hAnsi="Arial" w:cs="Arial"/>
          <w:b/>
          <w:iCs/>
          <w:sz w:val="22"/>
          <w:szCs w:val="22"/>
        </w:rPr>
      </w:pPr>
    </w:p>
    <w:p w14:paraId="45EAB5AD" w14:textId="77777777" w:rsidR="00844E82" w:rsidRPr="006622FD" w:rsidRDefault="00844E82" w:rsidP="00844E82">
      <w:pPr>
        <w:spacing w:after="120"/>
        <w:jc w:val="center"/>
        <w:rPr>
          <w:rFonts w:ascii="Arial" w:hAnsi="Arial" w:cs="Arial"/>
          <w:b/>
          <w:iCs/>
          <w:sz w:val="22"/>
          <w:szCs w:val="22"/>
        </w:rPr>
      </w:pPr>
      <w:r w:rsidRPr="006622FD">
        <w:rPr>
          <w:rFonts w:ascii="Arial" w:hAnsi="Arial" w:cs="Arial"/>
          <w:b/>
          <w:iCs/>
          <w:sz w:val="22"/>
          <w:szCs w:val="22"/>
        </w:rPr>
        <w:t>Čl. VI.</w:t>
      </w:r>
    </w:p>
    <w:p w14:paraId="58489B04" w14:textId="77777777" w:rsidR="00844E82" w:rsidRPr="001F5155" w:rsidRDefault="00844E82" w:rsidP="00844E82">
      <w:pPr>
        <w:pStyle w:val="Odstavecseseznamem"/>
        <w:numPr>
          <w:ilvl w:val="0"/>
          <w:numId w:val="3"/>
        </w:numPr>
        <w:spacing w:after="120"/>
        <w:contextualSpacing w:val="0"/>
        <w:jc w:val="both"/>
        <w:rPr>
          <w:rFonts w:ascii="Arial" w:hAnsi="Arial" w:cs="Arial"/>
          <w:sz w:val="22"/>
          <w:szCs w:val="22"/>
        </w:rPr>
      </w:pPr>
      <w:r w:rsidRPr="001F5155">
        <w:rPr>
          <w:rFonts w:ascii="Arial" w:hAnsi="Arial" w:cs="Arial"/>
          <w:sz w:val="22"/>
          <w:szCs w:val="22"/>
        </w:rPr>
        <w:t xml:space="preserve">Smluvní strany níže svým podpisem stvrzují, že v průběhu vyjednávání o této smlouvě vždy jednaly a postupovaly čestně a transparentně, a současně se zavazují, že takto budou jednat </w:t>
      </w:r>
      <w:r>
        <w:rPr>
          <w:rFonts w:ascii="Arial" w:hAnsi="Arial" w:cs="Arial"/>
          <w:sz w:val="22"/>
          <w:szCs w:val="22"/>
        </w:rPr>
        <w:br/>
      </w:r>
      <w:r w:rsidRPr="001F5155">
        <w:rPr>
          <w:rFonts w:ascii="Arial" w:hAnsi="Arial" w:cs="Arial"/>
          <w:sz w:val="22"/>
          <w:szCs w:val="22"/>
        </w:rPr>
        <w:t>i při plnění této smlouvy a veškerých činnostech s ní souvisejících.</w:t>
      </w:r>
    </w:p>
    <w:p w14:paraId="746FDB3E" w14:textId="77777777" w:rsidR="00844E82" w:rsidRDefault="00844E82" w:rsidP="00844E82">
      <w:pPr>
        <w:pStyle w:val="Odstavecseseznamem"/>
        <w:numPr>
          <w:ilvl w:val="0"/>
          <w:numId w:val="3"/>
        </w:numPr>
        <w:spacing w:after="120"/>
        <w:contextualSpacing w:val="0"/>
        <w:jc w:val="both"/>
        <w:rPr>
          <w:rFonts w:ascii="Arial" w:hAnsi="Arial" w:cs="Arial"/>
          <w:sz w:val="22"/>
          <w:szCs w:val="22"/>
        </w:rPr>
      </w:pPr>
      <w:r w:rsidRPr="004B54CC">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ve znění pozdějších předpisů, nebo nevznikla trestní odpovědnost fyzických osob (včetně zaměstnanců) podle trestního zákoníku, případně aby nebylo zahájeno trestní stíhání proti jakékoliv ze smluvních stran včetně jejích zaměstnanců podle platných právních předpisů.</w:t>
      </w:r>
    </w:p>
    <w:p w14:paraId="023ABDDB" w14:textId="77777777" w:rsidR="00844E82" w:rsidRDefault="00844E82" w:rsidP="00844E82">
      <w:pPr>
        <w:pStyle w:val="Odstavecseseznamem"/>
        <w:numPr>
          <w:ilvl w:val="0"/>
          <w:numId w:val="3"/>
        </w:numPr>
        <w:contextualSpacing w:val="0"/>
        <w:jc w:val="both"/>
        <w:rPr>
          <w:rFonts w:ascii="Arial" w:hAnsi="Arial" w:cs="Arial"/>
          <w:sz w:val="22"/>
          <w:szCs w:val="22"/>
        </w:rPr>
      </w:pPr>
      <w:r w:rsidRPr="004B54CC">
        <w:rPr>
          <w:rFonts w:ascii="Arial" w:hAnsi="Arial" w:cs="Arial"/>
          <w:sz w:val="22"/>
          <w:szCs w:val="22"/>
        </w:rPr>
        <w:t xml:space="preserve">Přejímající přijal závazek dodržovat Protikorupční program přejímajícího a Etický kodex zaměstnanců přejímajícího (viz http://www.pla.cz), čímž se přejímající vymezuje proti jakémukoli protiprávnímu a neetickému jednání a nastavuje postupy k prevenci a odhalování takového jednání. Za účelem naplnění tohoto článku, tj. za účelem nastavení funkčních </w:t>
      </w:r>
      <w:r>
        <w:rPr>
          <w:rFonts w:ascii="Arial" w:hAnsi="Arial" w:cs="Arial"/>
          <w:sz w:val="22"/>
          <w:szCs w:val="22"/>
        </w:rPr>
        <w:br/>
      </w:r>
      <w:r w:rsidRPr="004B54CC">
        <w:rPr>
          <w:rFonts w:ascii="Arial" w:hAnsi="Arial" w:cs="Arial"/>
          <w:sz w:val="22"/>
          <w:szCs w:val="22"/>
        </w:rPr>
        <w:t>a efektivních prevenčních procesů při plnění této smlouvy nebo v souvislosti s ním lze obsah těchto dokumentů poskytnout na žádost druhé smluvní straně, která je rovněž může přijmout za své, a to v plném jejich znění.</w:t>
      </w:r>
    </w:p>
    <w:p w14:paraId="2292366E" w14:textId="77777777" w:rsidR="00844E82" w:rsidRPr="00985EDF" w:rsidRDefault="00844E82" w:rsidP="00844E82">
      <w:pPr>
        <w:jc w:val="both"/>
        <w:rPr>
          <w:rFonts w:ascii="Arial" w:hAnsi="Arial" w:cs="Arial"/>
          <w:sz w:val="22"/>
          <w:szCs w:val="22"/>
        </w:rPr>
      </w:pPr>
    </w:p>
    <w:p w14:paraId="5E3ED275" w14:textId="77777777" w:rsidR="00844E82" w:rsidRDefault="00844E82" w:rsidP="00844E82">
      <w:pPr>
        <w:spacing w:after="120"/>
        <w:jc w:val="center"/>
        <w:rPr>
          <w:rFonts w:ascii="Arial" w:hAnsi="Arial" w:cs="Arial"/>
          <w:b/>
          <w:iCs/>
          <w:sz w:val="22"/>
          <w:szCs w:val="22"/>
        </w:rPr>
      </w:pPr>
    </w:p>
    <w:p w14:paraId="2B1CC1B3" w14:textId="77777777" w:rsidR="00844E82" w:rsidRDefault="00844E82" w:rsidP="00844E82">
      <w:pPr>
        <w:spacing w:after="120"/>
        <w:jc w:val="center"/>
        <w:rPr>
          <w:rFonts w:ascii="Arial" w:hAnsi="Arial" w:cs="Arial"/>
          <w:b/>
          <w:iCs/>
          <w:sz w:val="22"/>
          <w:szCs w:val="22"/>
        </w:rPr>
      </w:pPr>
    </w:p>
    <w:p w14:paraId="093FB8C9" w14:textId="77777777" w:rsidR="00844E82" w:rsidRDefault="00844E82" w:rsidP="00844E82">
      <w:pPr>
        <w:spacing w:after="120"/>
        <w:jc w:val="center"/>
        <w:rPr>
          <w:rFonts w:ascii="Arial" w:hAnsi="Arial" w:cs="Arial"/>
          <w:b/>
          <w:iCs/>
          <w:sz w:val="22"/>
          <w:szCs w:val="22"/>
        </w:rPr>
      </w:pPr>
    </w:p>
    <w:p w14:paraId="6CA0B8CE" w14:textId="77777777" w:rsidR="00844E82" w:rsidRDefault="00844E82" w:rsidP="00844E82">
      <w:pPr>
        <w:spacing w:after="120"/>
        <w:jc w:val="center"/>
        <w:rPr>
          <w:rFonts w:ascii="Arial" w:hAnsi="Arial" w:cs="Arial"/>
          <w:b/>
          <w:iCs/>
          <w:sz w:val="22"/>
          <w:szCs w:val="22"/>
        </w:rPr>
      </w:pPr>
    </w:p>
    <w:p w14:paraId="6CDEA31B" w14:textId="77777777" w:rsidR="00844E82" w:rsidRPr="006622FD" w:rsidRDefault="00844E82" w:rsidP="00844E82">
      <w:pPr>
        <w:spacing w:after="120"/>
        <w:jc w:val="center"/>
        <w:rPr>
          <w:rFonts w:ascii="Arial" w:hAnsi="Arial" w:cs="Arial"/>
          <w:b/>
          <w:iCs/>
          <w:sz w:val="22"/>
          <w:szCs w:val="22"/>
        </w:rPr>
      </w:pPr>
      <w:r w:rsidRPr="006622FD">
        <w:rPr>
          <w:rFonts w:ascii="Arial" w:hAnsi="Arial" w:cs="Arial"/>
          <w:b/>
          <w:iCs/>
          <w:sz w:val="22"/>
          <w:szCs w:val="22"/>
        </w:rPr>
        <w:lastRenderedPageBreak/>
        <w:t>Čl. VII.</w:t>
      </w:r>
    </w:p>
    <w:p w14:paraId="34242EC8" w14:textId="77777777" w:rsidR="00844E82" w:rsidRPr="001F5155" w:rsidRDefault="00844E82" w:rsidP="00844E82">
      <w:pPr>
        <w:pStyle w:val="Odstavecseseznamem"/>
        <w:numPr>
          <w:ilvl w:val="0"/>
          <w:numId w:val="4"/>
        </w:numPr>
        <w:spacing w:after="240"/>
        <w:contextualSpacing w:val="0"/>
        <w:jc w:val="both"/>
        <w:rPr>
          <w:rFonts w:ascii="Arial" w:hAnsi="Arial" w:cs="Arial"/>
          <w:sz w:val="22"/>
          <w:szCs w:val="22"/>
        </w:rPr>
      </w:pPr>
      <w:r w:rsidRPr="001F5155">
        <w:rPr>
          <w:rFonts w:ascii="Arial" w:hAnsi="Arial" w:cs="Arial"/>
          <w:sz w:val="22"/>
          <w:szCs w:val="22"/>
        </w:rPr>
        <w:t>Smlouva je uzavřena a nabývá platnosti okamžikem podpisu poslední smluvní stranou.</w:t>
      </w:r>
    </w:p>
    <w:p w14:paraId="6B237EC1" w14:textId="77777777" w:rsidR="00844E82" w:rsidRDefault="00844E82" w:rsidP="00844E82">
      <w:pPr>
        <w:pStyle w:val="Odstavecseseznamem"/>
        <w:numPr>
          <w:ilvl w:val="0"/>
          <w:numId w:val="4"/>
        </w:numPr>
        <w:jc w:val="both"/>
        <w:rPr>
          <w:rFonts w:ascii="Arial" w:hAnsi="Arial" w:cs="Arial"/>
          <w:sz w:val="22"/>
          <w:szCs w:val="22"/>
        </w:rPr>
      </w:pPr>
      <w:r w:rsidRPr="00E54076">
        <w:rPr>
          <w:rFonts w:ascii="Arial" w:hAnsi="Arial" w:cs="Arial"/>
          <w:sz w:val="22"/>
          <w:szCs w:val="22"/>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4BC2929F" w14:textId="77777777" w:rsidR="00844E82" w:rsidRPr="00E54076" w:rsidRDefault="00844E82" w:rsidP="00844E82">
      <w:pPr>
        <w:jc w:val="both"/>
        <w:rPr>
          <w:rFonts w:ascii="Arial" w:hAnsi="Arial" w:cs="Arial"/>
          <w:sz w:val="22"/>
          <w:szCs w:val="22"/>
        </w:rPr>
      </w:pPr>
    </w:p>
    <w:p w14:paraId="027FB5CE" w14:textId="77777777" w:rsidR="00844E82" w:rsidRDefault="00844E82" w:rsidP="00844E82">
      <w:pPr>
        <w:pStyle w:val="Odstavecseseznamem"/>
        <w:numPr>
          <w:ilvl w:val="0"/>
          <w:numId w:val="4"/>
        </w:numPr>
        <w:jc w:val="both"/>
        <w:rPr>
          <w:rFonts w:ascii="Arial" w:hAnsi="Arial" w:cs="Arial"/>
          <w:sz w:val="22"/>
          <w:szCs w:val="22"/>
        </w:rPr>
      </w:pPr>
      <w:r w:rsidRPr="00E54076">
        <w:rPr>
          <w:rFonts w:ascii="Arial" w:hAnsi="Arial" w:cs="Arial"/>
          <w:sz w:val="22"/>
          <w:szCs w:val="22"/>
        </w:rPr>
        <w:t>Předávající zašle tuto smlouvu správci registru smluv k uveřejnění bez zbytečného odkladu, nejpozději však do 30 dnů od uzavření smlouvy.</w:t>
      </w:r>
    </w:p>
    <w:p w14:paraId="786E63B8" w14:textId="77777777" w:rsidR="00844E82" w:rsidRPr="00E54076" w:rsidRDefault="00844E82" w:rsidP="00844E82">
      <w:pPr>
        <w:jc w:val="both"/>
        <w:rPr>
          <w:rFonts w:ascii="Arial" w:hAnsi="Arial" w:cs="Arial"/>
          <w:sz w:val="22"/>
          <w:szCs w:val="22"/>
        </w:rPr>
      </w:pPr>
    </w:p>
    <w:p w14:paraId="3DF4796A" w14:textId="77777777" w:rsidR="00844E82" w:rsidRPr="00184A8F" w:rsidRDefault="00844E82" w:rsidP="00844E82">
      <w:pPr>
        <w:pStyle w:val="Odstavecseseznamem"/>
        <w:numPr>
          <w:ilvl w:val="0"/>
          <w:numId w:val="4"/>
        </w:numPr>
        <w:jc w:val="both"/>
        <w:rPr>
          <w:rFonts w:ascii="Arial" w:hAnsi="Arial" w:cs="Arial"/>
          <w:sz w:val="22"/>
          <w:szCs w:val="22"/>
        </w:rPr>
      </w:pPr>
      <w:r w:rsidRPr="00184A8F">
        <w:rPr>
          <w:rFonts w:ascii="Arial" w:hAnsi="Arial" w:cs="Arial"/>
          <w:sz w:val="22"/>
          <w:szCs w:val="22"/>
        </w:rPr>
        <w:t>Pro účely uveřejnění v registru smluv smluvní strany navzájem prohlašují, že smlouva neobsahuje žádné obchodní tajemství.</w:t>
      </w:r>
    </w:p>
    <w:p w14:paraId="66E2B3BE" w14:textId="77777777" w:rsidR="00844E82" w:rsidRPr="00184A8F" w:rsidRDefault="00844E82" w:rsidP="00844E82">
      <w:pPr>
        <w:jc w:val="both"/>
        <w:rPr>
          <w:rFonts w:ascii="Arial" w:hAnsi="Arial" w:cs="Arial"/>
          <w:sz w:val="22"/>
          <w:szCs w:val="22"/>
        </w:rPr>
      </w:pPr>
    </w:p>
    <w:p w14:paraId="221670DE" w14:textId="77777777" w:rsidR="00844E82" w:rsidRDefault="00844E82" w:rsidP="00844E82">
      <w:pPr>
        <w:pStyle w:val="Odstavecseseznamem"/>
        <w:numPr>
          <w:ilvl w:val="0"/>
          <w:numId w:val="4"/>
        </w:numPr>
        <w:spacing w:after="240"/>
        <w:contextualSpacing w:val="0"/>
        <w:jc w:val="both"/>
        <w:rPr>
          <w:rFonts w:ascii="Arial" w:hAnsi="Arial" w:cs="Arial"/>
          <w:sz w:val="22"/>
          <w:szCs w:val="22"/>
        </w:rPr>
      </w:pPr>
      <w:r w:rsidRPr="001F5155">
        <w:rPr>
          <w:rFonts w:ascii="Arial" w:hAnsi="Arial" w:cs="Arial"/>
          <w:sz w:val="22"/>
          <w:szCs w:val="22"/>
        </w:rPr>
        <w:t xml:space="preserve">Smluvní strany prohlašují, že tuto smlouvu uzavřely svobodně a vážně, nikoliv z přinucení nebo omylu. Na důkaz toho připojují </w:t>
      </w:r>
      <w:r>
        <w:rPr>
          <w:rFonts w:ascii="Arial" w:hAnsi="Arial" w:cs="Arial"/>
          <w:sz w:val="22"/>
          <w:szCs w:val="22"/>
        </w:rPr>
        <w:t>elektronické</w:t>
      </w:r>
      <w:r w:rsidRPr="001F5155">
        <w:rPr>
          <w:rFonts w:ascii="Arial" w:hAnsi="Arial" w:cs="Arial"/>
          <w:sz w:val="22"/>
          <w:szCs w:val="22"/>
        </w:rPr>
        <w:t xml:space="preserve"> podpisy.</w:t>
      </w:r>
    </w:p>
    <w:p w14:paraId="51F4BD41" w14:textId="77777777" w:rsidR="00844E82" w:rsidRDefault="00844E82" w:rsidP="00844E82">
      <w:pPr>
        <w:pStyle w:val="Odstavecseseznamem"/>
        <w:spacing w:after="240"/>
        <w:ind w:left="360"/>
        <w:contextualSpacing w:val="0"/>
        <w:jc w:val="both"/>
        <w:rPr>
          <w:rFonts w:ascii="Arial" w:hAnsi="Arial" w:cs="Arial"/>
          <w:sz w:val="22"/>
          <w:szCs w:val="22"/>
        </w:rPr>
      </w:pPr>
    </w:p>
    <w:tbl>
      <w:tblPr>
        <w:tblW w:w="0" w:type="auto"/>
        <w:jc w:val="center"/>
        <w:tblLook w:val="01E0" w:firstRow="1" w:lastRow="1" w:firstColumn="1" w:lastColumn="1" w:noHBand="0" w:noVBand="0"/>
      </w:tblPr>
      <w:tblGrid>
        <w:gridCol w:w="4748"/>
        <w:gridCol w:w="4748"/>
      </w:tblGrid>
      <w:tr w:rsidR="00844E82" w14:paraId="62CD1EED" w14:textId="77777777" w:rsidTr="00174D15">
        <w:trPr>
          <w:jc w:val="center"/>
        </w:trPr>
        <w:tc>
          <w:tcPr>
            <w:tcW w:w="4748" w:type="dxa"/>
          </w:tcPr>
          <w:p w14:paraId="350D40D4" w14:textId="77777777" w:rsidR="00844E82" w:rsidRPr="002542CA" w:rsidRDefault="00844E82" w:rsidP="00174D15">
            <w:pPr>
              <w:rPr>
                <w:rFonts w:ascii="Arial" w:hAnsi="Arial" w:cs="Arial"/>
                <w:sz w:val="22"/>
                <w:szCs w:val="22"/>
              </w:rPr>
            </w:pPr>
            <w:r w:rsidRPr="002542CA">
              <w:rPr>
                <w:rFonts w:ascii="Arial" w:hAnsi="Arial" w:cs="Arial"/>
                <w:sz w:val="22"/>
                <w:szCs w:val="22"/>
              </w:rPr>
              <w:t xml:space="preserve">V Kolíně dne „datum uvedeno v doložce elektronického podpisu“ </w:t>
            </w:r>
          </w:p>
          <w:p w14:paraId="587CD32A" w14:textId="77777777" w:rsidR="00844E82" w:rsidRDefault="00844E82" w:rsidP="00174D15">
            <w:pPr>
              <w:rPr>
                <w:rFonts w:ascii="Arial" w:hAnsi="Arial" w:cs="Arial"/>
                <w:sz w:val="22"/>
                <w:szCs w:val="22"/>
              </w:rPr>
            </w:pPr>
          </w:p>
        </w:tc>
        <w:tc>
          <w:tcPr>
            <w:tcW w:w="4748" w:type="dxa"/>
          </w:tcPr>
          <w:p w14:paraId="47BDDD68" w14:textId="77777777" w:rsidR="00844E82" w:rsidRPr="002542CA" w:rsidRDefault="00844E82" w:rsidP="00174D15">
            <w:pPr>
              <w:rPr>
                <w:rFonts w:ascii="Arial" w:hAnsi="Arial" w:cs="Arial"/>
                <w:sz w:val="22"/>
                <w:szCs w:val="22"/>
              </w:rPr>
            </w:pPr>
            <w:r w:rsidRPr="002542CA">
              <w:rPr>
                <w:rFonts w:ascii="Arial" w:hAnsi="Arial" w:cs="Arial"/>
                <w:sz w:val="22"/>
                <w:szCs w:val="22"/>
              </w:rPr>
              <w:t>V Hrad</w:t>
            </w:r>
            <w:r>
              <w:rPr>
                <w:rFonts w:ascii="Arial" w:hAnsi="Arial" w:cs="Arial"/>
                <w:sz w:val="22"/>
                <w:szCs w:val="22"/>
              </w:rPr>
              <w:t>ci Králové</w:t>
            </w:r>
            <w:r w:rsidRPr="002542CA">
              <w:rPr>
                <w:rFonts w:ascii="Arial" w:hAnsi="Arial" w:cs="Arial"/>
                <w:sz w:val="22"/>
                <w:szCs w:val="22"/>
              </w:rPr>
              <w:t xml:space="preserve"> dne „datum uvedeno v doložce elektronického podpisu“ </w:t>
            </w:r>
          </w:p>
          <w:p w14:paraId="59E3AEE1" w14:textId="77777777" w:rsidR="00844E82" w:rsidRDefault="00844E82" w:rsidP="00174D15">
            <w:pPr>
              <w:rPr>
                <w:rFonts w:ascii="Arial" w:hAnsi="Arial" w:cs="Arial"/>
                <w:sz w:val="22"/>
                <w:szCs w:val="22"/>
              </w:rPr>
            </w:pPr>
          </w:p>
          <w:p w14:paraId="0EB8CE40" w14:textId="77777777" w:rsidR="00844E82" w:rsidRDefault="00844E82" w:rsidP="00174D15">
            <w:pPr>
              <w:rPr>
                <w:rFonts w:ascii="Arial" w:hAnsi="Arial" w:cs="Arial"/>
                <w:sz w:val="22"/>
                <w:szCs w:val="22"/>
              </w:rPr>
            </w:pPr>
          </w:p>
        </w:tc>
      </w:tr>
      <w:tr w:rsidR="00844E82" w14:paraId="67E6AA70" w14:textId="77777777" w:rsidTr="00174D15">
        <w:trPr>
          <w:jc w:val="center"/>
        </w:trPr>
        <w:tc>
          <w:tcPr>
            <w:tcW w:w="4748" w:type="dxa"/>
          </w:tcPr>
          <w:p w14:paraId="72285458" w14:textId="77777777" w:rsidR="00844E82" w:rsidRPr="00086B15" w:rsidRDefault="00844E82" w:rsidP="00174D15">
            <w:pPr>
              <w:jc w:val="both"/>
              <w:rPr>
                <w:rFonts w:ascii="Arial" w:hAnsi="Arial" w:cs="Arial"/>
                <w:sz w:val="22"/>
                <w:szCs w:val="22"/>
              </w:rPr>
            </w:pPr>
          </w:p>
        </w:tc>
        <w:tc>
          <w:tcPr>
            <w:tcW w:w="4748" w:type="dxa"/>
          </w:tcPr>
          <w:p w14:paraId="1038A38A" w14:textId="77777777" w:rsidR="00844E82" w:rsidRPr="00086B15" w:rsidRDefault="00844E82" w:rsidP="00174D15">
            <w:pPr>
              <w:jc w:val="both"/>
              <w:rPr>
                <w:rFonts w:ascii="Arial" w:hAnsi="Arial" w:cs="Arial"/>
                <w:sz w:val="22"/>
                <w:szCs w:val="22"/>
              </w:rPr>
            </w:pPr>
          </w:p>
        </w:tc>
      </w:tr>
      <w:tr w:rsidR="00844E82" w14:paraId="2E6EA6E8" w14:textId="77777777" w:rsidTr="00174D15">
        <w:trPr>
          <w:jc w:val="center"/>
        </w:trPr>
        <w:tc>
          <w:tcPr>
            <w:tcW w:w="4748" w:type="dxa"/>
          </w:tcPr>
          <w:p w14:paraId="17258B91" w14:textId="77777777" w:rsidR="00844E82" w:rsidRPr="00086B15" w:rsidRDefault="00844E82" w:rsidP="00174D15">
            <w:pPr>
              <w:jc w:val="both"/>
              <w:rPr>
                <w:rFonts w:ascii="Arial" w:hAnsi="Arial" w:cs="Arial"/>
                <w:sz w:val="22"/>
                <w:szCs w:val="22"/>
              </w:rPr>
            </w:pPr>
          </w:p>
        </w:tc>
        <w:tc>
          <w:tcPr>
            <w:tcW w:w="4748" w:type="dxa"/>
          </w:tcPr>
          <w:p w14:paraId="1667FD57" w14:textId="77777777" w:rsidR="00844E82" w:rsidRPr="00086B15" w:rsidRDefault="00844E82" w:rsidP="00174D15">
            <w:pPr>
              <w:jc w:val="both"/>
              <w:rPr>
                <w:rFonts w:ascii="Arial" w:hAnsi="Arial" w:cs="Arial"/>
                <w:sz w:val="22"/>
                <w:szCs w:val="22"/>
              </w:rPr>
            </w:pPr>
          </w:p>
        </w:tc>
      </w:tr>
      <w:tr w:rsidR="00844E82" w14:paraId="1B8599E7" w14:textId="77777777" w:rsidTr="00174D15">
        <w:trPr>
          <w:jc w:val="center"/>
        </w:trPr>
        <w:tc>
          <w:tcPr>
            <w:tcW w:w="4748" w:type="dxa"/>
            <w:hideMark/>
          </w:tcPr>
          <w:p w14:paraId="6605E3E0" w14:textId="77777777" w:rsidR="00844E82" w:rsidRDefault="00844E82" w:rsidP="00174D15">
            <w:pPr>
              <w:jc w:val="both"/>
              <w:rPr>
                <w:rFonts w:ascii="Arial" w:hAnsi="Arial" w:cs="Arial"/>
                <w:b/>
                <w:sz w:val="22"/>
                <w:szCs w:val="22"/>
              </w:rPr>
            </w:pPr>
            <w:r w:rsidRPr="00086B15">
              <w:rPr>
                <w:rFonts w:ascii="Arial" w:hAnsi="Arial" w:cs="Arial"/>
                <w:b/>
                <w:sz w:val="22"/>
                <w:szCs w:val="22"/>
              </w:rPr>
              <w:t xml:space="preserve">Česká </w:t>
            </w:r>
            <w:proofErr w:type="gramStart"/>
            <w:r w:rsidRPr="00086B15">
              <w:rPr>
                <w:rFonts w:ascii="Arial" w:hAnsi="Arial" w:cs="Arial"/>
                <w:b/>
                <w:sz w:val="22"/>
                <w:szCs w:val="22"/>
              </w:rPr>
              <w:t>republika - Úřad</w:t>
            </w:r>
            <w:proofErr w:type="gramEnd"/>
            <w:r w:rsidRPr="00086B15">
              <w:rPr>
                <w:rFonts w:ascii="Arial" w:hAnsi="Arial" w:cs="Arial"/>
                <w:b/>
                <w:sz w:val="22"/>
                <w:szCs w:val="22"/>
              </w:rPr>
              <w:t xml:space="preserve"> pro zastupování</w:t>
            </w:r>
          </w:p>
          <w:p w14:paraId="0B04012A" w14:textId="77777777" w:rsidR="00844E82" w:rsidRPr="00086B15" w:rsidRDefault="00844E82" w:rsidP="00174D15">
            <w:pPr>
              <w:jc w:val="both"/>
              <w:rPr>
                <w:rFonts w:ascii="Arial" w:hAnsi="Arial" w:cs="Arial"/>
                <w:b/>
                <w:sz w:val="22"/>
                <w:szCs w:val="22"/>
              </w:rPr>
            </w:pPr>
            <w:r>
              <w:rPr>
                <w:rFonts w:ascii="Arial" w:hAnsi="Arial" w:cs="Arial"/>
                <w:b/>
                <w:sz w:val="22"/>
                <w:szCs w:val="22"/>
              </w:rPr>
              <w:t xml:space="preserve">       </w:t>
            </w:r>
            <w:r w:rsidRPr="00086B15">
              <w:rPr>
                <w:rFonts w:ascii="Arial" w:hAnsi="Arial" w:cs="Arial"/>
                <w:b/>
                <w:sz w:val="22"/>
                <w:szCs w:val="22"/>
              </w:rPr>
              <w:t>státu ve věcech majetkových</w:t>
            </w:r>
          </w:p>
        </w:tc>
        <w:tc>
          <w:tcPr>
            <w:tcW w:w="4748" w:type="dxa"/>
            <w:hideMark/>
          </w:tcPr>
          <w:p w14:paraId="33AD543E" w14:textId="77777777" w:rsidR="00844E82" w:rsidRPr="00086B15" w:rsidRDefault="00844E82" w:rsidP="00174D15">
            <w:pPr>
              <w:jc w:val="both"/>
              <w:rPr>
                <w:rFonts w:ascii="Arial" w:hAnsi="Arial" w:cs="Arial"/>
                <w:b/>
                <w:sz w:val="22"/>
                <w:szCs w:val="22"/>
              </w:rPr>
            </w:pPr>
            <w:r>
              <w:rPr>
                <w:rFonts w:ascii="Arial" w:hAnsi="Arial" w:cs="Arial"/>
                <w:b/>
                <w:sz w:val="22"/>
                <w:szCs w:val="22"/>
              </w:rPr>
              <w:t xml:space="preserve">                </w:t>
            </w:r>
            <w:r w:rsidRPr="00086B15">
              <w:rPr>
                <w:rFonts w:ascii="Arial" w:hAnsi="Arial" w:cs="Arial"/>
                <w:b/>
                <w:sz w:val="22"/>
                <w:szCs w:val="22"/>
              </w:rPr>
              <w:t>Povodí Labe, státní podnik</w:t>
            </w:r>
          </w:p>
        </w:tc>
      </w:tr>
      <w:tr w:rsidR="00844E82" w14:paraId="6F70B648" w14:textId="77777777" w:rsidTr="00174D15">
        <w:trPr>
          <w:jc w:val="center"/>
        </w:trPr>
        <w:tc>
          <w:tcPr>
            <w:tcW w:w="4748" w:type="dxa"/>
          </w:tcPr>
          <w:p w14:paraId="6F6E026A" w14:textId="77777777" w:rsidR="00844E82" w:rsidRPr="00086B15" w:rsidRDefault="00844E82" w:rsidP="00174D15">
            <w:pPr>
              <w:jc w:val="center"/>
              <w:rPr>
                <w:rFonts w:ascii="Arial" w:hAnsi="Arial" w:cs="Arial"/>
                <w:sz w:val="22"/>
                <w:szCs w:val="22"/>
              </w:rPr>
            </w:pPr>
          </w:p>
        </w:tc>
        <w:tc>
          <w:tcPr>
            <w:tcW w:w="4748" w:type="dxa"/>
          </w:tcPr>
          <w:p w14:paraId="6A5F91FE" w14:textId="77777777" w:rsidR="00844E82" w:rsidRPr="00086B15" w:rsidRDefault="00844E82" w:rsidP="00174D15">
            <w:pPr>
              <w:jc w:val="center"/>
              <w:rPr>
                <w:rFonts w:ascii="Arial" w:hAnsi="Arial" w:cs="Arial"/>
                <w:sz w:val="22"/>
                <w:szCs w:val="22"/>
              </w:rPr>
            </w:pPr>
          </w:p>
        </w:tc>
      </w:tr>
      <w:tr w:rsidR="00844E82" w14:paraId="3E5DEB42" w14:textId="77777777" w:rsidTr="00174D15">
        <w:trPr>
          <w:jc w:val="center"/>
        </w:trPr>
        <w:tc>
          <w:tcPr>
            <w:tcW w:w="4748" w:type="dxa"/>
          </w:tcPr>
          <w:p w14:paraId="520DCF68" w14:textId="77777777" w:rsidR="00844E82" w:rsidRPr="00086B15" w:rsidRDefault="00844E82" w:rsidP="00174D15">
            <w:pPr>
              <w:jc w:val="center"/>
              <w:rPr>
                <w:rFonts w:ascii="Arial" w:hAnsi="Arial" w:cs="Arial"/>
                <w:sz w:val="22"/>
                <w:szCs w:val="22"/>
              </w:rPr>
            </w:pPr>
          </w:p>
        </w:tc>
        <w:tc>
          <w:tcPr>
            <w:tcW w:w="4748" w:type="dxa"/>
          </w:tcPr>
          <w:p w14:paraId="76DAAE4E" w14:textId="77777777" w:rsidR="00844E82" w:rsidRPr="00086B15" w:rsidRDefault="00844E82" w:rsidP="00174D15">
            <w:pPr>
              <w:jc w:val="center"/>
              <w:rPr>
                <w:rFonts w:ascii="Arial" w:hAnsi="Arial" w:cs="Arial"/>
                <w:sz w:val="22"/>
                <w:szCs w:val="22"/>
              </w:rPr>
            </w:pPr>
          </w:p>
        </w:tc>
      </w:tr>
      <w:tr w:rsidR="00844E82" w14:paraId="12311CDB" w14:textId="77777777" w:rsidTr="00174D15">
        <w:trPr>
          <w:jc w:val="center"/>
        </w:trPr>
        <w:tc>
          <w:tcPr>
            <w:tcW w:w="4748" w:type="dxa"/>
          </w:tcPr>
          <w:p w14:paraId="341725CF" w14:textId="77777777" w:rsidR="00844E82" w:rsidRPr="00086B15" w:rsidRDefault="00844E82" w:rsidP="00174D15">
            <w:pPr>
              <w:jc w:val="center"/>
              <w:rPr>
                <w:rFonts w:ascii="Arial" w:hAnsi="Arial" w:cs="Arial"/>
                <w:sz w:val="22"/>
                <w:szCs w:val="22"/>
              </w:rPr>
            </w:pPr>
          </w:p>
        </w:tc>
        <w:tc>
          <w:tcPr>
            <w:tcW w:w="4748" w:type="dxa"/>
          </w:tcPr>
          <w:p w14:paraId="77124013" w14:textId="77777777" w:rsidR="00844E82" w:rsidRPr="00086B15" w:rsidRDefault="00844E82" w:rsidP="00174D15">
            <w:pPr>
              <w:jc w:val="center"/>
              <w:rPr>
                <w:rFonts w:ascii="Arial" w:hAnsi="Arial" w:cs="Arial"/>
                <w:sz w:val="22"/>
                <w:szCs w:val="22"/>
              </w:rPr>
            </w:pPr>
          </w:p>
        </w:tc>
      </w:tr>
      <w:tr w:rsidR="00844E82" w14:paraId="152EE529" w14:textId="77777777" w:rsidTr="00174D15">
        <w:trPr>
          <w:jc w:val="center"/>
        </w:trPr>
        <w:tc>
          <w:tcPr>
            <w:tcW w:w="4748" w:type="dxa"/>
          </w:tcPr>
          <w:p w14:paraId="012CAC18" w14:textId="77777777" w:rsidR="00844E82" w:rsidRPr="00086B15" w:rsidRDefault="00844E82" w:rsidP="00174D15">
            <w:pPr>
              <w:jc w:val="center"/>
              <w:rPr>
                <w:rFonts w:ascii="Arial" w:hAnsi="Arial" w:cs="Arial"/>
                <w:sz w:val="22"/>
                <w:szCs w:val="22"/>
              </w:rPr>
            </w:pPr>
            <w:r w:rsidRPr="00086B15">
              <w:rPr>
                <w:rFonts w:ascii="Arial" w:hAnsi="Arial" w:cs="Arial"/>
                <w:sz w:val="22"/>
                <w:szCs w:val="22"/>
              </w:rPr>
              <w:t>..................................................</w:t>
            </w:r>
          </w:p>
        </w:tc>
        <w:tc>
          <w:tcPr>
            <w:tcW w:w="4748" w:type="dxa"/>
          </w:tcPr>
          <w:p w14:paraId="29D2C07B" w14:textId="77777777" w:rsidR="00844E82" w:rsidRPr="00086B15" w:rsidRDefault="00844E82" w:rsidP="00174D15">
            <w:pPr>
              <w:jc w:val="center"/>
              <w:rPr>
                <w:rFonts w:ascii="Arial" w:hAnsi="Arial" w:cs="Arial"/>
                <w:sz w:val="22"/>
                <w:szCs w:val="22"/>
              </w:rPr>
            </w:pPr>
            <w:r>
              <w:rPr>
                <w:rFonts w:ascii="Arial" w:hAnsi="Arial" w:cs="Arial"/>
                <w:sz w:val="22"/>
                <w:szCs w:val="22"/>
              </w:rPr>
              <w:t xml:space="preserve">   </w:t>
            </w:r>
            <w:r w:rsidRPr="00086B15">
              <w:rPr>
                <w:rFonts w:ascii="Arial" w:hAnsi="Arial" w:cs="Arial"/>
                <w:sz w:val="22"/>
                <w:szCs w:val="22"/>
              </w:rPr>
              <w:t>..................................................</w:t>
            </w:r>
          </w:p>
        </w:tc>
      </w:tr>
      <w:tr w:rsidR="00844E82" w14:paraId="57B7B4C4" w14:textId="77777777" w:rsidTr="00174D15">
        <w:trPr>
          <w:jc w:val="center"/>
        </w:trPr>
        <w:tc>
          <w:tcPr>
            <w:tcW w:w="4748" w:type="dxa"/>
          </w:tcPr>
          <w:p w14:paraId="431A16E5" w14:textId="77777777" w:rsidR="00844E82" w:rsidRPr="00086B15" w:rsidRDefault="00844E82" w:rsidP="00174D15">
            <w:pPr>
              <w:jc w:val="center"/>
              <w:rPr>
                <w:rFonts w:ascii="Arial" w:hAnsi="Arial" w:cs="Arial"/>
                <w:sz w:val="22"/>
                <w:szCs w:val="22"/>
              </w:rPr>
            </w:pPr>
          </w:p>
        </w:tc>
        <w:tc>
          <w:tcPr>
            <w:tcW w:w="4748" w:type="dxa"/>
          </w:tcPr>
          <w:p w14:paraId="5AED2BD7" w14:textId="77777777" w:rsidR="00844E82" w:rsidRPr="00086B15" w:rsidRDefault="00844E82" w:rsidP="00174D15">
            <w:pPr>
              <w:jc w:val="center"/>
              <w:rPr>
                <w:rFonts w:ascii="Arial" w:hAnsi="Arial" w:cs="Arial"/>
                <w:sz w:val="22"/>
                <w:szCs w:val="22"/>
              </w:rPr>
            </w:pPr>
          </w:p>
        </w:tc>
      </w:tr>
    </w:tbl>
    <w:p w14:paraId="3D9E9EFE" w14:textId="77777777" w:rsidR="00844E82" w:rsidRPr="002D0C61" w:rsidRDefault="00844E82" w:rsidP="00844E82">
      <w:pPr>
        <w:ind w:left="708" w:firstLine="708"/>
        <w:rPr>
          <w:rFonts w:ascii="Arial" w:hAnsi="Arial" w:cs="Arial"/>
          <w:sz w:val="22"/>
          <w:szCs w:val="22"/>
        </w:rPr>
      </w:pPr>
      <w:r>
        <w:rPr>
          <w:rFonts w:ascii="Arial" w:hAnsi="Arial" w:cs="Arial"/>
          <w:sz w:val="22"/>
          <w:szCs w:val="22"/>
        </w:rPr>
        <w:t>Ing. Karel Žáček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Mgr. Daniel Vlkanova, Ph.D., MBA</w:t>
      </w:r>
    </w:p>
    <w:p w14:paraId="09463D4F" w14:textId="77777777" w:rsidR="00844E82" w:rsidRPr="002D0C61" w:rsidRDefault="00844E82" w:rsidP="00844E82">
      <w:pPr>
        <w:rPr>
          <w:rFonts w:ascii="Arial" w:hAnsi="Arial" w:cs="Arial"/>
          <w:sz w:val="22"/>
          <w:szCs w:val="22"/>
        </w:rPr>
      </w:pPr>
      <w:r>
        <w:rPr>
          <w:rFonts w:ascii="Arial" w:hAnsi="Arial" w:cs="Arial"/>
          <w:sz w:val="22"/>
          <w:szCs w:val="22"/>
        </w:rPr>
        <w:t xml:space="preserve">   </w:t>
      </w:r>
      <w:bookmarkStart w:id="3" w:name="_Hlk132108772"/>
      <w:r>
        <w:rPr>
          <w:rFonts w:ascii="Arial" w:hAnsi="Arial" w:cs="Arial"/>
          <w:sz w:val="22"/>
          <w:szCs w:val="22"/>
        </w:rPr>
        <w:t>vedoucí odboru Odloučené pracoviště Kolín</w:t>
      </w:r>
      <w:r w:rsidRPr="002D0C61">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finanční ředitel</w:t>
      </w:r>
      <w:r>
        <w:rPr>
          <w:rFonts w:ascii="Arial" w:hAnsi="Arial" w:cs="Arial"/>
          <w:sz w:val="22"/>
          <w:szCs w:val="22"/>
        </w:rPr>
        <w:tab/>
      </w:r>
    </w:p>
    <w:p w14:paraId="66AABAAA" w14:textId="77777777" w:rsidR="00844E82" w:rsidRPr="00086B15" w:rsidRDefault="00844E82" w:rsidP="00844E82">
      <w:pPr>
        <w:spacing w:after="240"/>
        <w:jc w:val="both"/>
        <w:rPr>
          <w:rFonts w:ascii="Arial" w:hAnsi="Arial" w:cs="Arial"/>
          <w:sz w:val="22"/>
          <w:szCs w:val="22"/>
        </w:rPr>
      </w:pPr>
    </w:p>
    <w:p w14:paraId="3EC80A16" w14:textId="77777777" w:rsidR="00844E82" w:rsidRDefault="00844E82" w:rsidP="00844E82"/>
    <w:bookmarkEnd w:id="1"/>
    <w:p w14:paraId="1B37D146" w14:textId="77777777" w:rsidR="00844E82" w:rsidRDefault="00844E82" w:rsidP="00844E82">
      <w:pPr>
        <w:rPr>
          <w:rFonts w:ascii="Arial" w:hAnsi="Arial" w:cs="Arial"/>
          <w:sz w:val="22"/>
        </w:rPr>
      </w:pPr>
    </w:p>
    <w:p w14:paraId="476437C1" w14:textId="77777777" w:rsidR="00844E82" w:rsidRDefault="00844E82" w:rsidP="00844E82"/>
    <w:p w14:paraId="10C91B8B" w14:textId="77777777" w:rsidR="00844E82" w:rsidRDefault="00844E82">
      <w:pPr>
        <w:rPr>
          <w:rFonts w:ascii="Arial" w:hAnsi="Arial" w:cs="Arial"/>
          <w:sz w:val="22"/>
        </w:rPr>
      </w:pPr>
    </w:p>
    <w:sectPr w:rsidR="00844E82">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C03"/>
    <w:multiLevelType w:val="hybridMultilevel"/>
    <w:tmpl w:val="FA1817DE"/>
    <w:lvl w:ilvl="0" w:tplc="44388B78">
      <w:start w:val="1"/>
      <w:numFmt w:val="decimal"/>
      <w:lvlText w:val="%1."/>
      <w:lvlJc w:val="left"/>
      <w:pPr>
        <w:ind w:left="360" w:hanging="360"/>
      </w:pPr>
    </w:lvl>
    <w:lvl w:ilvl="1" w:tplc="0B68D078" w:tentative="1">
      <w:start w:val="1"/>
      <w:numFmt w:val="lowerLetter"/>
      <w:lvlText w:val="%2."/>
      <w:lvlJc w:val="left"/>
      <w:pPr>
        <w:ind w:left="1080" w:hanging="360"/>
      </w:pPr>
    </w:lvl>
    <w:lvl w:ilvl="2" w:tplc="016A7CBA" w:tentative="1">
      <w:start w:val="1"/>
      <w:numFmt w:val="lowerRoman"/>
      <w:lvlText w:val="%3."/>
      <w:lvlJc w:val="right"/>
      <w:pPr>
        <w:ind w:left="1800" w:hanging="180"/>
      </w:pPr>
    </w:lvl>
    <w:lvl w:ilvl="3" w:tplc="63A4E6CE" w:tentative="1">
      <w:start w:val="1"/>
      <w:numFmt w:val="decimal"/>
      <w:lvlText w:val="%4."/>
      <w:lvlJc w:val="left"/>
      <w:pPr>
        <w:ind w:left="2520" w:hanging="360"/>
      </w:pPr>
    </w:lvl>
    <w:lvl w:ilvl="4" w:tplc="326E2152" w:tentative="1">
      <w:start w:val="1"/>
      <w:numFmt w:val="lowerLetter"/>
      <w:lvlText w:val="%5."/>
      <w:lvlJc w:val="left"/>
      <w:pPr>
        <w:ind w:left="3240" w:hanging="360"/>
      </w:pPr>
    </w:lvl>
    <w:lvl w:ilvl="5" w:tplc="8C2AC2AC" w:tentative="1">
      <w:start w:val="1"/>
      <w:numFmt w:val="lowerRoman"/>
      <w:lvlText w:val="%6."/>
      <w:lvlJc w:val="right"/>
      <w:pPr>
        <w:ind w:left="3960" w:hanging="180"/>
      </w:pPr>
    </w:lvl>
    <w:lvl w:ilvl="6" w:tplc="F43A1780" w:tentative="1">
      <w:start w:val="1"/>
      <w:numFmt w:val="decimal"/>
      <w:lvlText w:val="%7."/>
      <w:lvlJc w:val="left"/>
      <w:pPr>
        <w:ind w:left="4680" w:hanging="360"/>
      </w:pPr>
    </w:lvl>
    <w:lvl w:ilvl="7" w:tplc="DC52C348" w:tentative="1">
      <w:start w:val="1"/>
      <w:numFmt w:val="lowerLetter"/>
      <w:lvlText w:val="%8."/>
      <w:lvlJc w:val="left"/>
      <w:pPr>
        <w:ind w:left="5400" w:hanging="360"/>
      </w:pPr>
    </w:lvl>
    <w:lvl w:ilvl="8" w:tplc="1B6438D4" w:tentative="1">
      <w:start w:val="1"/>
      <w:numFmt w:val="lowerRoman"/>
      <w:lvlText w:val="%9."/>
      <w:lvlJc w:val="right"/>
      <w:pPr>
        <w:ind w:left="6120" w:hanging="180"/>
      </w:pPr>
    </w:lvl>
  </w:abstractNum>
  <w:abstractNum w:abstractNumId="1" w15:restartNumberingAfterBreak="0">
    <w:nsid w:val="27B757C7"/>
    <w:multiLevelType w:val="hybridMultilevel"/>
    <w:tmpl w:val="5AB06B28"/>
    <w:lvl w:ilvl="0" w:tplc="54DE22CC">
      <w:start w:val="1"/>
      <w:numFmt w:val="decimal"/>
      <w:lvlText w:val="%1."/>
      <w:lvlJc w:val="left"/>
      <w:pPr>
        <w:ind w:left="360" w:hanging="360"/>
      </w:pPr>
    </w:lvl>
    <w:lvl w:ilvl="1" w:tplc="444A25B8" w:tentative="1">
      <w:start w:val="1"/>
      <w:numFmt w:val="lowerLetter"/>
      <w:lvlText w:val="%2."/>
      <w:lvlJc w:val="left"/>
      <w:pPr>
        <w:ind w:left="1080" w:hanging="360"/>
      </w:pPr>
    </w:lvl>
    <w:lvl w:ilvl="2" w:tplc="5FE8DD92" w:tentative="1">
      <w:start w:val="1"/>
      <w:numFmt w:val="lowerRoman"/>
      <w:lvlText w:val="%3."/>
      <w:lvlJc w:val="right"/>
      <w:pPr>
        <w:ind w:left="1800" w:hanging="180"/>
      </w:pPr>
    </w:lvl>
    <w:lvl w:ilvl="3" w:tplc="B396104E" w:tentative="1">
      <w:start w:val="1"/>
      <w:numFmt w:val="decimal"/>
      <w:lvlText w:val="%4."/>
      <w:lvlJc w:val="left"/>
      <w:pPr>
        <w:ind w:left="2520" w:hanging="360"/>
      </w:pPr>
    </w:lvl>
    <w:lvl w:ilvl="4" w:tplc="CA801224" w:tentative="1">
      <w:start w:val="1"/>
      <w:numFmt w:val="lowerLetter"/>
      <w:lvlText w:val="%5."/>
      <w:lvlJc w:val="left"/>
      <w:pPr>
        <w:ind w:left="3240" w:hanging="360"/>
      </w:pPr>
    </w:lvl>
    <w:lvl w:ilvl="5" w:tplc="598A88BA" w:tentative="1">
      <w:start w:val="1"/>
      <w:numFmt w:val="lowerRoman"/>
      <w:lvlText w:val="%6."/>
      <w:lvlJc w:val="right"/>
      <w:pPr>
        <w:ind w:left="3960" w:hanging="180"/>
      </w:pPr>
    </w:lvl>
    <w:lvl w:ilvl="6" w:tplc="D07014EE" w:tentative="1">
      <w:start w:val="1"/>
      <w:numFmt w:val="decimal"/>
      <w:lvlText w:val="%7."/>
      <w:lvlJc w:val="left"/>
      <w:pPr>
        <w:ind w:left="4680" w:hanging="360"/>
      </w:pPr>
    </w:lvl>
    <w:lvl w:ilvl="7" w:tplc="73424132" w:tentative="1">
      <w:start w:val="1"/>
      <w:numFmt w:val="lowerLetter"/>
      <w:lvlText w:val="%8."/>
      <w:lvlJc w:val="left"/>
      <w:pPr>
        <w:ind w:left="5400" w:hanging="360"/>
      </w:pPr>
    </w:lvl>
    <w:lvl w:ilvl="8" w:tplc="9460915A" w:tentative="1">
      <w:start w:val="1"/>
      <w:numFmt w:val="lowerRoman"/>
      <w:lvlText w:val="%9."/>
      <w:lvlJc w:val="right"/>
      <w:pPr>
        <w:ind w:left="6120" w:hanging="180"/>
      </w:pPr>
    </w:lvl>
  </w:abstractNum>
  <w:abstractNum w:abstractNumId="2" w15:restartNumberingAfterBreak="0">
    <w:nsid w:val="29ED30CF"/>
    <w:multiLevelType w:val="hybridMultilevel"/>
    <w:tmpl w:val="FA1817DE"/>
    <w:lvl w:ilvl="0" w:tplc="4B3A7AFE">
      <w:start w:val="1"/>
      <w:numFmt w:val="decimal"/>
      <w:lvlText w:val="%1."/>
      <w:lvlJc w:val="left"/>
      <w:pPr>
        <w:ind w:left="360" w:hanging="360"/>
      </w:pPr>
    </w:lvl>
    <w:lvl w:ilvl="1" w:tplc="BE6CD4E0" w:tentative="1">
      <w:start w:val="1"/>
      <w:numFmt w:val="lowerLetter"/>
      <w:lvlText w:val="%2."/>
      <w:lvlJc w:val="left"/>
      <w:pPr>
        <w:ind w:left="1080" w:hanging="360"/>
      </w:pPr>
    </w:lvl>
    <w:lvl w:ilvl="2" w:tplc="1974F15C" w:tentative="1">
      <w:start w:val="1"/>
      <w:numFmt w:val="lowerRoman"/>
      <w:lvlText w:val="%3."/>
      <w:lvlJc w:val="right"/>
      <w:pPr>
        <w:ind w:left="1800" w:hanging="180"/>
      </w:pPr>
    </w:lvl>
    <w:lvl w:ilvl="3" w:tplc="DCC86F76" w:tentative="1">
      <w:start w:val="1"/>
      <w:numFmt w:val="decimal"/>
      <w:lvlText w:val="%4."/>
      <w:lvlJc w:val="left"/>
      <w:pPr>
        <w:ind w:left="2520" w:hanging="360"/>
      </w:pPr>
    </w:lvl>
    <w:lvl w:ilvl="4" w:tplc="A5DC640E" w:tentative="1">
      <w:start w:val="1"/>
      <w:numFmt w:val="lowerLetter"/>
      <w:lvlText w:val="%5."/>
      <w:lvlJc w:val="left"/>
      <w:pPr>
        <w:ind w:left="3240" w:hanging="360"/>
      </w:pPr>
    </w:lvl>
    <w:lvl w:ilvl="5" w:tplc="D9A2CE1A" w:tentative="1">
      <w:start w:val="1"/>
      <w:numFmt w:val="lowerRoman"/>
      <w:lvlText w:val="%6."/>
      <w:lvlJc w:val="right"/>
      <w:pPr>
        <w:ind w:left="3960" w:hanging="180"/>
      </w:pPr>
    </w:lvl>
    <w:lvl w:ilvl="6" w:tplc="6CF44954" w:tentative="1">
      <w:start w:val="1"/>
      <w:numFmt w:val="decimal"/>
      <w:lvlText w:val="%7."/>
      <w:lvlJc w:val="left"/>
      <w:pPr>
        <w:ind w:left="4680" w:hanging="360"/>
      </w:pPr>
    </w:lvl>
    <w:lvl w:ilvl="7" w:tplc="ADE6C394" w:tentative="1">
      <w:start w:val="1"/>
      <w:numFmt w:val="lowerLetter"/>
      <w:lvlText w:val="%8."/>
      <w:lvlJc w:val="left"/>
      <w:pPr>
        <w:ind w:left="5400" w:hanging="360"/>
      </w:pPr>
    </w:lvl>
    <w:lvl w:ilvl="8" w:tplc="B0AC3B50" w:tentative="1">
      <w:start w:val="1"/>
      <w:numFmt w:val="lowerRoman"/>
      <w:lvlText w:val="%9."/>
      <w:lvlJc w:val="right"/>
      <w:pPr>
        <w:ind w:left="6120" w:hanging="180"/>
      </w:pPr>
    </w:lvl>
  </w:abstractNum>
  <w:abstractNum w:abstractNumId="3" w15:restartNumberingAfterBreak="0">
    <w:nsid w:val="3E143D6A"/>
    <w:multiLevelType w:val="hybridMultilevel"/>
    <w:tmpl w:val="BE821710"/>
    <w:lvl w:ilvl="0" w:tplc="9A5EA4EA">
      <w:start w:val="1"/>
      <w:numFmt w:val="decimal"/>
      <w:lvlText w:val="%1."/>
      <w:lvlJc w:val="left"/>
      <w:pPr>
        <w:ind w:left="360" w:hanging="360"/>
      </w:pPr>
    </w:lvl>
    <w:lvl w:ilvl="1" w:tplc="4ED0F760" w:tentative="1">
      <w:start w:val="1"/>
      <w:numFmt w:val="lowerLetter"/>
      <w:lvlText w:val="%2."/>
      <w:lvlJc w:val="left"/>
      <w:pPr>
        <w:ind w:left="1080" w:hanging="360"/>
      </w:pPr>
    </w:lvl>
    <w:lvl w:ilvl="2" w:tplc="C25CED94" w:tentative="1">
      <w:start w:val="1"/>
      <w:numFmt w:val="lowerRoman"/>
      <w:lvlText w:val="%3."/>
      <w:lvlJc w:val="right"/>
      <w:pPr>
        <w:ind w:left="1800" w:hanging="180"/>
      </w:pPr>
    </w:lvl>
    <w:lvl w:ilvl="3" w:tplc="E962D848" w:tentative="1">
      <w:start w:val="1"/>
      <w:numFmt w:val="decimal"/>
      <w:lvlText w:val="%4."/>
      <w:lvlJc w:val="left"/>
      <w:pPr>
        <w:ind w:left="2520" w:hanging="360"/>
      </w:pPr>
    </w:lvl>
    <w:lvl w:ilvl="4" w:tplc="BEB47A24" w:tentative="1">
      <w:start w:val="1"/>
      <w:numFmt w:val="lowerLetter"/>
      <w:lvlText w:val="%5."/>
      <w:lvlJc w:val="left"/>
      <w:pPr>
        <w:ind w:left="3240" w:hanging="360"/>
      </w:pPr>
    </w:lvl>
    <w:lvl w:ilvl="5" w:tplc="4E88420C" w:tentative="1">
      <w:start w:val="1"/>
      <w:numFmt w:val="lowerRoman"/>
      <w:lvlText w:val="%6."/>
      <w:lvlJc w:val="right"/>
      <w:pPr>
        <w:ind w:left="3960" w:hanging="180"/>
      </w:pPr>
    </w:lvl>
    <w:lvl w:ilvl="6" w:tplc="32CE96C6" w:tentative="1">
      <w:start w:val="1"/>
      <w:numFmt w:val="decimal"/>
      <w:lvlText w:val="%7."/>
      <w:lvlJc w:val="left"/>
      <w:pPr>
        <w:ind w:left="4680" w:hanging="360"/>
      </w:pPr>
    </w:lvl>
    <w:lvl w:ilvl="7" w:tplc="ABDC9CEE" w:tentative="1">
      <w:start w:val="1"/>
      <w:numFmt w:val="lowerLetter"/>
      <w:lvlText w:val="%8."/>
      <w:lvlJc w:val="left"/>
      <w:pPr>
        <w:ind w:left="5400" w:hanging="360"/>
      </w:pPr>
    </w:lvl>
    <w:lvl w:ilvl="8" w:tplc="FA3C98DA" w:tentative="1">
      <w:start w:val="1"/>
      <w:numFmt w:val="lowerRoman"/>
      <w:lvlText w:val="%9."/>
      <w:lvlJc w:val="right"/>
      <w:pPr>
        <w:ind w:left="6120" w:hanging="180"/>
      </w:pPr>
    </w:lvl>
  </w:abstractNum>
  <w:abstractNum w:abstractNumId="4" w15:restartNumberingAfterBreak="0">
    <w:nsid w:val="50701B2A"/>
    <w:multiLevelType w:val="hybridMultilevel"/>
    <w:tmpl w:val="A364A230"/>
    <w:lvl w:ilvl="0" w:tplc="3D76501A">
      <w:numFmt w:val="bullet"/>
      <w:lvlText w:val=""/>
      <w:lvlJc w:val="left"/>
      <w:pPr>
        <w:tabs>
          <w:tab w:val="num" w:pos="644"/>
        </w:tabs>
        <w:ind w:left="644" w:hanging="360"/>
      </w:pPr>
      <w:rPr>
        <w:rFonts w:ascii="Wingdings" w:eastAsia="Times New Roman"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SKOM            "/>
    <w:docVar w:name="CUSTOM.ADRESA_UP" w:val="Odloučené pracoviště Kolín, Karlovo nám. 45, 280 50 Kolín I"/>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20"/>
    <w:docVar w:name="CUSTOM.SKARTACNI_ZNAK" w:val="A"/>
    <w:docVar w:name="CUSTOM.UKLADACI_ZNAK" w:val="80.10"/>
    <w:docVar w:name="CUSTOM.VEC" w:val="E - Žehuň - KN 437 - Smlouva o změně příslušnosti hospodařit s majetkem státu k podpisu VOP "/>
    <w:docVar w:name="CUSTOM.VLASTNIK_CISLO_DS" w:val="96vaa2e"/>
    <w:docVar w:name="CUSTOM.VLASTNIK_FUNKCE" w:val="referent"/>
    <w:docVar w:name="CUSTOM.VLASTNIK_JMENO" w:val="Pavla Trejbalová"/>
    <w:docVar w:name="CUSTOM.VLASTNIK_MAIL" w:val="Pavla.Trejbalova@uzsvm.gov.cz"/>
    <w:docVar w:name="CUSTOM.VLASTNIK_TELEFON" w:val="+420 321 744 287                "/>
    <w:docVar w:name="CUSTOM.VYTVOREN_DNE" w:val="5.3.2026 8:01:38"/>
    <w:docVar w:name="KOD.KOD_CJ" w:val="UZSVM/A/148224/2026-SKOM"/>
    <w:docVar w:name="KOD.KOD_EVC" w:val="UZSVM/A/150551/2026"/>
    <w:docVar w:name="KOD.KOD_EVC_BARCODE" w:val="UA0000000010005214"/>
    <w:docVar w:name="KOD.KOD_IU_CODE" w:val="9462"/>
    <w:docVar w:name="KOD.KOD_IU_SHORT" w:val="oddělení Hospodaření s majetkem"/>
    <w:docVar w:name="KOD.KOD_IU_TXT" w:val="SKOM            "/>
  </w:docVars>
  <w:rsids>
    <w:rsidRoot w:val="00A701DB"/>
    <w:rsid w:val="000566A5"/>
    <w:rsid w:val="00844E82"/>
    <w:rsid w:val="00A70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4128"/>
  <w15:docId w15:val="{546AF382-7013-434A-A1DB-D17BE71E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paragraph" w:styleId="Nadpis2">
    <w:name w:val="heading 2"/>
    <w:basedOn w:val="Normln"/>
    <w:next w:val="Normln"/>
    <w:link w:val="Nadpis2Char"/>
    <w:uiPriority w:val="9"/>
    <w:semiHidden/>
    <w:unhideWhenUsed/>
    <w:qFormat/>
    <w:rsid w:val="00844E8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character" w:customStyle="1" w:styleId="Nadpis2Char">
    <w:name w:val="Nadpis 2 Char"/>
    <w:basedOn w:val="Standardnpsmoodstavce"/>
    <w:link w:val="Nadpis2"/>
    <w:uiPriority w:val="9"/>
    <w:semiHidden/>
    <w:rsid w:val="00844E82"/>
    <w:rPr>
      <w:rFonts w:asciiTheme="majorHAnsi" w:eastAsiaTheme="majorEastAsia" w:hAnsiTheme="majorHAnsi" w:cstheme="majorBidi"/>
      <w:b/>
      <w:bCs/>
      <w:color w:val="5B9BD5" w:themeColor="accent1"/>
      <w:sz w:val="26"/>
      <w:szCs w:val="26"/>
    </w:rPr>
  </w:style>
  <w:style w:type="paragraph" w:styleId="Odstavecseseznamem">
    <w:name w:val="List Paragraph"/>
    <w:basedOn w:val="Normln"/>
    <w:uiPriority w:val="34"/>
    <w:qFormat/>
    <w:rsid w:val="00844E82"/>
    <w:pPr>
      <w:ind w:left="720"/>
      <w:contextualSpacing/>
    </w:pPr>
    <w:rPr>
      <w:szCs w:val="24"/>
    </w:rPr>
  </w:style>
  <w:style w:type="paragraph" w:styleId="Textvbloku">
    <w:name w:val="Block Text"/>
    <w:basedOn w:val="Normln"/>
    <w:unhideWhenUsed/>
    <w:rsid w:val="00844E82"/>
    <w:pPr>
      <w:ind w:left="-540" w:right="-828"/>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5544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Trejbalová Pavla</cp:lastModifiedBy>
  <cp:revision>2</cp:revision>
  <cp:lastPrinted>2026-03-05T07:06:00Z</cp:lastPrinted>
  <dcterms:created xsi:type="dcterms:W3CDTF">2026-04-07T12:13:00Z</dcterms:created>
  <dcterms:modified xsi:type="dcterms:W3CDTF">2026-04-07T12:13:00Z</dcterms:modified>
</cp:coreProperties>
</file>