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ZÁJMU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074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VT Lubinka – likvidace invazních rostlin 2026-2027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074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...MYŠÁCI s.r.o., Krajková 206, 357 09 Habartov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VT Lubinka – likvidace invazních rostlin 2026-2027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MYŠÁCI s.r.o., IČO 29091641/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prostřednictvím [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doplnit jméno osoby a její funkci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 (dále jen „dodavatel“),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397" w:val="left"/>
          <w:tab w:pos="4306" w:val="left"/>
          <w:tab w:pos="8813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Podpis: </w:t>
      </w:r>
      <w:r>
        <w:rPr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866" w:val="left"/>
          <w:tab w:pos="7373" w:val="left"/>
        </w:tabs>
        <w:bidi w:val="0"/>
        <w:spacing w:before="0" w:after="440" w:line="240" w:lineRule="auto"/>
        <w:ind w:left="0" w:right="0" w:firstLine="0"/>
        <w:jc w:val="center"/>
      </w:pP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397" w:val="left"/>
          <w:tab w:pos="4555" w:val="left"/>
          <w:tab w:pos="5146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...7.4.2026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 xml:space="preserve">Razítko: </w:t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04" w:left="1111" w:right="939" w:bottom="1291" w:header="67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