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3"/>
        <w:pBdr/>
        <w:spacing/>
        <w:ind/>
        <w:rPr/>
      </w:pPr>
      <w:r/>
      <w:r/>
    </w:p>
    <w:p>
      <w:pPr>
        <w:pStyle w:val="693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Dodatek č. </w:t>
      </w:r>
      <w:r>
        <w:rPr>
          <w:rFonts w:ascii="Arial" w:hAnsi="Arial" w:cs="Arial"/>
          <w:b/>
          <w:bCs/>
          <w:sz w:val="36"/>
          <w:szCs w:val="36"/>
        </w:rPr>
        <w:t xml:space="preserve">4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693"/>
        <w:pBdr/>
        <w:spacing/>
        <w:ind/>
        <w:jc w:val="center"/>
        <w:rPr>
          <w:b/>
          <w:bCs/>
        </w:rPr>
      </w:pPr>
      <w:r>
        <w:rPr>
          <w:rFonts w:ascii="Arial" w:hAnsi="Arial" w:eastAsia="Times New Roman" w:cs="Arial"/>
          <w:color w:val="000000"/>
          <w:lang w:eastAsia="cs-CZ" w:bidi="ar-SA"/>
        </w:rPr>
        <w:t xml:space="preserve">ke S</w:t>
      </w:r>
      <w:r>
        <w:rPr>
          <w:rFonts w:ascii="Arial" w:hAnsi="Arial" w:eastAsia="Times New Roman" w:cs="Arial"/>
          <w:color w:val="000000"/>
          <w:lang w:eastAsia="cs-CZ" w:bidi="ar-SA"/>
        </w:rPr>
        <w:t xml:space="preserve">mlouv</w:t>
      </w:r>
      <w:r>
        <w:rPr>
          <w:rFonts w:ascii="Arial" w:hAnsi="Arial" w:eastAsia="Times New Roman" w:cs="Arial"/>
          <w:color w:val="000000"/>
          <w:lang w:eastAsia="cs-CZ" w:bidi="ar-SA"/>
        </w:rPr>
        <w:t xml:space="preserve">ě</w:t>
      </w:r>
      <w:r>
        <w:rPr>
          <w:rFonts w:ascii="Arial" w:hAnsi="Arial" w:eastAsia="Times New Roman" w:cs="Arial"/>
          <w:color w:val="000000"/>
          <w:lang w:eastAsia="cs-CZ" w:bidi="ar-SA"/>
        </w:rPr>
        <w:t xml:space="preserve"> o dílo</w:t>
      </w:r>
      <w:r>
        <w:rPr>
          <w:rFonts w:ascii="Arial" w:hAnsi="Arial" w:eastAsia="Times New Roman" w:cs="Arial"/>
          <w:color w:val="000000"/>
          <w:lang w:eastAsia="cs-CZ" w:bidi="ar-SA"/>
        </w:rPr>
        <w:t xml:space="preserve"> č. </w:t>
      </w:r>
      <w:r>
        <w:rPr>
          <w:rFonts w:hint="eastAsia" w:ascii="Arial" w:hAnsi="Arial" w:eastAsia="Times New Roman" w:cs="Arial"/>
          <w:color w:val="000000"/>
          <w:lang w:eastAsia="cs-CZ" w:bidi="ar-SA"/>
        </w:rPr>
        <w:t xml:space="preserve">UPR/000015/2021/DIL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eastAsia="Times New Roman" w:cs="Arial"/>
          <w:color w:val="000000"/>
          <w:lang w:eastAsia="cs-CZ" w:bidi="ar-SA"/>
        </w:rPr>
        <w:t xml:space="preserve">uzavřen</w:t>
      </w:r>
      <w:r>
        <w:rPr>
          <w:rFonts w:ascii="Arial" w:hAnsi="Arial" w:eastAsia="Times New Roman" w:cs="Arial"/>
          <w:color w:val="000000"/>
          <w:lang w:eastAsia="cs-CZ" w:bidi="ar-SA"/>
        </w:rPr>
        <w:t xml:space="preserve">é</w:t>
      </w:r>
      <w:r>
        <w:rPr>
          <w:rFonts w:ascii="Arial" w:hAnsi="Arial" w:eastAsia="Times New Roman" w:cs="Arial"/>
          <w:color w:val="000000"/>
          <w:lang w:eastAsia="cs-CZ" w:bidi="ar-SA"/>
        </w:rPr>
        <w:t xml:space="preserve"> ve smyslu ustanovení § 2586 a násl. zákona č. 89/2012 Sb., občanského zákoníku, ve znění pozdějších předpisů (dále jen „občanský zákoník“)</w:t>
      </w:r>
      <w:r>
        <w:rPr>
          <w:b/>
          <w:bCs/>
        </w:rPr>
      </w:r>
      <w:r>
        <w:rPr>
          <w:b/>
          <w:bCs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Město Chrudim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adresa:</w:t>
        <w:tab/>
        <w:tab/>
      </w:r>
      <w:r>
        <w:rPr>
          <w:rFonts w:ascii="Arial" w:hAnsi="Arial" w:cs="Arial"/>
        </w:rPr>
        <w:t xml:space="preserve">Resselovo náměstí č.p. 77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537 16 Chrudim</w:t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IČO:</w:t>
        <w:tab/>
        <w:tab/>
        <w:tab/>
        <w:t xml:space="preserve">00270211</w:t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DIČ:</w:t>
        <w:tab/>
        <w:tab/>
        <w:tab/>
        <w:t xml:space="preserve">CZ00270211</w:t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</w:t>
        <w:tab/>
        <w:t xml:space="preserve">ČSOB</w:t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číslo účtu:</w:t>
        <w:tab/>
        <w:tab/>
        <w:t xml:space="preserve">104109190/0300</w:t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zastoupený:</w:t>
        <w:tab/>
        <w:tab/>
        <w:t xml:space="preserve">Ing. Františkem Pilným, MBA, starostou města</w:t>
      </w:r>
      <w:r>
        <w:rPr>
          <w:rFonts w:ascii="Arial" w:hAnsi="Arial" w:cs="Arial"/>
        </w:rPr>
        <w:t xml:space="preserve">, osoba oprávněná </w:t>
        <w:tab/>
        <w:tab/>
        <w:tab/>
        <w:tab/>
        <w:t xml:space="preserve">jednat ve věcech smluvních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</w:r>
      <w:r>
        <w:rPr>
          <w:rFonts w:ascii="Arial" w:hAnsi="Arial" w:cs="Arial"/>
        </w:rPr>
        <w:t xml:space="preserve">Ing. Hana Luptáková</w:t>
      </w:r>
      <w:r>
        <w:rPr>
          <w:rFonts w:ascii="Arial" w:hAnsi="Arial" w:cs="Arial"/>
        </w:rPr>
        <w:t xml:space="preserve">, osoba oprávněná jednat ve věcech technických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(dále jen „objednatel“)</w:t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5"/>
        <w:pBdr/>
        <w:spacing w:line="240" w:lineRule="auto"/>
        <w:ind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DEZINFA s.r.o.</w:t>
      </w: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adresa:</w:t>
        <w:tab/>
        <w:tab/>
      </w:r>
      <w:r>
        <w:rPr>
          <w:rFonts w:ascii="Arial" w:hAnsi="Arial" w:cs="Arial"/>
        </w:rPr>
        <w:t xml:space="preserve">Fortenská 43, 537 01 Chrudim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IČO:</w:t>
        <w:tab/>
        <w:tab/>
        <w:tab/>
      </w:r>
      <w:r>
        <w:rPr>
          <w:rFonts w:ascii="Arial" w:hAnsi="Arial" w:cs="Arial"/>
        </w:rPr>
        <w:t xml:space="preserve">48151033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DIČ:</w:t>
        <w:tab/>
        <w:tab/>
        <w:tab/>
      </w:r>
      <w:r>
        <w:rPr>
          <w:rFonts w:ascii="Arial" w:hAnsi="Arial" w:cs="Arial"/>
        </w:rPr>
        <w:t xml:space="preserve">CZ48151033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</w:t>
        <w:tab/>
      </w:r>
      <w:r>
        <w:rPr>
          <w:rFonts w:ascii="Arial" w:hAnsi="Arial" w:cs="Arial"/>
        </w:rPr>
        <w:t xml:space="preserve">KB a.s.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číslo účtu:</w:t>
        <w:tab/>
        <w:tab/>
      </w:r>
      <w:r>
        <w:rPr>
          <w:rFonts w:ascii="Arial" w:hAnsi="Arial" w:cs="Arial"/>
        </w:rPr>
        <w:t xml:space="preserve">78-9229260207/0100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zastoupený:</w:t>
        <w:tab/>
        <w:tab/>
      </w:r>
      <w:r>
        <w:rPr>
          <w:rFonts w:ascii="Arial" w:hAnsi="Arial" w:cs="Arial"/>
        </w:rPr>
        <w:t xml:space="preserve">Milanem Zavadilem, jednatelem společnosti</w: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(dále jen „zhotovitel“)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tabs>
          <w:tab w:val="left" w:leader="none" w:pos="709"/>
        </w:tabs>
        <w:spacing/>
        <w:ind w:left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I</w:t>
      </w:r>
      <w:r>
        <w:rPr>
          <w:rFonts w:ascii="Arial" w:hAnsi="Arial" w:cs="Arial"/>
          <w:b/>
        </w:rPr>
      </w:r>
    </w:p>
    <w:p>
      <w:pPr>
        <w:pStyle w:val="693"/>
        <w:pBdr/>
        <w:tabs>
          <w:tab w:val="left" w:leader="none" w:pos="709"/>
        </w:tabs>
        <w:spacing w:after="120"/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Předmět </w:t>
      </w:r>
      <w:r>
        <w:rPr>
          <w:rFonts w:ascii="Arial" w:hAnsi="Arial" w:cs="Arial"/>
          <w:b/>
        </w:rPr>
        <w:t xml:space="preserve">dodatku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numPr>
          <w:ilvl w:val="0"/>
          <w:numId w:val="8"/>
        </w:numPr>
        <w:pBdr/>
        <w:spacing w:after="120"/>
        <w:ind w:hanging="284"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se zavazuje provést </w:t>
      </w:r>
      <w:r>
        <w:rPr>
          <w:rFonts w:ascii="Arial" w:hAnsi="Arial" w:cs="Arial"/>
        </w:rPr>
        <w:t xml:space="preserve">mimořádnou </w:t>
      </w:r>
      <w:r>
        <w:rPr>
          <w:rFonts w:ascii="Arial" w:hAnsi="Arial" w:cs="Arial"/>
        </w:rPr>
        <w:t xml:space="preserve">ochrannou deratizaci </w:t>
      </w:r>
      <w:r>
        <w:rPr>
          <w:rFonts w:ascii="Arial" w:hAnsi="Arial" w:cs="Arial"/>
        </w:rPr>
        <w:t xml:space="preserve">pulzní </w:t>
      </w:r>
      <w:r>
        <w:rPr>
          <w:rFonts w:ascii="Arial" w:hAnsi="Arial" w:cs="Arial"/>
        </w:rPr>
        <w:t xml:space="preserve">metodou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vytipovaných lokalitách</w:t>
      </w:r>
      <w:r>
        <w:rPr>
          <w:rFonts w:ascii="Arial" w:hAnsi="Arial" w:cs="Arial"/>
        </w:rPr>
        <w:t xml:space="preserve">, kde probíhala pulzní deratizace dle Dodatků č. 1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</w:t>
      </w:r>
      <w:r>
        <w:rPr>
          <w:rFonts w:ascii="Arial" w:hAnsi="Arial" w:cs="Arial"/>
        </w:rPr>
        <w:t xml:space="preserve"> ke </w:t>
      </w:r>
      <w:r>
        <w:rPr>
          <w:rFonts w:ascii="Arial" w:hAnsi="Arial" w:eastAsia="Times New Roman" w:cs="Arial"/>
          <w:color w:val="000000"/>
          <w:lang w:eastAsia="cs-CZ" w:bidi="ar-SA"/>
        </w:rPr>
        <w:t xml:space="preserve">S</w:t>
      </w:r>
      <w:r>
        <w:rPr>
          <w:rFonts w:ascii="Arial" w:hAnsi="Arial" w:eastAsia="Times New Roman" w:cs="Arial"/>
          <w:color w:val="000000"/>
          <w:lang w:eastAsia="cs-CZ" w:bidi="ar-SA"/>
        </w:rPr>
        <w:t xml:space="preserve">mlouvě o dílo č. </w:t>
      </w:r>
      <w:r>
        <w:rPr>
          <w:rFonts w:hint="eastAsia" w:ascii="Arial" w:hAnsi="Arial" w:eastAsia="Times New Roman" w:cs="Arial"/>
          <w:color w:val="000000"/>
          <w:lang w:eastAsia="cs-CZ" w:bidi="ar-SA"/>
        </w:rPr>
        <w:t xml:space="preserve">UPR/000015/2021/DIL</w:t>
      </w:r>
      <w:r>
        <w:rPr>
          <w:rFonts w:ascii="Arial" w:hAnsi="Arial" w:eastAsia="Times New Roman" w:cs="Arial"/>
          <w:color w:val="000000"/>
          <w:lang w:eastAsia="cs-CZ" w:bidi="ar-SA"/>
        </w:rPr>
        <w:t xml:space="preserve"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</w:t>
      </w:r>
      <w:r>
        <w:rPr>
          <w:rFonts w:ascii="Arial" w:hAnsi="Arial" w:cs="Arial"/>
        </w:rPr>
        <w:t xml:space="preserve">eratizace </w:t>
      </w:r>
      <w:r>
        <w:rPr>
          <w:rFonts w:ascii="Arial" w:hAnsi="Arial" w:cs="Arial"/>
        </w:rPr>
        <w:t xml:space="preserve">vychází z vyhodnocení stavu po provedené pulzní deratizaci</w:t>
      </w:r>
      <w:r>
        <w:rPr>
          <w:rFonts w:ascii="Arial" w:hAnsi="Arial" w:cs="Arial"/>
        </w:rPr>
        <w:t xml:space="preserve">, které proběhlo v únoru 2026,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bude spočívat </w:t>
      </w:r>
      <w:r>
        <w:rPr>
          <w:rFonts w:ascii="Arial" w:hAnsi="Arial" w:cs="Arial"/>
        </w:rPr>
        <w:t xml:space="preserve">v dalším ošetření nor, které zůstaly aktivní po provedení předchozí pulzní deratizace. Budou provedeny 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 op</w:t>
      </w:r>
      <w:r>
        <w:rPr>
          <w:rFonts w:ascii="Arial" w:hAnsi="Arial" w:cs="Arial"/>
        </w:rPr>
        <w:t xml:space="preserve">akované aplikac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 vhodného přípravku do aktivních nor. Deratizace bude ukončena sběrem nespotřebovaných nástrah, vlaječek a vyhodnocením.</w:t>
      </w:r>
      <w:r>
        <w:rPr>
          <w:rFonts w:ascii="Arial" w:hAnsi="Arial" w:cs="Arial"/>
        </w:rPr>
      </w:r>
    </w:p>
    <w:p>
      <w:pPr>
        <w:pStyle w:val="693"/>
        <w:widowControl w:val="true"/>
        <w:pBdr/>
        <w:spacing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bude nakoupeno 6 plastových jedových stanic, které budou instalovány </w:t>
      </w:r>
      <w:r>
        <w:rPr>
          <w:rFonts w:ascii="Arial" w:hAnsi="Arial" w:cs="Arial"/>
        </w:rPr>
        <w:t xml:space="preserve">u svahu </w:t>
      </w:r>
      <w:r>
        <w:rPr>
          <w:rFonts w:ascii="Arial" w:hAnsi="Arial" w:cs="Arial"/>
        </w:rPr>
        <w:t xml:space="preserve">v ulici Na Šancích, který je dlouhodobě problematický. V</w:t>
      </w:r>
      <w:r>
        <w:rPr>
          <w:rFonts w:ascii="Arial" w:hAnsi="Arial" w:cs="Arial"/>
        </w:rPr>
        <w:t xml:space="preserve">zhledem k možné rezistenci</w:t>
      </w:r>
      <w:r>
        <w:rPr>
          <w:rFonts w:ascii="Arial" w:hAnsi="Arial" w:cs="Arial"/>
        </w:rPr>
        <w:t xml:space="preserve"> </w:t>
      </w:r>
      <w:r>
        <w:rPr>
          <w:rFonts w:ascii="Arial" w:hAnsi="Arial" w:cs="Arial"/>
        </w:rPr>
        <w:t xml:space="preserve">na opakovaně používanou účinnou látku bude použit přípravek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 účinnou látkou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cholekalciferol, která má odlišný mechanizmus likvidace hlodavců</w:t>
      </w:r>
      <w:r>
        <w:rPr>
          <w:rFonts w:ascii="Arial" w:hAnsi="Arial" w:cs="Arial"/>
        </w:rPr>
        <w:t xml:space="preserve"> než dosud používané přípravky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 w:after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 w:after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Podrobná specifikace prací je uvedena v nabídce zhotovitele ze dne </w:t>
      </w:r>
      <w:r>
        <w:rPr>
          <w:rFonts w:ascii="Arial" w:hAnsi="Arial" w:cs="Arial"/>
        </w:rPr>
        <w:t xml:space="preserve">17. 3. 2026</w:t>
      </w:r>
      <w:r>
        <w:rPr>
          <w:rFonts w:ascii="Arial" w:hAnsi="Arial" w:cs="Arial"/>
        </w:rPr>
        <w:t xml:space="preserve">, která je přílohou č. 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 dodatku.</w:t>
      </w:r>
      <w:r>
        <w:rPr>
          <w:rFonts w:ascii="Arial" w:hAnsi="Arial" w:cs="Arial"/>
        </w:rPr>
      </w:r>
    </w:p>
    <w:p>
      <w:pPr>
        <w:pStyle w:val="693"/>
        <w:pBdr/>
        <w:tabs>
          <w:tab w:val="left" w:leader="none" w:pos="709"/>
        </w:tabs>
        <w:spacing/>
        <w:ind w:left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693"/>
        <w:pBdr/>
        <w:tabs>
          <w:tab w:val="left" w:leader="none" w:pos="709"/>
        </w:tabs>
        <w:spacing/>
        <w:ind w:left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I</w:t>
      </w:r>
      <w:r>
        <w:rPr>
          <w:rFonts w:ascii="Arial" w:hAnsi="Arial" w:cs="Arial"/>
          <w:b/>
        </w:rPr>
        <w:t xml:space="preserve">I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693"/>
        <w:pBdr/>
        <w:tabs>
          <w:tab w:val="left" w:leader="none" w:pos="709"/>
        </w:tabs>
        <w:spacing w:after="120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Doba plnění</w:t>
      </w:r>
      <w:r>
        <w:rPr>
          <w:rFonts w:ascii="Arial" w:hAnsi="Arial" w:cs="Arial"/>
          <w:b/>
        </w:rPr>
      </w:r>
    </w:p>
    <w:p>
      <w:pPr>
        <w:pStyle w:val="693"/>
        <w:pBdr/>
        <w:tabs>
          <w:tab w:val="left" w:leader="none" w:pos="709"/>
        </w:tabs>
        <w:spacing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Mimořádná </w:t>
      </w:r>
      <w:r>
        <w:rPr>
          <w:rFonts w:ascii="Arial" w:hAnsi="Arial" w:cs="Arial"/>
        </w:rPr>
        <w:t xml:space="preserve">ochranná </w:t>
      </w:r>
      <w:r>
        <w:rPr>
          <w:rFonts w:ascii="Arial" w:hAnsi="Arial" w:cs="Arial"/>
        </w:rPr>
        <w:t xml:space="preserve">deratizace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rozsahu dle tohoto dodatku </w:t>
      </w:r>
      <w:r>
        <w:rPr>
          <w:rFonts w:ascii="Arial" w:hAnsi="Arial" w:cs="Arial"/>
        </w:rPr>
        <w:t xml:space="preserve">bude probíhat dle dohody smluvních stran </w:t>
      </w:r>
      <w:r>
        <w:rPr>
          <w:rFonts w:ascii="Arial" w:hAnsi="Arial" w:cs="Arial"/>
        </w:rPr>
        <w:t xml:space="preserve">od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 dne účinnosti </w:t>
      </w:r>
      <w:r>
        <w:rPr>
          <w:rFonts w:ascii="Arial" w:hAnsi="Arial" w:cs="Arial"/>
        </w:rPr>
        <w:t xml:space="preserve">dodatku </w:t>
      </w:r>
      <w:r>
        <w:rPr>
          <w:rFonts w:ascii="Arial" w:hAnsi="Arial" w:cs="Arial"/>
        </w:rPr>
        <w:t xml:space="preserve">nejpozději </w:t>
      </w:r>
      <w:r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31. 5. 2026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tabs>
          <w:tab w:val="left" w:leader="none" w:pos="709"/>
        </w:tabs>
        <w:spacing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tabs>
          <w:tab w:val="left" w:leader="none" w:pos="709"/>
        </w:tabs>
        <w:spacing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tabs>
          <w:tab w:val="left" w:leader="none" w:pos="709"/>
        </w:tabs>
        <w:spacing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tabs>
          <w:tab w:val="left" w:leader="none" w:pos="709"/>
        </w:tabs>
        <w:spacing/>
        <w:ind w:left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I</w:t>
      </w:r>
      <w:r>
        <w:rPr>
          <w:rFonts w:ascii="Arial" w:hAnsi="Arial" w:cs="Arial"/>
          <w:b/>
        </w:rPr>
        <w:t xml:space="preserve">II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693"/>
        <w:pBdr/>
        <w:tabs>
          <w:tab w:val="left" w:leader="none" w:pos="709"/>
        </w:tabs>
        <w:spacing w:after="120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693"/>
        <w:numPr>
          <w:ilvl w:val="0"/>
          <w:numId w:val="4"/>
        </w:numPr>
        <w:pBdr/>
        <w:spacing w:before="120"/>
        <w:ind/>
        <w:jc w:val="both"/>
        <w:rPr>
          <w:rFonts w:ascii="Arial" w:hAnsi="Arial" w:eastAsia="Arial" w:cs="Arial"/>
        </w:rPr>
      </w:pPr>
      <w:r>
        <w:rPr>
          <w:rFonts w:ascii="Arial" w:hAnsi="Arial" w:cs="Arial"/>
        </w:rPr>
        <w:t xml:space="preserve">Cena za </w:t>
      </w:r>
      <w:r>
        <w:rPr>
          <w:rFonts w:ascii="Arial" w:hAnsi="Arial" w:cs="Arial"/>
        </w:rPr>
        <w:t xml:space="preserve">ochrannou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deratizaci </w:t>
      </w:r>
      <w:r>
        <w:rPr>
          <w:rFonts w:ascii="Arial" w:hAnsi="Arial" w:cs="Arial"/>
        </w:rPr>
        <w:t xml:space="preserve">provedenou pulzní metodou </w:t>
      </w:r>
      <w:r>
        <w:rPr>
          <w:rFonts w:ascii="Arial" w:hAnsi="Arial" w:cs="Arial"/>
        </w:rPr>
        <w:t xml:space="preserve">na vybraných lokalitách </w:t>
      </w:r>
      <w:r>
        <w:rPr>
          <w:rFonts w:ascii="Arial" w:hAnsi="Arial" w:cs="Arial"/>
        </w:rPr>
        <w:t xml:space="preserve">je stanovena ve výši </w:t>
      </w:r>
      <w:r>
        <w:rPr>
          <w:rFonts w:ascii="Arial" w:hAnsi="Arial" w:cs="Arial"/>
        </w:rPr>
        <w:t xml:space="preserve">19 500</w:t>
      </w:r>
      <w:r>
        <w:rPr>
          <w:rFonts w:ascii="Arial" w:hAnsi="Arial" w:cs="Arial"/>
        </w:rPr>
        <w:t xml:space="preserve">,00 Kč bez DPH.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693"/>
        <w:pBdr/>
        <w:spacing w:before="120"/>
        <w:ind w:left="53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dodávku a instalaci 6 ks plastových jedových stanic je ve výši 2 340,00 Kč bez DPH. </w:t>
      </w:r>
      <w:r>
        <w:rPr>
          <w:rFonts w:ascii="Arial" w:hAnsi="Arial" w:cs="Arial"/>
        </w:rPr>
      </w:r>
    </w:p>
    <w:p>
      <w:pPr>
        <w:pStyle w:val="693"/>
        <w:pBdr/>
        <w:spacing w:before="120"/>
        <w:ind w:left="53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Cena celkem</w:t>
      </w:r>
      <w:r>
        <w:rPr>
          <w:rFonts w:ascii="Arial" w:hAnsi="Arial" w:cs="Arial"/>
          <w:b/>
        </w:rPr>
        <w:t xml:space="preserve"> činí</w:t>
      </w:r>
      <w:r>
        <w:rPr>
          <w:rFonts w:ascii="Arial" w:hAnsi="Arial" w:cs="Arial"/>
          <w:b/>
        </w:rPr>
        <w:t xml:space="preserve"> 21 840,00 Kč bez DPH. </w:t>
      </w:r>
      <w:r>
        <w:rPr>
          <w:rFonts w:ascii="Arial" w:hAnsi="Arial" w:cs="Arial"/>
          <w:b/>
        </w:rPr>
        <w:t xml:space="preserve">K ceně je připočítáno DPH ve výši 0,- Kč </w:t>
      </w:r>
      <w:r>
        <w:rPr>
          <w:rFonts w:ascii="Arial" w:hAnsi="Arial" w:cs="Arial"/>
        </w:rPr>
        <w:t xml:space="preserve">(zhotovitel není plátcem DPH) v souladu s obecně závaznými právními předpisy.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 w:before="120"/>
        <w:ind w:left="53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693"/>
        <w:numPr>
          <w:ilvl w:val="0"/>
          <w:numId w:val="4"/>
        </w:numPr>
        <w:pBdr/>
        <w:spacing w:after="120" w:before="120"/>
        <w:ind w:hanging="312" w:left="567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V</w:t>
      </w:r>
      <w:r>
        <w:rPr>
          <w:rFonts w:ascii="Arial" w:hAnsi="Arial" w:cs="Arial"/>
        </w:rPr>
        <w:t xml:space="preserve">ýše uveden</w:t>
      </w:r>
      <w:r>
        <w:rPr>
          <w:rFonts w:ascii="Arial" w:hAnsi="Arial" w:cs="Arial"/>
        </w:rPr>
        <w:t xml:space="preserve">á</w:t>
      </w:r>
      <w:r>
        <w:rPr>
          <w:rFonts w:ascii="Arial" w:hAnsi="Arial" w:cs="Arial"/>
        </w:rPr>
        <w:t xml:space="preserve"> cen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 konečn</w:t>
      </w:r>
      <w:r>
        <w:rPr>
          <w:rFonts w:ascii="Arial" w:hAnsi="Arial" w:cs="Arial"/>
        </w:rPr>
        <w:t xml:space="preserve">á</w:t>
      </w:r>
      <w:r>
        <w:rPr>
          <w:rFonts w:ascii="Arial" w:hAnsi="Arial" w:cs="Arial"/>
        </w:rPr>
        <w:t xml:space="preserve"> a nepřestupiteln</w:t>
      </w:r>
      <w:r>
        <w:rPr>
          <w:rFonts w:ascii="Arial" w:hAnsi="Arial" w:cs="Arial"/>
        </w:rPr>
        <w:t xml:space="preserve">á</w:t>
      </w:r>
      <w:r>
        <w:rPr>
          <w:rFonts w:ascii="Arial" w:hAnsi="Arial" w:cs="Arial"/>
        </w:rPr>
        <w:t xml:space="preserve">.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Arial" w:hAnsi="Arial"/>
          <w:color w:val="000000"/>
        </w:rPr>
        <w:t xml:space="preserve">Zhotovitel</w:t>
      </w:r>
      <w:r>
        <w:rPr>
          <w:rFonts w:ascii="Arial" w:hAnsi="Arial"/>
          <w:color w:val="000000"/>
        </w:rPr>
        <w:t xml:space="preserve"> se seznámil se všemi okolnostmi a podmínkami, které mohou mít jakýkoliv vliv na cenu, a tyto okolnosti do návrhu zakalkuloval.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 w:left="53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 w:left="53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tabs>
          <w:tab w:val="left" w:leader="none" w:pos="709"/>
        </w:tabs>
        <w:spacing/>
        <w:ind w:left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693"/>
        <w:pBdr/>
        <w:tabs>
          <w:tab w:val="left" w:leader="none" w:pos="709"/>
        </w:tabs>
        <w:spacing/>
        <w:ind w:left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</w:t>
      </w:r>
      <w:r>
        <w:rPr>
          <w:rFonts w:ascii="Arial" w:hAnsi="Arial" w:cs="Arial"/>
          <w:b/>
        </w:rPr>
        <w:t xml:space="preserve">V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693"/>
        <w:pBdr/>
        <w:spacing w:after="120"/>
        <w:ind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Závěrečná ustanovení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numPr>
          <w:ilvl w:val="0"/>
          <w:numId w:val="10"/>
        </w:numPr>
        <w:pBdr/>
        <w:spacing w:after="120"/>
        <w:ind w:left="6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souhlasí s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 zveřejněním </w:t>
      </w:r>
      <w:r>
        <w:rPr>
          <w:rFonts w:ascii="Arial" w:hAnsi="Arial" w:cs="Arial"/>
        </w:rPr>
        <w:t xml:space="preserve">tohoto dodatku</w:t>
      </w:r>
      <w:r>
        <w:rPr>
          <w:rFonts w:ascii="Arial" w:hAnsi="Arial" w:cs="Arial"/>
        </w:rPr>
        <w:t xml:space="preserve"> včetně všech </w:t>
      </w:r>
      <w:r>
        <w:rPr>
          <w:rFonts w:ascii="Arial" w:hAnsi="Arial" w:cs="Arial"/>
        </w:rPr>
        <w:t xml:space="preserve">jeho </w:t>
      </w:r>
      <w:r>
        <w:rPr>
          <w:rFonts w:ascii="Arial" w:hAnsi="Arial" w:cs="Arial"/>
        </w:rPr>
        <w:t xml:space="preserve">příloh na webových stránkách objednatele (na profilu zadavatele) a v Registru smluv dle zák. č. 340/2015 Sb.</w:t>
      </w:r>
      <w:r>
        <w:rPr>
          <w:rFonts w:ascii="Arial" w:hAnsi="Arial" w:cs="Arial"/>
        </w:rPr>
      </w:r>
    </w:p>
    <w:p>
      <w:pPr>
        <w:pStyle w:val="693"/>
        <w:pBdr/>
        <w:spacing w:after="120"/>
        <w:ind w:left="6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sjednávají, že </w:t>
      </w:r>
      <w:r>
        <w:rPr>
          <w:rFonts w:ascii="Arial" w:hAnsi="Arial" w:cs="Arial"/>
        </w:rPr>
        <w:t xml:space="preserve">dodatek</w:t>
      </w:r>
      <w:r>
        <w:rPr>
          <w:rFonts w:ascii="Arial" w:hAnsi="Arial" w:cs="Arial"/>
        </w:rPr>
        <w:t xml:space="preserve"> zveřejní zástupc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 smluvní strany </w:t>
      </w:r>
      <w:r>
        <w:rPr>
          <w:rFonts w:ascii="Arial" w:hAnsi="Arial" w:cs="Arial"/>
        </w:rPr>
        <w:t xml:space="preserve">m</w:t>
      </w:r>
      <w:r>
        <w:rPr>
          <w:rFonts w:ascii="Arial" w:hAnsi="Arial" w:cs="Arial"/>
        </w:rPr>
        <w:t xml:space="preserve">ěsto Chrudim.</w:t>
      </w:r>
      <w:r>
        <w:rPr>
          <w:rFonts w:ascii="Arial" w:hAnsi="Arial" w:cs="Arial"/>
        </w:rPr>
      </w:r>
    </w:p>
    <w:p>
      <w:pPr>
        <w:pStyle w:val="693"/>
        <w:numPr>
          <w:ilvl w:val="0"/>
          <w:numId w:val="10"/>
        </w:numPr>
        <w:pBdr/>
        <w:spacing w:after="120"/>
        <w:ind w:left="6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</w:t>
      </w:r>
      <w:r>
        <w:rPr>
          <w:rFonts w:ascii="Arial" w:hAnsi="Arial" w:cs="Arial"/>
        </w:rPr>
        <w:t xml:space="preserve"> je vyhotoven ve 2 vyhotoveních, přičemž každý výtisk má platnost originálu. Každá smluvní strana obdrží jedno vyhotovení.</w:t>
      </w:r>
      <w:r>
        <w:rPr>
          <w:rFonts w:ascii="Arial" w:hAnsi="Arial" w:cs="Arial"/>
        </w:rPr>
      </w:r>
    </w:p>
    <w:p>
      <w:pPr>
        <w:pStyle w:val="714"/>
        <w:numPr>
          <w:ilvl w:val="0"/>
          <w:numId w:val="10"/>
        </w:numPr>
        <w:pBdr/>
        <w:spacing w:after="120"/>
        <w:ind w:left="64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Práva a povinnosti smluvních stran touto smlouvou </w:t>
      </w:r>
      <w:r>
        <w:rPr>
          <w:rFonts w:ascii="Arial" w:hAnsi="Arial" w:cs="Arial"/>
          <w:color w:val="000000"/>
        </w:rPr>
        <w:t xml:space="preserve">a dodatkem </w:t>
      </w:r>
      <w:r>
        <w:rPr>
          <w:rFonts w:ascii="Arial" w:hAnsi="Arial" w:cs="Arial"/>
          <w:color w:val="000000"/>
        </w:rPr>
        <w:t xml:space="preserve">neupravené se řídí příslušnými ustanoveními </w:t>
      </w:r>
      <w:r>
        <w:rPr>
          <w:rFonts w:ascii="Arial" w:hAnsi="Arial" w:cs="Arial"/>
        </w:rPr>
        <w:t xml:space="preserve">občanského zákoníku č. 89/2012 Sb. v platném znění.</w:t>
      </w:r>
      <w:r>
        <w:rPr>
          <w:rFonts w:ascii="Arial" w:hAnsi="Arial" w:cs="Arial"/>
        </w:rPr>
      </w:r>
    </w:p>
    <w:p>
      <w:pPr>
        <w:pStyle w:val="714"/>
        <w:numPr>
          <w:ilvl w:val="0"/>
          <w:numId w:val="10"/>
        </w:numPr>
        <w:pBdr/>
        <w:spacing w:after="120"/>
        <w:ind w:left="6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Tento dodatek</w:t>
      </w:r>
      <w:r>
        <w:rPr>
          <w:rFonts w:ascii="Arial" w:hAnsi="Arial" w:cs="Arial"/>
          <w:color w:val="000000"/>
        </w:rPr>
        <w:t xml:space="preserve"> nabývá platnosti dnem jeho podpisu oběma smluvními stranami, a účinnosti dnem </w:t>
      </w:r>
      <w:r>
        <w:rPr>
          <w:rFonts w:ascii="Arial" w:hAnsi="Arial" w:cs="Arial"/>
        </w:rPr>
        <w:t xml:space="preserve">zveřejnění v registru smluv podle z</w:t>
      </w:r>
      <w:r>
        <w:rPr>
          <w:rFonts w:ascii="Arial" w:hAnsi="Arial" w:cs="Arial"/>
        </w:rPr>
        <w:t xml:space="preserve">ákona</w:t>
      </w:r>
      <w:r>
        <w:rPr>
          <w:rFonts w:ascii="Arial" w:hAnsi="Arial" w:cs="Arial"/>
        </w:rPr>
        <w:t xml:space="preserve">. č. 340/2015 Sb. v platném znění.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14"/>
        <w:numPr>
          <w:ilvl w:val="0"/>
          <w:numId w:val="10"/>
        </w:numPr>
        <w:pBdr/>
        <w:spacing w:after="120"/>
        <w:ind w:hanging="357" w:left="6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si </w:t>
      </w:r>
      <w:r>
        <w:rPr>
          <w:rFonts w:ascii="Arial" w:hAnsi="Arial" w:cs="Arial"/>
          <w:color w:val="000000"/>
        </w:rPr>
        <w:t xml:space="preserve">dodatek </w:t>
      </w:r>
      <w:r>
        <w:rPr>
          <w:rFonts w:ascii="Arial" w:hAnsi="Arial" w:cs="Arial"/>
          <w:color w:val="000000"/>
        </w:rPr>
        <w:t xml:space="preserve">přečetly, s je</w:t>
      </w:r>
      <w:r>
        <w:rPr>
          <w:rFonts w:ascii="Arial" w:hAnsi="Arial" w:cs="Arial"/>
          <w:color w:val="000000"/>
        </w:rPr>
        <w:t xml:space="preserve">ho</w:t>
      </w:r>
      <w:r>
        <w:rPr>
          <w:rFonts w:ascii="Arial" w:hAnsi="Arial" w:cs="Arial"/>
          <w:color w:val="000000"/>
        </w:rPr>
        <w:t xml:space="preserve"> obsahem souhlasí, prohlašují, že není uzavřen v tísni ani za jinak nápadně nevýhodných podmínek a na důkaz toho připojují své vlastnoruční podpisy.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14"/>
        <w:numPr>
          <w:ilvl w:val="0"/>
          <w:numId w:val="10"/>
        </w:numPr>
        <w:pBdr/>
        <w:spacing w:after="120"/>
        <w:ind w:hanging="357" w:left="6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</w:t>
      </w:r>
      <w:r>
        <w:rPr>
          <w:rFonts w:ascii="Arial" w:hAnsi="Arial" w:cs="Arial"/>
          <w:color w:val="000000"/>
        </w:rPr>
        <w:t xml:space="preserve">u</w:t>
      </w:r>
      <w:r>
        <w:rPr>
          <w:rFonts w:ascii="Arial" w:hAnsi="Arial" w:cs="Arial"/>
          <w:color w:val="000000"/>
        </w:rPr>
        <w:t xml:space="preserve"> č. 1 </w:t>
      </w:r>
      <w:r>
        <w:rPr>
          <w:rFonts w:ascii="Arial" w:hAnsi="Arial" w:cs="Arial"/>
          <w:color w:val="000000"/>
        </w:rPr>
        <w:t xml:space="preserve">dodatku tvoří nabídka zhotovitele ze dne </w:t>
      </w:r>
      <w:r>
        <w:rPr>
          <w:rFonts w:ascii="Arial" w:hAnsi="Arial" w:cs="Arial"/>
          <w:color w:val="000000"/>
        </w:rPr>
        <w:t xml:space="preserve">17.3.2026</w:t>
      </w:r>
      <w:r>
        <w:rPr>
          <w:rFonts w:ascii="Arial" w:hAnsi="Arial" w:cs="Arial"/>
          <w:color w:val="000000"/>
        </w:rPr>
        <w:t xml:space="preserve"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9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objednatele</w:t>
      </w:r>
      <w:r>
        <w:rPr>
          <w:rFonts w:ascii="Arial" w:hAnsi="Arial" w:cs="Arial"/>
        </w:rPr>
        <w:t xml:space="preserve">:</w:t>
        <w:tab/>
        <w:tab/>
        <w:tab/>
        <w:tab/>
        <w:tab/>
        <w:tab/>
        <w:t xml:space="preserve">Za zhotovitele:</w:t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/>
        <w:ind w:hanging="5760" w:left="57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 Chrudimi dne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ab/>
        <w:t xml:space="preserve">V </w:t>
      </w:r>
      <w:r>
        <w:rPr>
          <w:rFonts w:ascii="Arial" w:hAnsi="Arial" w:cs="Arial"/>
          <w:szCs w:val="24"/>
        </w:rPr>
        <w:t xml:space="preserve">Chrudimi</w:t>
      </w:r>
      <w:r>
        <w:rPr>
          <w:rFonts w:ascii="Arial" w:hAnsi="Arial" w:cs="Arial"/>
          <w:szCs w:val="24"/>
        </w:rPr>
        <w:t xml:space="preserve"> dne </w:t>
      </w:r>
      <w:r>
        <w:rPr>
          <w:rFonts w:ascii="Arial" w:hAnsi="Arial" w:cs="Arial"/>
          <w:szCs w:val="24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9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/>
        <w:ind w:left="50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pStyle w:val="723"/>
        <w:pBdr/>
        <w:spacing/>
        <w:ind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………………………………</w:t>
        <w:tab/>
        <w:tab/>
        <w:tab/>
        <w:tab/>
        <w:t xml:space="preserve">……………………………</w:t>
      </w:r>
      <w:r>
        <w:rPr>
          <w:rFonts w:ascii="Arial" w:hAnsi="Arial" w:cs="Arial"/>
          <w:szCs w:val="24"/>
        </w:rPr>
      </w:r>
    </w:p>
    <w:p>
      <w:pPr>
        <w:pStyle w:val="723"/>
        <w:pBdr/>
        <w:spacing/>
        <w:ind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Ing. František Pilný MBA</w:t>
        <w:tab/>
        <w:tab/>
        <w:tab/>
        <w:tab/>
        <w:tab/>
      </w:r>
      <w:r>
        <w:rPr>
          <w:rFonts w:ascii="Arial" w:hAnsi="Arial" w:cs="Arial"/>
          <w:szCs w:val="24"/>
        </w:rPr>
        <w:t xml:space="preserve">Milan Zavadil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pStyle w:val="723"/>
        <w:pBdr/>
        <w:spacing/>
        <w:ind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</w:t>
      </w:r>
      <w:r>
        <w:rPr>
          <w:rFonts w:ascii="Arial" w:hAnsi="Arial" w:cs="Arial"/>
          <w:szCs w:val="24"/>
        </w:rPr>
        <w:t xml:space="preserve">tarosta města</w:t>
        <w:tab/>
        <w:tab/>
        <w:tab/>
        <w:tab/>
        <w:tab/>
        <w:tab/>
      </w:r>
      <w:r>
        <w:rPr>
          <w:rFonts w:ascii="Arial" w:hAnsi="Arial" w:cs="Arial"/>
          <w:szCs w:val="24"/>
        </w:rPr>
        <w:t xml:space="preserve">j</w:t>
      </w:r>
      <w:r>
        <w:rPr>
          <w:rFonts w:ascii="Arial" w:hAnsi="Arial" w:cs="Arial"/>
          <w:szCs w:val="24"/>
        </w:rPr>
        <w:t xml:space="preserve">ednatel společnosti</w:t>
      </w:r>
      <w:r>
        <w:rPr>
          <w:rFonts w:ascii="Arial" w:hAnsi="Arial" w:cs="Arial"/>
          <w:szCs w:val="24"/>
        </w:rPr>
      </w:r>
    </w:p>
    <w:sectPr>
      <w:footnotePr/>
      <w:endnotePr/>
      <w:type w:val="nextPage"/>
      <w:pgSz w:h="16838" w:orient="portrait" w:w="11906"/>
      <w:pgMar w:top="1134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Microsoft YaHei">
    <w:panose1 w:val="020F0502020204030204"/>
  </w:font>
  <w:font w:name="Times New Roman">
    <w:panose1 w:val="02020603050405020304"/>
  </w:font>
  <w:font w:name="SimSun">
    <w:panose1 w:val="02020603020101020101"/>
  </w:font>
  <w:font w:name="Courier New">
    <w:panose1 w:val="02070409020205020404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%1. "/>
      <w:numFmt w:val="upperRoman"/>
      <w:pPr>
        <w:pBdr/>
        <w:tabs>
          <w:tab w:val="num" w:leader="none" w:pos="283"/>
        </w:tabs>
        <w:spacing/>
        <w:ind w:hanging="283" w:left="283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0000002"/>
    <w:lvl w:ilvl="0">
      <w:isLgl w:val="false"/>
      <w:lvlJc w:val="left"/>
      <w:lvlText w:val="%1. "/>
      <w:numFmt w:val="upperRoman"/>
      <w:pPr>
        <w:pBdr/>
        <w:tabs>
          <w:tab w:val="num" w:leader="none" w:pos="283"/>
        </w:tabs>
        <w:spacing/>
        <w:ind w:hanging="283" w:left="283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  <w:start w:val="2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00000003"/>
    <w:lvl w:ilvl="0">
      <w:isLgl w:val="false"/>
      <w:lvlJc w:val="left"/>
      <w:lvlText w:val="%1. "/>
      <w:numFmt w:val="upperRoman"/>
      <w:pPr>
        <w:pBdr/>
        <w:tabs>
          <w:tab w:val="num" w:leader="none" w:pos="283"/>
        </w:tabs>
        <w:spacing/>
        <w:ind w:hanging="283" w:left="283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  <w:start w:val="3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00000004"/>
    <w:lvl w:ilvl="0">
      <w:isLgl w:val="false"/>
      <w:lvlJc w:val="left"/>
      <w:lvlText w:val="%1. "/>
      <w:numFmt w:val="decimal"/>
      <w:pPr>
        <w:pBdr/>
        <w:tabs>
          <w:tab w:val="num" w:leader="none" w:pos="283"/>
        </w:tabs>
        <w:spacing/>
        <w:ind w:hanging="283" w:left="538"/>
      </w:pPr>
      <w:rPr>
        <w:rFonts w:ascii="Arial" w:hAnsi="Arial" w:cs="Arial"/>
        <w:b w:val="0"/>
        <w:i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00000005"/>
    <w:lvl w:ilvl="0">
      <w:isLgl w:val="false"/>
      <w:lvlJc w:val="left"/>
      <w:lvlText w:val="%1. "/>
      <w:numFmt w:val="upperRoman"/>
      <w:pPr>
        <w:pBdr/>
        <w:tabs>
          <w:tab w:val="num" w:leader="none" w:pos="283"/>
        </w:tabs>
        <w:spacing/>
        <w:ind w:hanging="283" w:left="283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  <w:start w:val="4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00000006"/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>
        <w:rFonts w:ascii="Arial" w:hAnsi="Arial" w:cs="Arial"/>
        <w:b w:val="0"/>
        <w:sz w:val="24"/>
        <w:szCs w:val="24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00000007"/>
    <w:lvl w:ilvl="0">
      <w:isLgl w:val="false"/>
      <w:lvlJc w:val="left"/>
      <w:lvlText w:val="-"/>
      <w:numFmt w:val="bullet"/>
      <w:pPr>
        <w:pBdr/>
        <w:tabs>
          <w:tab w:val="num" w:leader="none" w:pos="1003"/>
        </w:tabs>
        <w:spacing/>
        <w:ind w:hanging="360" w:left="1003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00000008"/>
    <w:lvl w:ilvl="0">
      <w:isLgl w:val="false"/>
      <w:lvlJc w:val="left"/>
      <w:lvlText w:val="%1. "/>
      <w:numFmt w:val="decimal"/>
      <w:pPr>
        <w:pBdr/>
        <w:tabs>
          <w:tab w:val="num" w:leader="none" w:pos="283"/>
        </w:tabs>
        <w:spacing/>
        <w:ind w:hanging="283" w:left="538"/>
      </w:pPr>
      <w:rPr>
        <w:rFonts w:ascii="Arial" w:hAnsi="Arial" w:cs="Arial"/>
        <w:b w:val="0"/>
        <w:i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00000009"/>
    <w:lvl w:ilvl="0">
      <w:isLgl w:val="false"/>
      <w:lvlJc w:val="left"/>
      <w:lvlText w:val="%1. "/>
      <w:numFmt w:val="decimal"/>
      <w:pPr>
        <w:pBdr/>
        <w:tabs>
          <w:tab w:val="num" w:leader="none" w:pos="283"/>
        </w:tabs>
        <w:spacing/>
        <w:ind w:hanging="283" w:left="538"/>
      </w:pPr>
      <w:rPr>
        <w:rFonts w:ascii="Arial" w:hAnsi="Arial" w:cs="Arial"/>
        <w:b w:val="0"/>
        <w:i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">
    <w:nsid w:val="0000000A"/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>
        <w:rFonts w:ascii="Arial" w:hAnsi="Arial" w:cs="Arial"/>
        <w:b w:val="0"/>
        <w:sz w:val="24"/>
        <w:szCs w:val="24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0">
    <w:nsid w:val="0000000B"/>
    <w:lvl w:ilvl="0">
      <w:isLgl w:val="false"/>
      <w:lvlJc w:val="left"/>
      <w:lvlText w:val=""/>
      <w:numFmt w:val="decimal"/>
      <w:pPr>
        <w:pBdr/>
        <w:tabs>
          <w:tab w:val="num" w:leader="none" w:pos="432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1">
    <w:nsid w:val="0F3A51B4"/>
    <w:lvl w:ilvl="0">
      <w:isLgl w:val="false"/>
      <w:lvlJc w:val="left"/>
      <w:lvlText w:val="%1. "/>
      <w:numFmt w:val="decimal"/>
      <w:pPr>
        <w:pBdr/>
        <w:tabs>
          <w:tab w:val="num" w:leader="none" w:pos="283"/>
        </w:tabs>
        <w:spacing/>
        <w:ind w:hanging="283" w:left="538"/>
      </w:pPr>
      <w:rPr>
        <w:rFonts w:ascii="Arial" w:hAnsi="Arial" w:cs="Arial"/>
        <w:b w:val="0"/>
        <w:i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2">
    <w:nsid w:val="27F5293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703E3E75"/>
    <w:lvl w:ilvl="0">
      <w:isLgl w:val="false"/>
      <w:lvlJc w:val="left"/>
      <w:lvlText w:val="-"/>
      <w:numFmt w:val="bullet"/>
      <w:pPr>
        <w:pBdr/>
        <w:spacing/>
        <w:ind w:hanging="360" w:left="615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35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55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75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95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15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35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55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75"/>
      </w:pPr>
      <w:rPr>
        <w:rFonts w:ascii="Wingdings" w:hAnsi="Wingdings"/>
      </w:rPr>
      <w:start w:val="1"/>
      <w:suff w:val="tab"/>
    </w:lvl>
  </w:abstractNum>
  <w:abstractNum w:abstractNumId="14">
    <w:nsid w:val="7DDC2E1B"/>
    <w:lvl w:ilvl="0">
      <w:isLgl w:val="false"/>
      <w:lvlJc w:val="left"/>
      <w:lvlText w:val="%1. "/>
      <w:numFmt w:val="decimal"/>
      <w:pPr>
        <w:pBdr/>
        <w:tabs>
          <w:tab w:val="num" w:leader="none" w:pos="283"/>
        </w:tabs>
        <w:spacing/>
        <w:ind w:hanging="283" w:left="538"/>
      </w:pPr>
      <w:rPr>
        <w:rFonts w:ascii="Arial" w:hAnsi="Arial" w:cs="Arial"/>
        <w:b w:val="0"/>
        <w:i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93"/>
    <w:next w:val="69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93"/>
    <w:next w:val="69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93"/>
    <w:next w:val="69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93"/>
    <w:next w:val="69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93"/>
    <w:next w:val="69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93"/>
    <w:next w:val="69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93"/>
    <w:next w:val="69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93"/>
    <w:next w:val="69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93"/>
    <w:next w:val="69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93"/>
    <w:next w:val="69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93"/>
    <w:next w:val="69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93"/>
    <w:next w:val="69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9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93"/>
    <w:next w:val="69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9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9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9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93"/>
    <w:next w:val="69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9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3"/>
    <w:next w:val="693"/>
    <w:uiPriority w:val="39"/>
    <w:unhideWhenUsed/>
    <w:pPr>
      <w:pBdr/>
      <w:spacing w:after="100"/>
      <w:ind/>
    </w:pPr>
  </w:style>
  <w:style w:type="paragraph" w:styleId="190">
    <w:name w:val="toc 2"/>
    <w:basedOn w:val="693"/>
    <w:next w:val="693"/>
    <w:uiPriority w:val="39"/>
    <w:unhideWhenUsed/>
    <w:pPr>
      <w:pBdr/>
      <w:spacing w:after="100"/>
      <w:ind w:left="220"/>
    </w:pPr>
  </w:style>
  <w:style w:type="paragraph" w:styleId="191">
    <w:name w:val="toc 3"/>
    <w:basedOn w:val="693"/>
    <w:next w:val="693"/>
    <w:uiPriority w:val="39"/>
    <w:unhideWhenUsed/>
    <w:pPr>
      <w:pBdr/>
      <w:spacing w:after="100"/>
      <w:ind w:left="440"/>
    </w:pPr>
  </w:style>
  <w:style w:type="paragraph" w:styleId="192">
    <w:name w:val="toc 4"/>
    <w:basedOn w:val="693"/>
    <w:next w:val="693"/>
    <w:uiPriority w:val="39"/>
    <w:unhideWhenUsed/>
    <w:pPr>
      <w:pBdr/>
      <w:spacing w:after="100"/>
      <w:ind w:left="660"/>
    </w:pPr>
  </w:style>
  <w:style w:type="paragraph" w:styleId="193">
    <w:name w:val="toc 5"/>
    <w:basedOn w:val="693"/>
    <w:next w:val="693"/>
    <w:uiPriority w:val="39"/>
    <w:unhideWhenUsed/>
    <w:pPr>
      <w:pBdr/>
      <w:spacing w:after="100"/>
      <w:ind w:left="880"/>
    </w:pPr>
  </w:style>
  <w:style w:type="paragraph" w:styleId="194">
    <w:name w:val="toc 6"/>
    <w:basedOn w:val="693"/>
    <w:next w:val="693"/>
    <w:uiPriority w:val="39"/>
    <w:unhideWhenUsed/>
    <w:pPr>
      <w:pBdr/>
      <w:spacing w:after="100"/>
      <w:ind w:left="1100"/>
    </w:pPr>
  </w:style>
  <w:style w:type="paragraph" w:styleId="195">
    <w:name w:val="toc 7"/>
    <w:basedOn w:val="693"/>
    <w:next w:val="693"/>
    <w:uiPriority w:val="39"/>
    <w:unhideWhenUsed/>
    <w:pPr>
      <w:pBdr/>
      <w:spacing w:after="100"/>
      <w:ind w:left="1320"/>
    </w:pPr>
  </w:style>
  <w:style w:type="paragraph" w:styleId="196">
    <w:name w:val="toc 8"/>
    <w:basedOn w:val="693"/>
    <w:next w:val="693"/>
    <w:uiPriority w:val="39"/>
    <w:unhideWhenUsed/>
    <w:pPr>
      <w:pBdr/>
      <w:spacing w:after="100"/>
      <w:ind w:left="1540"/>
    </w:pPr>
  </w:style>
  <w:style w:type="paragraph" w:styleId="197">
    <w:name w:val="toc 9"/>
    <w:basedOn w:val="693"/>
    <w:next w:val="69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93"/>
    <w:next w:val="693"/>
    <w:uiPriority w:val="99"/>
    <w:unhideWhenUsed/>
    <w:pPr>
      <w:pBdr/>
      <w:spacing w:after="0" w:afterAutospacing="0"/>
      <w:ind/>
    </w:pPr>
  </w:style>
  <w:style w:type="paragraph" w:styleId="693" w:default="1">
    <w:name w:val="Normal"/>
    <w:next w:val="693"/>
    <w:link w:val="693"/>
    <w:qFormat/>
    <w:pPr>
      <w:widowControl w:val="false"/>
      <w:pBdr/>
      <w:spacing/>
      <w:ind/>
    </w:pPr>
    <w:rPr>
      <w:rFonts w:ascii="Liberation Serif" w:hAnsi="Liberation Serif" w:eastAsia="SimSun" w:cs="Mangal"/>
      <w:sz w:val="24"/>
      <w:szCs w:val="24"/>
      <w:lang w:val="cs-CZ" w:eastAsia="zh-CN" w:bidi="hi-IN"/>
    </w:rPr>
  </w:style>
  <w:style w:type="character" w:styleId="694">
    <w:name w:val="Standardní písmo odstavce"/>
    <w:next w:val="694"/>
    <w:link w:val="693"/>
    <w:uiPriority w:val="1"/>
    <w:unhideWhenUsed/>
    <w:pPr>
      <w:pBdr/>
      <w:spacing/>
      <w:ind/>
    </w:pPr>
  </w:style>
  <w:style w:type="table" w:styleId="695">
    <w:name w:val="Normální tabulka"/>
    <w:next w:val="695"/>
    <w:link w:val="693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6">
    <w:name w:val="Bez seznamu"/>
    <w:next w:val="696"/>
    <w:link w:val="693"/>
    <w:uiPriority w:val="99"/>
    <w:semiHidden/>
    <w:unhideWhenUsed/>
    <w:pPr>
      <w:pBdr/>
      <w:spacing/>
      <w:ind/>
    </w:pPr>
  </w:style>
  <w:style w:type="character" w:styleId="697">
    <w:name w:val="WW8Num2z0"/>
    <w:next w:val="697"/>
    <w:link w:val="693"/>
    <w:pPr>
      <w:pBdr/>
      <w:spacing/>
      <w:ind/>
    </w:pPr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styleId="698">
    <w:name w:val="WW8Num9z0"/>
    <w:next w:val="698"/>
    <w:link w:val="693"/>
    <w:pPr>
      <w:pBdr/>
      <w:spacing/>
      <w:ind/>
    </w:pPr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styleId="699">
    <w:name w:val="WW8Num1z0"/>
    <w:next w:val="699"/>
    <w:link w:val="693"/>
    <w:pPr>
      <w:pBdr/>
      <w:spacing/>
      <w:ind/>
    </w:pPr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styleId="700">
    <w:name w:val="WW8Num5z0"/>
    <w:next w:val="700"/>
    <w:link w:val="693"/>
    <w:pPr>
      <w:pBdr/>
      <w:spacing/>
      <w:ind/>
    </w:pPr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styleId="701">
    <w:name w:val="WW8Num7z0"/>
    <w:next w:val="701"/>
    <w:link w:val="693"/>
    <w:pPr>
      <w:pBdr/>
      <w:spacing/>
      <w:ind/>
    </w:pPr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styleId="702">
    <w:name w:val="WW8Num6z0"/>
    <w:next w:val="702"/>
    <w:link w:val="693"/>
    <w:pPr>
      <w:pBdr/>
      <w:spacing/>
      <w:ind/>
    </w:pPr>
    <w:rPr>
      <w:rFonts w:ascii="Times New Roman" w:hAnsi="Times New Roman" w:cs="Arial"/>
      <w:sz w:val="24"/>
      <w:szCs w:val="24"/>
    </w:rPr>
  </w:style>
  <w:style w:type="character" w:styleId="703">
    <w:name w:val="WW8Num3z0"/>
    <w:next w:val="703"/>
    <w:link w:val="693"/>
    <w:pPr>
      <w:pBdr/>
      <w:spacing/>
      <w:ind/>
    </w:pPr>
    <w:rPr>
      <w:rFonts w:ascii="Times New Roman" w:hAnsi="Times New Roman" w:cs="Times New Roman"/>
    </w:rPr>
  </w:style>
  <w:style w:type="character" w:styleId="704">
    <w:name w:val="WW8Num10z0"/>
    <w:next w:val="704"/>
    <w:link w:val="693"/>
    <w:pPr>
      <w:pBdr/>
      <w:spacing/>
      <w:ind/>
    </w:pPr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styleId="705">
    <w:name w:val="WW8Num8z0"/>
    <w:next w:val="705"/>
    <w:link w:val="693"/>
    <w:pPr>
      <w:pBdr/>
      <w:spacing/>
      <w:ind/>
    </w:pPr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styleId="706">
    <w:name w:val="WW8Num4z0"/>
    <w:next w:val="706"/>
    <w:link w:val="693"/>
    <w:pPr>
      <w:pBdr/>
      <w:spacing/>
      <w:ind/>
    </w:pPr>
    <w:rPr>
      <w:rFonts w:ascii="Times New Roman" w:hAnsi="Times New Roman" w:cs="Arial"/>
      <w:sz w:val="24"/>
      <w:szCs w:val="24"/>
    </w:rPr>
  </w:style>
  <w:style w:type="paragraph" w:styleId="707">
    <w:name w:val="Nadpis"/>
    <w:basedOn w:val="693"/>
    <w:next w:val="708"/>
    <w:link w:val="693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708">
    <w:name w:val="Základní text"/>
    <w:basedOn w:val="693"/>
    <w:next w:val="708"/>
    <w:link w:val="693"/>
    <w:pPr>
      <w:pBdr/>
      <w:spacing w:after="140" w:before="0" w:line="288" w:lineRule="auto"/>
      <w:ind/>
    </w:pPr>
  </w:style>
  <w:style w:type="paragraph" w:styleId="709">
    <w:name w:val="Seznam"/>
    <w:basedOn w:val="708"/>
    <w:next w:val="709"/>
    <w:link w:val="693"/>
    <w:pPr>
      <w:pBdr/>
      <w:spacing/>
      <w:ind/>
    </w:pPr>
    <w:rPr>
      <w:rFonts w:cs="Mangal"/>
    </w:rPr>
  </w:style>
  <w:style w:type="paragraph" w:styleId="710">
    <w:name w:val="Titulek"/>
    <w:basedOn w:val="693"/>
    <w:next w:val="710"/>
    <w:link w:val="693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11">
    <w:name w:val="Rejstřík"/>
    <w:basedOn w:val="693"/>
    <w:next w:val="711"/>
    <w:link w:val="693"/>
    <w:pPr>
      <w:suppressLineNumbers w:val="true"/>
      <w:pBdr/>
      <w:spacing/>
      <w:ind/>
    </w:pPr>
    <w:rPr>
      <w:rFonts w:cs="Mangal"/>
    </w:rPr>
  </w:style>
  <w:style w:type="paragraph" w:styleId="712">
    <w:name w:val="Základní text odsazený"/>
    <w:basedOn w:val="693"/>
    <w:next w:val="712"/>
    <w:link w:val="693"/>
    <w:pPr>
      <w:pBdr/>
      <w:spacing/>
      <w:ind w:right="0" w:firstLine="0" w:left="283"/>
      <w:jc w:val="both"/>
    </w:pPr>
    <w:rPr>
      <w:rFonts w:ascii="Arial" w:hAnsi="Arial" w:cs="Arial"/>
      <w:sz w:val="22"/>
      <w:szCs w:val="20"/>
    </w:rPr>
  </w:style>
  <w:style w:type="paragraph" w:styleId="713">
    <w:name w:val="Default"/>
    <w:next w:val="713"/>
    <w:link w:val="693"/>
    <w:pPr>
      <w:widowControl w:val="false"/>
      <w:pBdr/>
      <w:spacing/>
      <w:ind/>
    </w:pPr>
    <w:rPr>
      <w:rFonts w:eastAsia="SimSun" w:cs="Mangal"/>
      <w:color w:val="000000"/>
      <w:sz w:val="24"/>
      <w:szCs w:val="24"/>
      <w:lang w:val="cs-CZ" w:eastAsia="zh-CN" w:bidi="hi-IN"/>
    </w:rPr>
  </w:style>
  <w:style w:type="paragraph" w:styleId="714">
    <w:name w:val="Bez mezer"/>
    <w:next w:val="714"/>
    <w:link w:val="693"/>
    <w:uiPriority w:val="1"/>
    <w:qFormat/>
    <w:pPr>
      <w:pBdr/>
      <w:spacing/>
      <w:ind/>
    </w:pPr>
    <w:rPr>
      <w:sz w:val="24"/>
      <w:szCs w:val="24"/>
      <w:lang w:val="cs-CZ" w:eastAsia="cs-CZ" w:bidi="ar-SA"/>
    </w:rPr>
  </w:style>
  <w:style w:type="paragraph" w:styleId="715">
    <w:name w:val="Normální_IMP~2"/>
    <w:basedOn w:val="693"/>
    <w:next w:val="715"/>
    <w:link w:val="693"/>
    <w:pPr>
      <w:widowControl w:val="true"/>
      <w:pBdr/>
      <w:spacing w:line="276" w:lineRule="auto"/>
      <w:ind/>
    </w:pPr>
    <w:rPr>
      <w:rFonts w:ascii="Times New Roman" w:hAnsi="Times New Roman" w:eastAsia="Times New Roman" w:cs="Times New Roman"/>
      <w:szCs w:val="20"/>
      <w:lang w:eastAsia="cs-CZ" w:bidi="ar-SA"/>
    </w:rPr>
  </w:style>
  <w:style w:type="character" w:styleId="716">
    <w:name w:val="Odkaz na komentář"/>
    <w:next w:val="716"/>
    <w:link w:val="69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17">
    <w:name w:val="Text komentáře"/>
    <w:basedOn w:val="693"/>
    <w:next w:val="717"/>
    <w:link w:val="718"/>
    <w:uiPriority w:val="99"/>
    <w:semiHidden/>
    <w:unhideWhenUsed/>
    <w:pPr>
      <w:pBdr/>
      <w:spacing/>
      <w:ind/>
    </w:pPr>
    <w:rPr>
      <w:sz w:val="20"/>
      <w:szCs w:val="18"/>
    </w:rPr>
  </w:style>
  <w:style w:type="character" w:styleId="718">
    <w:name w:val="Text komentáře Char"/>
    <w:next w:val="718"/>
    <w:link w:val="717"/>
    <w:uiPriority w:val="99"/>
    <w:semiHidden/>
    <w:pPr>
      <w:pBdr/>
      <w:spacing/>
      <w:ind/>
    </w:pPr>
    <w:rPr>
      <w:rFonts w:ascii="Liberation Serif" w:hAnsi="Liberation Serif" w:eastAsia="SimSun" w:cs="Mangal"/>
      <w:szCs w:val="18"/>
      <w:lang w:eastAsia="zh-CN" w:bidi="hi-IN"/>
    </w:rPr>
  </w:style>
  <w:style w:type="paragraph" w:styleId="719">
    <w:name w:val="Předmět komentáře"/>
    <w:basedOn w:val="717"/>
    <w:next w:val="717"/>
    <w:link w:val="720"/>
    <w:uiPriority w:val="99"/>
    <w:semiHidden/>
    <w:unhideWhenUsed/>
    <w:pPr>
      <w:pBdr/>
      <w:spacing/>
      <w:ind/>
    </w:pPr>
    <w:rPr>
      <w:b/>
      <w:bCs/>
    </w:rPr>
  </w:style>
  <w:style w:type="character" w:styleId="720">
    <w:name w:val="Předmět komentáře Char"/>
    <w:next w:val="720"/>
    <w:link w:val="719"/>
    <w:uiPriority w:val="99"/>
    <w:semiHidden/>
    <w:pPr>
      <w:pBdr/>
      <w:spacing/>
      <w:ind/>
    </w:pPr>
    <w:rPr>
      <w:rFonts w:ascii="Liberation Serif" w:hAnsi="Liberation Serif" w:eastAsia="SimSun" w:cs="Mangal"/>
      <w:b/>
      <w:bCs/>
      <w:szCs w:val="18"/>
      <w:lang w:eastAsia="zh-CN" w:bidi="hi-IN"/>
    </w:rPr>
  </w:style>
  <w:style w:type="paragraph" w:styleId="721">
    <w:name w:val="Text bubliny"/>
    <w:basedOn w:val="693"/>
    <w:next w:val="721"/>
    <w:link w:val="722"/>
    <w:uiPriority w:val="99"/>
    <w:semiHidden/>
    <w:unhideWhenUsed/>
    <w:pPr>
      <w:pBdr/>
      <w:spacing/>
      <w:ind/>
    </w:pPr>
    <w:rPr>
      <w:rFonts w:ascii="Segoe UI" w:hAnsi="Segoe UI"/>
      <w:sz w:val="18"/>
      <w:szCs w:val="16"/>
    </w:rPr>
  </w:style>
  <w:style w:type="character" w:styleId="722">
    <w:name w:val="Text bubliny Char"/>
    <w:next w:val="722"/>
    <w:link w:val="721"/>
    <w:uiPriority w:val="99"/>
    <w:semiHidden/>
    <w:pPr>
      <w:pBdr/>
      <w:spacing/>
      <w:ind/>
    </w:pPr>
    <w:rPr>
      <w:rFonts w:ascii="Segoe UI" w:hAnsi="Segoe UI" w:eastAsia="SimSun" w:cs="Mangal"/>
      <w:sz w:val="18"/>
      <w:szCs w:val="16"/>
      <w:lang w:eastAsia="zh-CN" w:bidi="hi-IN"/>
    </w:rPr>
  </w:style>
  <w:style w:type="paragraph" w:styleId="723">
    <w:name w:val="Základní text_IMP"/>
    <w:basedOn w:val="693"/>
    <w:next w:val="723"/>
    <w:link w:val="693"/>
    <w:pPr>
      <w:widowControl w:val="true"/>
      <w:pBdr/>
      <w:spacing w:line="276" w:lineRule="auto"/>
      <w:ind/>
    </w:pPr>
    <w:rPr>
      <w:rFonts w:ascii="Times New Roman" w:hAnsi="Times New Roman" w:eastAsia="Times New Roman" w:cs="Times New Roman"/>
      <w:szCs w:val="20"/>
      <w:lang w:eastAsia="cs-CZ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Město Chrudim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novakovai</dc:creator>
  <cp:lastModifiedBy>Kateřina Zelená</cp:lastModifiedBy>
  <cp:revision>5</cp:revision>
  <dcterms:created xsi:type="dcterms:W3CDTF">2026-03-17T12:40:00Z</dcterms:created>
  <dcterms:modified xsi:type="dcterms:W3CDTF">2026-04-07T08:46:50Z</dcterms:modified>
  <cp:version>1048576</cp:version>
</cp:coreProperties>
</file>