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D81D" w14:textId="366039C8" w:rsidR="0069320A" w:rsidRDefault="0069320A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15E3B72D" w14:textId="77777777" w:rsidR="001B6881" w:rsidRDefault="001B6881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C4C9C4A" w14:textId="77777777" w:rsidR="001B6881" w:rsidRPr="0069320A" w:rsidRDefault="001B6881" w:rsidP="001B6881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14B1EEF5" w14:textId="77777777" w:rsidR="00FB6CC7" w:rsidRDefault="00FB6CC7" w:rsidP="001B6881">
      <w:pPr>
        <w:rPr>
          <w:rFonts w:ascii="Arial" w:hAnsi="Arial" w:cs="Arial"/>
          <w:b/>
          <w:sz w:val="24"/>
          <w:szCs w:val="24"/>
        </w:rPr>
      </w:pPr>
      <w:r w:rsidRPr="00FB6CC7">
        <w:rPr>
          <w:rFonts w:ascii="Arial" w:hAnsi="Arial" w:cs="Arial"/>
          <w:b/>
          <w:sz w:val="24"/>
          <w:szCs w:val="24"/>
        </w:rPr>
        <w:t xml:space="preserve">craftsys s.r.o. </w:t>
      </w:r>
    </w:p>
    <w:p w14:paraId="2FE041DA" w14:textId="77777777" w:rsidR="00C11297" w:rsidRDefault="00FB6CC7" w:rsidP="001B6881">
      <w:pPr>
        <w:rPr>
          <w:rFonts w:ascii="Arial" w:hAnsi="Arial" w:cs="Arial"/>
          <w:bCs/>
          <w:sz w:val="24"/>
          <w:szCs w:val="24"/>
        </w:rPr>
      </w:pPr>
      <w:r w:rsidRPr="00FB6CC7">
        <w:rPr>
          <w:rFonts w:ascii="Arial" w:hAnsi="Arial" w:cs="Arial"/>
          <w:bCs/>
          <w:sz w:val="24"/>
          <w:szCs w:val="24"/>
        </w:rPr>
        <w:t xml:space="preserve">zapsaná v obchodním rejstříku u Krajského soudu v Brně </w:t>
      </w:r>
    </w:p>
    <w:p w14:paraId="61DB8B26" w14:textId="77777777" w:rsidR="00C11297" w:rsidRDefault="00FB6CC7" w:rsidP="001B6881">
      <w:pPr>
        <w:rPr>
          <w:rFonts w:ascii="Arial" w:hAnsi="Arial" w:cs="Arial"/>
          <w:bCs/>
          <w:sz w:val="24"/>
          <w:szCs w:val="24"/>
        </w:rPr>
      </w:pPr>
      <w:r w:rsidRPr="00FB6CC7">
        <w:rPr>
          <w:rFonts w:ascii="Arial" w:hAnsi="Arial" w:cs="Arial"/>
          <w:bCs/>
          <w:sz w:val="24"/>
          <w:szCs w:val="24"/>
        </w:rPr>
        <w:t xml:space="preserve">se sídlem Karásek 2282/1l, 621 00 Brno </w:t>
      </w:r>
    </w:p>
    <w:p w14:paraId="3CDA87D4" w14:textId="77777777" w:rsidR="00C11297" w:rsidRDefault="00FB6CC7" w:rsidP="001B6881">
      <w:pPr>
        <w:rPr>
          <w:rFonts w:ascii="Arial" w:hAnsi="Arial" w:cs="Arial"/>
          <w:bCs/>
          <w:sz w:val="24"/>
          <w:szCs w:val="24"/>
        </w:rPr>
      </w:pPr>
      <w:r w:rsidRPr="00FB6CC7">
        <w:rPr>
          <w:rFonts w:ascii="Arial" w:hAnsi="Arial" w:cs="Arial"/>
          <w:bCs/>
          <w:sz w:val="24"/>
          <w:szCs w:val="24"/>
        </w:rPr>
        <w:t>IČ: 294 46 856, DIČ:CZ294 46</w:t>
      </w:r>
      <w:r w:rsidR="00C11297">
        <w:rPr>
          <w:rFonts w:ascii="Arial" w:hAnsi="Arial" w:cs="Arial"/>
          <w:bCs/>
          <w:sz w:val="24"/>
          <w:szCs w:val="24"/>
        </w:rPr>
        <w:t> </w:t>
      </w:r>
      <w:r w:rsidRPr="00FB6CC7">
        <w:rPr>
          <w:rFonts w:ascii="Arial" w:hAnsi="Arial" w:cs="Arial"/>
          <w:bCs/>
          <w:sz w:val="24"/>
          <w:szCs w:val="24"/>
        </w:rPr>
        <w:t xml:space="preserve">856 </w:t>
      </w:r>
    </w:p>
    <w:p w14:paraId="6F2A52D5" w14:textId="77777777" w:rsidR="00C11297" w:rsidRDefault="00FB6CC7" w:rsidP="001B6881">
      <w:pPr>
        <w:rPr>
          <w:rFonts w:ascii="Arial" w:hAnsi="Arial" w:cs="Arial"/>
          <w:bCs/>
          <w:sz w:val="24"/>
          <w:szCs w:val="24"/>
        </w:rPr>
      </w:pPr>
      <w:r w:rsidRPr="00FB6CC7">
        <w:rPr>
          <w:rFonts w:ascii="Arial" w:hAnsi="Arial" w:cs="Arial"/>
          <w:bCs/>
          <w:sz w:val="24"/>
          <w:szCs w:val="24"/>
        </w:rPr>
        <w:t xml:space="preserve">Zastoupena: Ing. Janem Slezákem, jednatelem </w:t>
      </w:r>
    </w:p>
    <w:p w14:paraId="338797B6" w14:textId="2B4BDB41" w:rsidR="00FB6CC7" w:rsidRPr="00FB6CC7" w:rsidRDefault="00FB6CC7" w:rsidP="001B6881">
      <w:pPr>
        <w:rPr>
          <w:rFonts w:ascii="Arial" w:hAnsi="Arial" w:cs="Arial"/>
          <w:b/>
          <w:sz w:val="24"/>
          <w:szCs w:val="24"/>
        </w:rPr>
      </w:pPr>
      <w:r w:rsidRPr="00FB6CC7">
        <w:rPr>
          <w:rFonts w:ascii="Arial" w:hAnsi="Arial" w:cs="Arial"/>
          <w:bCs/>
          <w:sz w:val="24"/>
          <w:szCs w:val="24"/>
        </w:rPr>
        <w:t xml:space="preserve">Bankovní účet: </w:t>
      </w:r>
      <w:r w:rsidR="002229D0">
        <w:rPr>
          <w:rFonts w:ascii="Arial" w:hAnsi="Arial" w:cs="Arial"/>
          <w:bCs/>
          <w:sz w:val="24"/>
          <w:szCs w:val="24"/>
        </w:rPr>
        <w:t>xxxxxxxxxxxxxxxxxxxxxxxx</w:t>
      </w:r>
      <w:r w:rsidRPr="00FB6CC7">
        <w:rPr>
          <w:rFonts w:ascii="Arial" w:hAnsi="Arial" w:cs="Arial"/>
          <w:b/>
          <w:sz w:val="24"/>
          <w:szCs w:val="24"/>
        </w:rPr>
        <w:t xml:space="preserve"> </w:t>
      </w:r>
    </w:p>
    <w:p w14:paraId="03EBA5FE" w14:textId="29837761" w:rsidR="00135BB1" w:rsidRPr="001B6881" w:rsidRDefault="001B6881" w:rsidP="001B6881">
      <w:pPr>
        <w:rPr>
          <w:rFonts w:ascii="Arial" w:hAnsi="Arial" w:cs="Arial"/>
          <w:bCs/>
          <w:sz w:val="24"/>
          <w:szCs w:val="24"/>
        </w:rPr>
      </w:pPr>
      <w:r w:rsidRPr="00FB6CC7">
        <w:rPr>
          <w:rFonts w:ascii="Arial" w:hAnsi="Arial" w:cs="Arial"/>
          <w:bCs/>
          <w:sz w:val="24"/>
          <w:szCs w:val="24"/>
        </w:rPr>
        <w:t>(dále jen „prodávající“)</w:t>
      </w:r>
      <w:r w:rsidRPr="001B6881">
        <w:rPr>
          <w:rFonts w:ascii="Arial" w:hAnsi="Arial" w:cs="Arial"/>
          <w:bCs/>
          <w:sz w:val="24"/>
          <w:szCs w:val="24"/>
        </w:rPr>
        <w:t xml:space="preserve"> </w:t>
      </w:r>
      <w:r w:rsidRPr="001B6881">
        <w:rPr>
          <w:rFonts w:ascii="Arial" w:hAnsi="Arial" w:cs="Arial"/>
          <w:bCs/>
          <w:sz w:val="24"/>
          <w:szCs w:val="24"/>
        </w:rPr>
        <w:cr/>
      </w: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37590B60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>VZ</w:t>
      </w:r>
      <w:r w:rsidR="00C11297">
        <w:rPr>
          <w:rFonts w:ascii="Arial" w:hAnsi="Arial" w:cs="Arial"/>
          <w:sz w:val="24"/>
          <w:szCs w:val="24"/>
        </w:rPr>
        <w:t>260075</w:t>
      </w:r>
      <w:r w:rsidR="001B6881">
        <w:rPr>
          <w:rFonts w:ascii="Arial" w:hAnsi="Arial" w:cs="Arial"/>
          <w:sz w:val="24"/>
          <w:szCs w:val="24"/>
        </w:rPr>
        <w:t>, N006/</w:t>
      </w:r>
      <w:r w:rsidR="00C11297">
        <w:rPr>
          <w:rFonts w:ascii="Arial" w:hAnsi="Arial" w:cs="Arial"/>
          <w:sz w:val="24"/>
          <w:szCs w:val="24"/>
        </w:rPr>
        <w:t>26/V</w:t>
      </w:r>
      <w:r w:rsidR="008F7254">
        <w:rPr>
          <w:rFonts w:ascii="Arial" w:hAnsi="Arial" w:cs="Arial"/>
          <w:sz w:val="24"/>
          <w:szCs w:val="24"/>
        </w:rPr>
        <w:t>00007737</w:t>
      </w:r>
      <w:r w:rsidR="0072322A">
        <w:rPr>
          <w:rFonts w:ascii="Arial" w:hAnsi="Arial" w:cs="Arial"/>
          <w:sz w:val="24"/>
          <w:szCs w:val="24"/>
        </w:rPr>
        <w:t xml:space="preserve"> 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5A72E983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72322A">
        <w:rPr>
          <w:rFonts w:cs="Arial"/>
          <w:szCs w:val="24"/>
        </w:rPr>
        <w:t>do</w:t>
      </w:r>
      <w:r w:rsidR="001B6881">
        <w:rPr>
          <w:rFonts w:cs="Arial"/>
          <w:szCs w:val="24"/>
        </w:rPr>
        <w:t xml:space="preserve"> </w:t>
      </w:r>
      <w:r w:rsidR="008F7254">
        <w:rPr>
          <w:rFonts w:cs="Arial"/>
          <w:szCs w:val="24"/>
        </w:rPr>
        <w:t>30</w:t>
      </w:r>
      <w:r w:rsidR="00C846F4">
        <w:rPr>
          <w:rFonts w:cs="Arial"/>
          <w:szCs w:val="24"/>
        </w:rPr>
        <w:t>.04.2026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5200DDB1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C846F4">
        <w:rPr>
          <w:rFonts w:cs="Arial"/>
          <w:szCs w:val="24"/>
        </w:rPr>
        <w:t>236.451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 xml:space="preserve">+ DPH ve výši </w:t>
      </w:r>
      <w:r w:rsidR="00B643C3">
        <w:rPr>
          <w:rFonts w:cs="Arial"/>
          <w:szCs w:val="24"/>
        </w:rPr>
        <w:t>49.654,71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1B6881">
        <w:rPr>
          <w:rFonts w:cs="Arial"/>
          <w:szCs w:val="24"/>
        </w:rPr>
        <w:t xml:space="preserve"> </w:t>
      </w:r>
      <w:r w:rsidR="00B643C3">
        <w:rPr>
          <w:rFonts w:cs="Arial"/>
          <w:szCs w:val="24"/>
        </w:rPr>
        <w:t>286.105,71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6767EA3E" w14:textId="77777777" w:rsidR="00B643C3" w:rsidRPr="00587D3E" w:rsidRDefault="00B643C3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37E9ED99" w14:textId="618BB86B" w:rsidR="00B643C3" w:rsidRPr="008F366C" w:rsidRDefault="00135BB1" w:rsidP="008F366C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33366D53" w14:textId="77777777" w:rsidR="00B643C3" w:rsidRDefault="00B643C3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53B08873" w14:textId="77777777" w:rsidR="001B6881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6E892430" w14:textId="77777777" w:rsidR="001B6881" w:rsidRPr="00587D3E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52E0480B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</w:t>
            </w:r>
            <w:r w:rsidR="009818D0">
              <w:rPr>
                <w:rFonts w:ascii="Arial" w:hAnsi="Arial" w:cs="Arial"/>
                <w:sz w:val="24"/>
                <w:szCs w:val="24"/>
              </w:rPr>
              <w:t>………..</w:t>
            </w:r>
            <w:r w:rsidRPr="00587D3E">
              <w:rPr>
                <w:rFonts w:ascii="Arial" w:hAnsi="Arial" w:cs="Arial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19F9189B" w:rsidR="006B0546" w:rsidRPr="00587D3E" w:rsidRDefault="002229D0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7777777" w:rsidR="00EB6B79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4930002" w:rsidR="006B0546" w:rsidRPr="00587D3E" w:rsidRDefault="002229D0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</w:p>
        </w:tc>
      </w:tr>
      <w:tr w:rsidR="006B0546" w:rsidRPr="009818D0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170E3D02" w14:textId="77777777" w:rsidR="009818D0" w:rsidRPr="009818D0" w:rsidRDefault="009818D0" w:rsidP="009818D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818D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Ing. Jan Slezák, </w:t>
            </w:r>
          </w:p>
          <w:p w14:paraId="03EBA656" w14:textId="008DF8D4" w:rsidR="006B0546" w:rsidRPr="009818D0" w:rsidRDefault="009818D0" w:rsidP="009818D0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818D0">
              <w:rPr>
                <w:rFonts w:ascii="Arial" w:hAnsi="Arial" w:cs="Arial"/>
                <w:i/>
                <w:iCs/>
                <w:sz w:val="24"/>
                <w:szCs w:val="24"/>
              </w:rPr>
              <w:t>jednatel</w:t>
            </w:r>
          </w:p>
        </w:tc>
        <w:tc>
          <w:tcPr>
            <w:tcW w:w="1392" w:type="dxa"/>
          </w:tcPr>
          <w:p w14:paraId="03EBA657" w14:textId="77777777" w:rsidR="006B0546" w:rsidRPr="009818D0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4A45F49A" w14:textId="532CB074" w:rsidR="001B6881" w:rsidRPr="009818D0" w:rsidRDefault="001B6881" w:rsidP="001B6881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9818D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Ing. Martin Souček, Ph.D., ředitel Odboru digitalizace a informačních systémů </w:t>
            </w:r>
          </w:p>
          <w:p w14:paraId="03EBA659" w14:textId="77777777" w:rsidR="006B0546" w:rsidRPr="009818D0" w:rsidRDefault="006B0546" w:rsidP="001F11DE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18B7D1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DBEFC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730C8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B77DD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DF028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A2EF0" w14:textId="77777777" w:rsidR="00EE4F92" w:rsidRDefault="00EE4F9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B79214" w14:textId="77777777" w:rsidR="00EE4F92" w:rsidRDefault="00EE4F9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158167B" w14:textId="77777777" w:rsidR="00EE4F92" w:rsidRDefault="00EE4F9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8538E59" w14:textId="77777777" w:rsidR="00EE4F92" w:rsidRDefault="00EE4F92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EEB7B1" w14:textId="77777777" w:rsidR="008F366C" w:rsidRDefault="008F366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942607" w14:textId="77777777" w:rsidR="008F366C" w:rsidRDefault="008F366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16EE87" w14:textId="77777777" w:rsidR="008F366C" w:rsidRDefault="008F366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5A60D5" w14:textId="77777777" w:rsidR="008F366C" w:rsidRDefault="008F366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F08C93" w14:textId="77777777" w:rsidR="008F366C" w:rsidRDefault="008F366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DFBCF9" w14:textId="77777777" w:rsidR="008F366C" w:rsidRDefault="008F366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11D72DD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9BF3D3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B1875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6FFC6B" w14:textId="6B2EBBC6" w:rsidR="001B6881" w:rsidRPr="00EE4F92" w:rsidRDefault="001B688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4F92">
        <w:rPr>
          <w:rFonts w:ascii="Arial" w:hAnsi="Arial" w:cs="Arial"/>
          <w:b/>
          <w:bCs/>
          <w:sz w:val="24"/>
          <w:szCs w:val="24"/>
        </w:rPr>
        <w:t>Příloha č.1</w:t>
      </w:r>
      <w:r w:rsidR="00EE4F92" w:rsidRPr="00EE4F92">
        <w:rPr>
          <w:rFonts w:ascii="Arial" w:hAnsi="Arial" w:cs="Arial"/>
          <w:b/>
          <w:bCs/>
          <w:sz w:val="24"/>
          <w:szCs w:val="24"/>
        </w:rPr>
        <w:t xml:space="preserve"> dle VZ nabídky </w:t>
      </w:r>
    </w:p>
    <w:p w14:paraId="3E42406D" w14:textId="77777777" w:rsidR="00340C86" w:rsidRDefault="00340C86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Mkatabulky"/>
        <w:tblW w:w="9356" w:type="dxa"/>
        <w:tblInd w:w="137" w:type="dxa"/>
        <w:tblLook w:val="04A0" w:firstRow="1" w:lastRow="0" w:firstColumn="1" w:lastColumn="0" w:noHBand="0" w:noVBand="1"/>
      </w:tblPr>
      <w:tblGrid>
        <w:gridCol w:w="8505"/>
        <w:gridCol w:w="851"/>
      </w:tblGrid>
      <w:tr w:rsidR="00222B24" w:rsidRPr="00340C86" w14:paraId="76E0FC85" w14:textId="77777777" w:rsidTr="002A2336">
        <w:trPr>
          <w:trHeight w:val="600"/>
        </w:trPr>
        <w:tc>
          <w:tcPr>
            <w:tcW w:w="8505" w:type="dxa"/>
            <w:hideMark/>
          </w:tcPr>
          <w:p w14:paraId="30ECF67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druh zboží</w:t>
            </w:r>
          </w:p>
        </w:tc>
        <w:tc>
          <w:tcPr>
            <w:tcW w:w="851" w:type="dxa"/>
            <w:hideMark/>
          </w:tcPr>
          <w:p w14:paraId="0DB88555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počet kusů</w:t>
            </w:r>
          </w:p>
        </w:tc>
      </w:tr>
      <w:tr w:rsidR="00222B24" w:rsidRPr="00340C86" w14:paraId="4DBCB134" w14:textId="77777777" w:rsidTr="002A2336">
        <w:trPr>
          <w:trHeight w:val="976"/>
        </w:trPr>
        <w:tc>
          <w:tcPr>
            <w:tcW w:w="8505" w:type="dxa"/>
            <w:hideMark/>
          </w:tcPr>
          <w:p w14:paraId="3044628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RANGE!A3"/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Napájecí hub - technologie GaN (Gallium Nitride), podpora rychlého nabíjení, displej se zobrazením aktuální zátěže jednotlivých portů, celkový max. výkon 200 W, výstupy 3× USB-C (max. 100 W / výstup ) a 2× USB-A (max. 22,5 W / výstup), 4Safe - ochrana proti zkratu, přepětí, přetížení a přehřátí, Smart IC - automatická detekce připojeného zařízení a optimální distribuce výkonu, vestavěný PMIC, ideální pro zapojení více zařízení najednou</w:t>
            </w:r>
            <w:bookmarkEnd w:id="0"/>
          </w:p>
        </w:tc>
        <w:tc>
          <w:tcPr>
            <w:tcW w:w="851" w:type="dxa"/>
            <w:noWrap/>
            <w:hideMark/>
          </w:tcPr>
          <w:p w14:paraId="4A853B7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2BA62E48" w14:textId="77777777" w:rsidTr="00EE4F92">
        <w:trPr>
          <w:trHeight w:val="525"/>
        </w:trPr>
        <w:tc>
          <w:tcPr>
            <w:tcW w:w="8505" w:type="dxa"/>
            <w:hideMark/>
          </w:tcPr>
          <w:p w14:paraId="5AE6F27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Myš - bezdrátová, optická, symetrická, připojení skrze USB, na 1 AA baterii, citlivost 1000 DPI, 3 tlačítka, klasické kolečko, bezdrátový USB přijímač součástí balení</w:t>
            </w:r>
          </w:p>
        </w:tc>
        <w:tc>
          <w:tcPr>
            <w:tcW w:w="851" w:type="dxa"/>
            <w:noWrap/>
            <w:hideMark/>
          </w:tcPr>
          <w:p w14:paraId="68F1234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22B24" w:rsidRPr="00340C86" w14:paraId="529777FA" w14:textId="77777777" w:rsidTr="00EE4F92">
        <w:trPr>
          <w:trHeight w:val="525"/>
        </w:trPr>
        <w:tc>
          <w:tcPr>
            <w:tcW w:w="8505" w:type="dxa"/>
            <w:hideMark/>
          </w:tcPr>
          <w:p w14:paraId="214A4F0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 xml:space="preserve">Myš - bezdrátová, vertikální, optická, ergonomická, citlivost 800 - 1200 - 1600 - 2400 DPI, světelný indikátor DPI, 6 tlačítek, tichá hlavní tlačítka, životnost spínače až 3 miliony kliknutí, pro praváky, </w:t>
            </w:r>
          </w:p>
        </w:tc>
        <w:tc>
          <w:tcPr>
            <w:tcW w:w="851" w:type="dxa"/>
            <w:noWrap/>
            <w:hideMark/>
          </w:tcPr>
          <w:p w14:paraId="3AC7B03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</w:tr>
      <w:tr w:rsidR="00222B24" w:rsidRPr="00340C86" w14:paraId="0E5EA18E" w14:textId="77777777" w:rsidTr="00EE4F92">
        <w:trPr>
          <w:trHeight w:val="525"/>
        </w:trPr>
        <w:tc>
          <w:tcPr>
            <w:tcW w:w="8505" w:type="dxa"/>
            <w:hideMark/>
          </w:tcPr>
          <w:p w14:paraId="17E28D0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Set klávesnice a myši - bezdrátový, česká kancelářská klávesnice, chiclet klávesy, bezdrátový USB přijímač + optická myš, 1600DPI, 3 tlačítka</w:t>
            </w:r>
          </w:p>
        </w:tc>
        <w:tc>
          <w:tcPr>
            <w:tcW w:w="851" w:type="dxa"/>
            <w:noWrap/>
            <w:hideMark/>
          </w:tcPr>
          <w:p w14:paraId="694861B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6538F1E2" w14:textId="77777777" w:rsidTr="003E14EF">
        <w:trPr>
          <w:trHeight w:val="530"/>
        </w:trPr>
        <w:tc>
          <w:tcPr>
            <w:tcW w:w="8505" w:type="dxa"/>
            <w:hideMark/>
          </w:tcPr>
          <w:p w14:paraId="5F68775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Ventilátor do PC 140 × 25 mm, minimální otáčky 400 RPM, maxímální otáčky 2000 RPM, 12 V, maximální hlučnost do 37 dB, RGB podsvícení, ovládání pomocí iCUE, průtok vzduchu  83 CFM, typ ložiska magnetic dome</w:t>
            </w:r>
          </w:p>
        </w:tc>
        <w:tc>
          <w:tcPr>
            <w:tcW w:w="851" w:type="dxa"/>
            <w:noWrap/>
            <w:hideMark/>
          </w:tcPr>
          <w:p w14:paraId="45B610C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222B24" w:rsidRPr="00340C86" w14:paraId="1A8AD5E5" w14:textId="77777777" w:rsidTr="003E14EF">
        <w:trPr>
          <w:trHeight w:val="1686"/>
        </w:trPr>
        <w:tc>
          <w:tcPr>
            <w:tcW w:w="8505" w:type="dxa"/>
            <w:hideMark/>
          </w:tcPr>
          <w:p w14:paraId="54A45A3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Základní deska, Rozměrový formát:  ATX, Podpora pro procesory:  AMD Ryzen řady 7000/8000/9000, Patice procesoru:  AM5, Chipset:  AMD X870E 4x DIMM patice podporující až 256GB, DDR5 8000(OC) MT/s paměťové moduly, dvoukanálová architektura paměti, podpora pro non-ECC paměťové moduly DIMM 1Rx8/2Rx8/1Rx16 bez vyrovnávací paměti, podpora pro AMD EXtended Profiles for Overclocking (AMD EXPO™) a paměťové moduly Extreme Memory Profile (XMP), externí konektory: HDMI 2.1, Jack, RJ-45 (LAN) 2.5Gbps, S/PDIF, USB 2.0, USB 3.2 Gen 1, USB 3.2 Gen 2, USB 4, interní konektory:  M.2 PCIe 5.0 počet: 4, PCIe 4.0 x16, PCIe 5.0 x16, RGB LED Header, Serial ATA III, TPM header, USB 2.0 bracket, USB 3.2 Gen 1 bracket, USB-C 3.2 Gen 2x2 bracket, počet zvukových kanálů 7.1</w:t>
            </w:r>
          </w:p>
        </w:tc>
        <w:tc>
          <w:tcPr>
            <w:tcW w:w="851" w:type="dxa"/>
            <w:noWrap/>
            <w:hideMark/>
          </w:tcPr>
          <w:p w14:paraId="4025FE7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53940A56" w14:textId="77777777" w:rsidTr="002A2336">
        <w:trPr>
          <w:trHeight w:val="966"/>
        </w:trPr>
        <w:tc>
          <w:tcPr>
            <w:tcW w:w="8505" w:type="dxa"/>
            <w:hideMark/>
          </w:tcPr>
          <w:p w14:paraId="5B3C7B3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Počítačová skříň - ATX, mATX (Micro ATX), mITX (Mini ITX), eATX (Extended ATX), CEB a EEB, 2× 3,5", 4× 2,5", Konektory předního panelu USB 3.2 Gen 1, USB-C, 3.5mm jack (sluchátka), 3.5mm jack (mikrofon) a USB 3.2 Gen 2, počet předinstalovaných ventilátorů 3×140mm a 2×180mm, max. výška chladiče 188 mm, max. délka grafické karty 461 mm, bez zdroje, materiál bočnice temperované sklo, bez podsvícení</w:t>
            </w:r>
          </w:p>
        </w:tc>
        <w:tc>
          <w:tcPr>
            <w:tcW w:w="851" w:type="dxa"/>
            <w:noWrap/>
            <w:hideMark/>
          </w:tcPr>
          <w:p w14:paraId="3A50FD8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236C9308" w14:textId="77777777" w:rsidTr="00EE4F92">
        <w:trPr>
          <w:trHeight w:val="300"/>
        </w:trPr>
        <w:tc>
          <w:tcPr>
            <w:tcW w:w="8505" w:type="dxa"/>
            <w:hideMark/>
          </w:tcPr>
          <w:p w14:paraId="715D669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Napájecí adaptér 35 W - vstupní napětí 100 – 240 V, 50 – 60 Hz, konektor USB-C 2x</w:t>
            </w:r>
          </w:p>
        </w:tc>
        <w:tc>
          <w:tcPr>
            <w:tcW w:w="851" w:type="dxa"/>
            <w:noWrap/>
            <w:hideMark/>
          </w:tcPr>
          <w:p w14:paraId="2734ED5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415C8740" w14:textId="77777777" w:rsidTr="003E14EF">
        <w:trPr>
          <w:trHeight w:val="753"/>
        </w:trPr>
        <w:tc>
          <w:tcPr>
            <w:tcW w:w="8505" w:type="dxa"/>
            <w:hideMark/>
          </w:tcPr>
          <w:p w14:paraId="1751568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Powerbanka bezdrátová 10000 mAh - celkový výkon 20 W, 4 nebo více výstupů: 1× USB-A, 1× USB-C, Lightning, max. výstupní proud 5 A, max. výstupní napětí 12 V, typ rychlonabíjení USB Power Delivery a Qualcomm Quick Charge 2.0, LED indikace stavu, MagSafe, vstup USB-C, hmotnost 225 g</w:t>
            </w:r>
          </w:p>
        </w:tc>
        <w:tc>
          <w:tcPr>
            <w:tcW w:w="851" w:type="dxa"/>
            <w:noWrap/>
            <w:hideMark/>
          </w:tcPr>
          <w:p w14:paraId="26712A7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02F52D11" w14:textId="77777777" w:rsidTr="00EE4F92">
        <w:trPr>
          <w:trHeight w:val="525"/>
        </w:trPr>
        <w:tc>
          <w:tcPr>
            <w:tcW w:w="8505" w:type="dxa"/>
            <w:hideMark/>
          </w:tcPr>
          <w:p w14:paraId="15BD8CB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Sluchátka - přes hlavu, okolo uší, uzavřená konstrukce, 3,5 mm Jack, 6,3 mm Jack, frekvenční rozsah 5-35000 Hz, citlivost 96 dB/mW, impedance 80 Ohm, kabel 3 m</w:t>
            </w:r>
          </w:p>
        </w:tc>
        <w:tc>
          <w:tcPr>
            <w:tcW w:w="851" w:type="dxa"/>
            <w:noWrap/>
            <w:hideMark/>
          </w:tcPr>
          <w:p w14:paraId="23CC735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77E981EC" w14:textId="77777777" w:rsidTr="00EE4F92">
        <w:trPr>
          <w:trHeight w:val="300"/>
        </w:trPr>
        <w:tc>
          <w:tcPr>
            <w:tcW w:w="8505" w:type="dxa"/>
            <w:hideMark/>
          </w:tcPr>
          <w:p w14:paraId="12CEA28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kabel s USB-C portem, napájecí funkce při využití nabíječky, 2 m</w:t>
            </w:r>
          </w:p>
        </w:tc>
        <w:tc>
          <w:tcPr>
            <w:tcW w:w="851" w:type="dxa"/>
            <w:noWrap/>
            <w:hideMark/>
          </w:tcPr>
          <w:p w14:paraId="1C3E7F4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1BC2762A" w14:textId="77777777" w:rsidTr="003E14EF">
        <w:trPr>
          <w:trHeight w:val="562"/>
        </w:trPr>
        <w:tc>
          <w:tcPr>
            <w:tcW w:w="8505" w:type="dxa"/>
            <w:hideMark/>
          </w:tcPr>
          <w:p w14:paraId="542A292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Televize – SMART, LED, 81cm, HD Ready, 50/60 Hz, HDR10, lokální stmívání, DVB-T2/C, 2× HDMI, 1× USB, LAN, Bluetooth, DLNA, HbbTV 2.0.3, Apple Airplay 2, párování s mobilním zařízením, Tizen, Oneplay, VESA 200×200, repro 10 W, Dolby Digital Plus</w:t>
            </w:r>
          </w:p>
        </w:tc>
        <w:tc>
          <w:tcPr>
            <w:tcW w:w="851" w:type="dxa"/>
            <w:noWrap/>
            <w:hideMark/>
          </w:tcPr>
          <w:p w14:paraId="707A99A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377F2B5E" w14:textId="77777777" w:rsidTr="00EE4F92">
        <w:trPr>
          <w:trHeight w:val="705"/>
        </w:trPr>
        <w:tc>
          <w:tcPr>
            <w:tcW w:w="8505" w:type="dxa"/>
            <w:hideMark/>
          </w:tcPr>
          <w:p w14:paraId="0E3BFA55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Stojan na televizi pojízdný - od 40 do 70", VESA uchycení 100×100, 200×100, 200×200, 300×200, 300×300, 400×200, 400×300, 400×400, 600×200, 600×300 a 600×400, kloubový, nosnost 50 kg, systém pro uspořádání kabelů</w:t>
            </w:r>
          </w:p>
        </w:tc>
        <w:tc>
          <w:tcPr>
            <w:tcW w:w="851" w:type="dxa"/>
            <w:noWrap/>
            <w:hideMark/>
          </w:tcPr>
          <w:p w14:paraId="2DFF56E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49271D74" w14:textId="77777777" w:rsidTr="00EE4F92">
        <w:trPr>
          <w:trHeight w:val="525"/>
        </w:trPr>
        <w:tc>
          <w:tcPr>
            <w:tcW w:w="8505" w:type="dxa"/>
            <w:hideMark/>
          </w:tcPr>
          <w:p w14:paraId="24AF76F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 xml:space="preserve">Mikroskop celkové zvětšení minimální 3 ×, celkové zvětšení maximální 200 ×, funkce osvětlení, fotoaparát a kamera, Sada s příslušenstvím, Napájecí adaptér a LCD displej </w:t>
            </w:r>
          </w:p>
        </w:tc>
        <w:tc>
          <w:tcPr>
            <w:tcW w:w="851" w:type="dxa"/>
            <w:noWrap/>
            <w:hideMark/>
          </w:tcPr>
          <w:p w14:paraId="7A729B1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6E5206B6" w14:textId="77777777" w:rsidTr="00EE4F92">
        <w:trPr>
          <w:trHeight w:val="300"/>
        </w:trPr>
        <w:tc>
          <w:tcPr>
            <w:tcW w:w="8505" w:type="dxa"/>
            <w:hideMark/>
          </w:tcPr>
          <w:p w14:paraId="7CA1C8C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PLA, 1kg with spool nebo refill | Černá</w:t>
            </w:r>
          </w:p>
        </w:tc>
        <w:tc>
          <w:tcPr>
            <w:tcW w:w="851" w:type="dxa"/>
            <w:noWrap/>
            <w:hideMark/>
          </w:tcPr>
          <w:p w14:paraId="65A13C4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5A4AEADF" w14:textId="77777777" w:rsidTr="002A2336">
        <w:trPr>
          <w:trHeight w:val="546"/>
        </w:trPr>
        <w:tc>
          <w:tcPr>
            <w:tcW w:w="8505" w:type="dxa"/>
            <w:hideMark/>
          </w:tcPr>
          <w:p w14:paraId="5BD86E5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Termo kotouček s typovým označením 57/30/12 má návin 9 metrů a skutečný průměr 28 mm při 48 g/m2. , průměr dutinky 12 mm.200ks</w:t>
            </w:r>
          </w:p>
        </w:tc>
        <w:tc>
          <w:tcPr>
            <w:tcW w:w="851" w:type="dxa"/>
            <w:noWrap/>
            <w:hideMark/>
          </w:tcPr>
          <w:p w14:paraId="190D49E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7FC5BC6F" w14:textId="77777777" w:rsidTr="00EE4F92">
        <w:trPr>
          <w:trHeight w:val="300"/>
        </w:trPr>
        <w:tc>
          <w:tcPr>
            <w:tcW w:w="8505" w:type="dxa"/>
            <w:hideMark/>
          </w:tcPr>
          <w:p w14:paraId="0721465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PLA, 1kg with spool | Bílá</w:t>
            </w:r>
          </w:p>
        </w:tc>
        <w:tc>
          <w:tcPr>
            <w:tcW w:w="851" w:type="dxa"/>
            <w:noWrap/>
            <w:hideMark/>
          </w:tcPr>
          <w:p w14:paraId="2293CBC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7E1A88F9" w14:textId="77777777" w:rsidTr="00EE4F92">
        <w:trPr>
          <w:trHeight w:val="375"/>
        </w:trPr>
        <w:tc>
          <w:tcPr>
            <w:tcW w:w="8505" w:type="dxa"/>
            <w:hideMark/>
          </w:tcPr>
          <w:p w14:paraId="5FDAF91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Wood, 1kg with spool | Rosewood</w:t>
            </w:r>
          </w:p>
        </w:tc>
        <w:tc>
          <w:tcPr>
            <w:tcW w:w="851" w:type="dxa"/>
            <w:noWrap/>
            <w:hideMark/>
          </w:tcPr>
          <w:p w14:paraId="6E92D07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6A722828" w14:textId="77777777" w:rsidTr="00EE4F92">
        <w:trPr>
          <w:trHeight w:val="525"/>
        </w:trPr>
        <w:tc>
          <w:tcPr>
            <w:tcW w:w="8505" w:type="dxa"/>
            <w:hideMark/>
          </w:tcPr>
          <w:p w14:paraId="5B05BAA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Video kabel 2m - propojovací, male konektory: 1× DisplayPort Mini (Displayport 1.2) + 1× DisplayPort (Displayport 1.2) s přenosovou rychlostí alespoň 21,6 Gbit/s,  rovné zakončení</w:t>
            </w:r>
          </w:p>
        </w:tc>
        <w:tc>
          <w:tcPr>
            <w:tcW w:w="851" w:type="dxa"/>
            <w:noWrap/>
            <w:hideMark/>
          </w:tcPr>
          <w:p w14:paraId="05D799B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5BB537A6" w14:textId="77777777" w:rsidTr="00EE4F92">
        <w:trPr>
          <w:trHeight w:val="300"/>
        </w:trPr>
        <w:tc>
          <w:tcPr>
            <w:tcW w:w="8505" w:type="dxa"/>
            <w:hideMark/>
          </w:tcPr>
          <w:p w14:paraId="387B670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Síťový drát, CAT5E, FTP, PVC, 305m/box</w:t>
            </w:r>
          </w:p>
        </w:tc>
        <w:tc>
          <w:tcPr>
            <w:tcW w:w="851" w:type="dxa"/>
            <w:noWrap/>
            <w:hideMark/>
          </w:tcPr>
          <w:p w14:paraId="712CC2A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1B013318" w14:textId="77777777" w:rsidTr="00EE4F92">
        <w:trPr>
          <w:trHeight w:val="1035"/>
        </w:trPr>
        <w:tc>
          <w:tcPr>
            <w:tcW w:w="8505" w:type="dxa"/>
            <w:hideMark/>
          </w:tcPr>
          <w:p w14:paraId="5224D4D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Inspekční kamera professional, Hmotnost balení (kg) 1.25, Ochrana proti prachu a vodě IP 54, IP 67, Garance D, Délka kabelu kamery 150 cm, Dokumentace na Snímek</w:t>
            </w:r>
            <w:r w:rsidRPr="00340C86">
              <w:rPr>
                <w:rFonts w:asciiTheme="minorHAnsi" w:hAnsiTheme="minorHAnsi" w:cstheme="minorHAnsi"/>
                <w:sz w:val="18"/>
                <w:szCs w:val="18"/>
              </w:rPr>
              <w:br/>
              <w:t>Hmotnost g 700, Ostřicí vzdálenost, minimální 30 - 80 mm,  Průměr hlavy kamery 8.3 mm, Přenos dat USB-C®</w:t>
            </w:r>
            <w:r w:rsidRPr="00340C86">
              <w:rPr>
                <w:rFonts w:asciiTheme="minorHAnsi" w:hAnsiTheme="minorHAnsi" w:cstheme="minorHAnsi"/>
                <w:sz w:val="18"/>
                <w:szCs w:val="18"/>
              </w:rPr>
              <w:br/>
              <w:t>Rozlišení 1280 x 720 px, Rozlišení displeje 800 x 480 px, Velikost displeje 4.3 ", Zorné pole (FOV) 75 °</w:t>
            </w:r>
          </w:p>
        </w:tc>
        <w:tc>
          <w:tcPr>
            <w:tcW w:w="851" w:type="dxa"/>
            <w:noWrap/>
            <w:hideMark/>
          </w:tcPr>
          <w:p w14:paraId="6A06076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71402EE9" w14:textId="77777777" w:rsidTr="00EE4F92">
        <w:trPr>
          <w:trHeight w:val="525"/>
        </w:trPr>
        <w:tc>
          <w:tcPr>
            <w:tcW w:w="8505" w:type="dxa"/>
            <w:hideMark/>
          </w:tcPr>
          <w:p w14:paraId="1811F1F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schůdky PROFI pevný spoj 1x6 stupně  Záruka: 5 let, Hmotnost: 6 kg,  Maximální nosnost: 150 kg,  Pracovní výška: 3,30 m Výška podesty: 1,30 m Celková výška: 1,90 m Splňuje normu: ČSN EN 131</w:t>
            </w:r>
          </w:p>
        </w:tc>
        <w:tc>
          <w:tcPr>
            <w:tcW w:w="851" w:type="dxa"/>
            <w:noWrap/>
            <w:hideMark/>
          </w:tcPr>
          <w:p w14:paraId="037D61B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625047FF" w14:textId="77777777" w:rsidTr="00EE4F92">
        <w:trPr>
          <w:trHeight w:val="525"/>
        </w:trPr>
        <w:tc>
          <w:tcPr>
            <w:tcW w:w="8505" w:type="dxa"/>
            <w:hideMark/>
          </w:tcPr>
          <w:p w14:paraId="46549D4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Taška na notebook - unisex, do velikosti 14", uzavírání na zip, materiál polyester, popruh přes rameno, voděodolný materiál, vnitřní upevnění notebooku</w:t>
            </w:r>
          </w:p>
        </w:tc>
        <w:tc>
          <w:tcPr>
            <w:tcW w:w="851" w:type="dxa"/>
            <w:noWrap/>
            <w:hideMark/>
          </w:tcPr>
          <w:p w14:paraId="37217CC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222B24" w:rsidRPr="00340C86" w14:paraId="5228AA34" w14:textId="77777777" w:rsidTr="00EE4F92">
        <w:trPr>
          <w:trHeight w:val="525"/>
        </w:trPr>
        <w:tc>
          <w:tcPr>
            <w:tcW w:w="8505" w:type="dxa"/>
            <w:hideMark/>
          </w:tcPr>
          <w:p w14:paraId="3CE6DD5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Taška na notebook - unisex, do velikosti 15,6", uzavírání na zip, materiál polyester, rukojeť, popruh přes rameno, polstrování, voděodolný materiál, zadní pás na kufr</w:t>
            </w:r>
          </w:p>
        </w:tc>
        <w:tc>
          <w:tcPr>
            <w:tcW w:w="851" w:type="dxa"/>
            <w:noWrap/>
            <w:hideMark/>
          </w:tcPr>
          <w:p w14:paraId="7FC685C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42B6762C" w14:textId="77777777" w:rsidTr="00EE4F92">
        <w:trPr>
          <w:trHeight w:val="525"/>
        </w:trPr>
        <w:tc>
          <w:tcPr>
            <w:tcW w:w="8505" w:type="dxa"/>
            <w:hideMark/>
          </w:tcPr>
          <w:p w14:paraId="7D165B5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Pouzdro na notebook - max. uhlopříčka 14", s uchem, polstrované, voděodolné, uzavírání na zip, vnější kapsy, unisex, materiál polyester</w:t>
            </w:r>
          </w:p>
        </w:tc>
        <w:tc>
          <w:tcPr>
            <w:tcW w:w="851" w:type="dxa"/>
            <w:noWrap/>
            <w:hideMark/>
          </w:tcPr>
          <w:p w14:paraId="5DBAF94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222B24" w:rsidRPr="00340C86" w14:paraId="56782952" w14:textId="77777777" w:rsidTr="00745EA6">
        <w:trPr>
          <w:trHeight w:val="489"/>
        </w:trPr>
        <w:tc>
          <w:tcPr>
            <w:tcW w:w="8505" w:type="dxa"/>
            <w:hideMark/>
          </w:tcPr>
          <w:p w14:paraId="6CE05E0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USB flash disk • kapacita 64 GB • rozhraní USB 3.2 Gen 1 • rychlost čtení až 220 MB/s • rychlost zápisu až 100 MB/s • odolné celokovové provedení • rozměry 39 × 12,2 × 4,6 mm</w:t>
            </w:r>
          </w:p>
        </w:tc>
        <w:tc>
          <w:tcPr>
            <w:tcW w:w="851" w:type="dxa"/>
            <w:noWrap/>
            <w:hideMark/>
          </w:tcPr>
          <w:p w14:paraId="76854AC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750855AC" w14:textId="77777777" w:rsidTr="00EE4F92">
        <w:trPr>
          <w:trHeight w:val="780"/>
        </w:trPr>
        <w:tc>
          <w:tcPr>
            <w:tcW w:w="8505" w:type="dxa"/>
            <w:hideMark/>
          </w:tcPr>
          <w:p w14:paraId="5AD6170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Originální akumulátor pro napájení tiskárny štítků řady PT  e300 mimo dosah elektrické sítě. Baterie poslouží jako náhrada za baterii s malou kapacitou nebo jako druhá baterie do brašny na cesty, kde prodlouží činnost tiskárny. Akumulátor je typu Li-Ion, takže ho můžete nabíjet kdykoliv, aniž by to mělo následky na životnosti.(ba-e001)</w:t>
            </w:r>
          </w:p>
        </w:tc>
        <w:tc>
          <w:tcPr>
            <w:tcW w:w="851" w:type="dxa"/>
            <w:noWrap/>
            <w:hideMark/>
          </w:tcPr>
          <w:p w14:paraId="623DC15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2DB0ACBE" w14:textId="77777777" w:rsidTr="00EE4F92">
        <w:trPr>
          <w:trHeight w:val="300"/>
        </w:trPr>
        <w:tc>
          <w:tcPr>
            <w:tcW w:w="8505" w:type="dxa"/>
            <w:hideMark/>
          </w:tcPr>
          <w:p w14:paraId="5BCBA7F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Filament Polymaker PolyTerra PLA 1.75mm 1kg | Bílá - Marble White</w:t>
            </w:r>
          </w:p>
        </w:tc>
        <w:tc>
          <w:tcPr>
            <w:tcW w:w="851" w:type="dxa"/>
            <w:noWrap/>
            <w:hideMark/>
          </w:tcPr>
          <w:p w14:paraId="2EF85C2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69BA928F" w14:textId="77777777" w:rsidTr="00EE4F92">
        <w:trPr>
          <w:trHeight w:val="300"/>
        </w:trPr>
        <w:tc>
          <w:tcPr>
            <w:tcW w:w="8505" w:type="dxa"/>
            <w:hideMark/>
          </w:tcPr>
          <w:p w14:paraId="6DDFB31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PremiumCord Propojka RJ45 CAT6A 8/8 STP KeyStone, stíněná</w:t>
            </w:r>
          </w:p>
        </w:tc>
        <w:tc>
          <w:tcPr>
            <w:tcW w:w="851" w:type="dxa"/>
            <w:noWrap/>
            <w:hideMark/>
          </w:tcPr>
          <w:p w14:paraId="39E555F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425100F8" w14:textId="77777777" w:rsidTr="00EE4F92">
        <w:trPr>
          <w:trHeight w:val="525"/>
        </w:trPr>
        <w:tc>
          <w:tcPr>
            <w:tcW w:w="8505" w:type="dxa"/>
            <w:hideMark/>
          </w:tcPr>
          <w:p w14:paraId="3595681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Samonivelační lineární laser 360° pro vysoce přesnou nivelaci celé místnosti. Zelené laserové čáry.  Laserové čáry s přesností ±0,4 mm/m, samonivelační rozsah. Kompletní sada včetně brašny a stativu.</w:t>
            </w:r>
          </w:p>
        </w:tc>
        <w:tc>
          <w:tcPr>
            <w:tcW w:w="851" w:type="dxa"/>
            <w:noWrap/>
            <w:hideMark/>
          </w:tcPr>
          <w:p w14:paraId="3FC81D8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79452477" w14:textId="77777777" w:rsidTr="00EE4F92">
        <w:trPr>
          <w:trHeight w:val="300"/>
        </w:trPr>
        <w:tc>
          <w:tcPr>
            <w:tcW w:w="8505" w:type="dxa"/>
            <w:hideMark/>
          </w:tcPr>
          <w:p w14:paraId="389F0EB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CAT6 Keystone Jack, stíněný, nevyžaduje nástroj pro narážení</w:t>
            </w:r>
          </w:p>
        </w:tc>
        <w:tc>
          <w:tcPr>
            <w:tcW w:w="851" w:type="dxa"/>
            <w:noWrap/>
            <w:hideMark/>
          </w:tcPr>
          <w:p w14:paraId="4904A6D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222B24" w:rsidRPr="00340C86" w14:paraId="76CCCFB2" w14:textId="77777777" w:rsidTr="00EE4F92">
        <w:trPr>
          <w:trHeight w:val="525"/>
        </w:trPr>
        <w:tc>
          <w:tcPr>
            <w:tcW w:w="8505" w:type="dxa"/>
            <w:hideMark/>
          </w:tcPr>
          <w:p w14:paraId="6C94D2F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Síťový kabel 20m - propojovací, male konektory: 2× RJ-45 (CAT6) s přenosovou rychlostí 1 Gbit/s, s oboustrannou koncovkou, stíněný, stínění FTP, rovné zakončení</w:t>
            </w:r>
          </w:p>
        </w:tc>
        <w:tc>
          <w:tcPr>
            <w:tcW w:w="851" w:type="dxa"/>
            <w:noWrap/>
            <w:hideMark/>
          </w:tcPr>
          <w:p w14:paraId="246DBFD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70135C87" w14:textId="77777777" w:rsidTr="00EE4F92">
        <w:trPr>
          <w:trHeight w:val="525"/>
        </w:trPr>
        <w:tc>
          <w:tcPr>
            <w:tcW w:w="8505" w:type="dxa"/>
            <w:hideMark/>
          </w:tcPr>
          <w:p w14:paraId="2A48E2B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Síťový kabel 15m - propojovací, male konektory: 2× RJ-45 (CAT6) s přenosovou rychlostí 1 Gbit/s, s oboustrannou koncovkou, stíněný, stínění FTP, rovné zakončení</w:t>
            </w:r>
          </w:p>
        </w:tc>
        <w:tc>
          <w:tcPr>
            <w:tcW w:w="851" w:type="dxa"/>
            <w:noWrap/>
            <w:hideMark/>
          </w:tcPr>
          <w:p w14:paraId="492E547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47F54BA1" w14:textId="77777777" w:rsidTr="00EE4F92">
        <w:trPr>
          <w:trHeight w:val="525"/>
        </w:trPr>
        <w:tc>
          <w:tcPr>
            <w:tcW w:w="8505" w:type="dxa"/>
            <w:hideMark/>
          </w:tcPr>
          <w:p w14:paraId="31D1AD2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Síťový kabel 10m - propojovací, male konektory: 2× RJ-45 (CAT6) s přenosovou rychlostí 1 Gbit/s, s oboustrannou koncovkou, stíněný, stínění FTP, rovné zakončení</w:t>
            </w:r>
          </w:p>
        </w:tc>
        <w:tc>
          <w:tcPr>
            <w:tcW w:w="851" w:type="dxa"/>
            <w:noWrap/>
            <w:hideMark/>
          </w:tcPr>
          <w:p w14:paraId="53ED037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793F33CE" w14:textId="77777777" w:rsidTr="00EE4F92">
        <w:trPr>
          <w:trHeight w:val="525"/>
        </w:trPr>
        <w:tc>
          <w:tcPr>
            <w:tcW w:w="8505" w:type="dxa"/>
            <w:hideMark/>
          </w:tcPr>
          <w:p w14:paraId="286348B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Síťový kabel 7m - propojovací, male konektory: 2× RJ-45 (CAT6) s přenosovou rychlostí 1 Gbit/s, s oboustrannou koncovkou, stíněný, stínění FTP, rovné zakončení</w:t>
            </w:r>
          </w:p>
        </w:tc>
        <w:tc>
          <w:tcPr>
            <w:tcW w:w="851" w:type="dxa"/>
            <w:noWrap/>
            <w:hideMark/>
          </w:tcPr>
          <w:p w14:paraId="03E862A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22B24" w:rsidRPr="00340C86" w14:paraId="02524689" w14:textId="77777777" w:rsidTr="00EE4F92">
        <w:trPr>
          <w:trHeight w:val="525"/>
        </w:trPr>
        <w:tc>
          <w:tcPr>
            <w:tcW w:w="8505" w:type="dxa"/>
            <w:hideMark/>
          </w:tcPr>
          <w:p w14:paraId="08B35EE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Síťový kabel 5m - propojovací, male konektory: 2× RJ-45 (CAT6) s přenosovou rychlostí 1 Gbit/s, s oboustrannou koncovkou, stíněný, stínění FTP, rovné zakončení</w:t>
            </w:r>
          </w:p>
        </w:tc>
        <w:tc>
          <w:tcPr>
            <w:tcW w:w="851" w:type="dxa"/>
            <w:noWrap/>
            <w:hideMark/>
          </w:tcPr>
          <w:p w14:paraId="644D4B9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34C5EED4" w14:textId="77777777" w:rsidTr="00EE4F92">
        <w:trPr>
          <w:trHeight w:val="525"/>
        </w:trPr>
        <w:tc>
          <w:tcPr>
            <w:tcW w:w="8505" w:type="dxa"/>
            <w:hideMark/>
          </w:tcPr>
          <w:p w14:paraId="2968B6C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Síťový kabel 3m - propojovací, male konektory: 2× RJ-45 (CAT6) s přenosovou rychlostí 1 Gbit/s, s oboustrannou koncovkou, stíněný, stínění FTP, rovné zakončení</w:t>
            </w:r>
          </w:p>
        </w:tc>
        <w:tc>
          <w:tcPr>
            <w:tcW w:w="851" w:type="dxa"/>
            <w:noWrap/>
            <w:hideMark/>
          </w:tcPr>
          <w:p w14:paraId="3139F02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22B24" w:rsidRPr="00340C86" w14:paraId="26F7FFEF" w14:textId="77777777" w:rsidTr="00EE4F92">
        <w:trPr>
          <w:trHeight w:val="300"/>
        </w:trPr>
        <w:tc>
          <w:tcPr>
            <w:tcW w:w="8505" w:type="dxa"/>
            <w:hideMark/>
          </w:tcPr>
          <w:p w14:paraId="2868165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Fiber Optic Patch Cord, LC/LC Multimode 50/125 µ, OM4, Duplex, 5m</w:t>
            </w:r>
          </w:p>
        </w:tc>
        <w:tc>
          <w:tcPr>
            <w:tcW w:w="851" w:type="dxa"/>
            <w:noWrap/>
            <w:hideMark/>
          </w:tcPr>
          <w:p w14:paraId="3C2E64A5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222B24" w:rsidRPr="00340C86" w14:paraId="26A2FAD6" w14:textId="77777777" w:rsidTr="00EE4F92">
        <w:trPr>
          <w:trHeight w:val="300"/>
        </w:trPr>
        <w:tc>
          <w:tcPr>
            <w:tcW w:w="8505" w:type="dxa"/>
            <w:hideMark/>
          </w:tcPr>
          <w:p w14:paraId="132245E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Fiber Optic Patch Cord, LC/LC Multimode 50/125 µ, OM4, Duplex, 3m</w:t>
            </w:r>
          </w:p>
        </w:tc>
        <w:tc>
          <w:tcPr>
            <w:tcW w:w="851" w:type="dxa"/>
            <w:noWrap/>
            <w:hideMark/>
          </w:tcPr>
          <w:p w14:paraId="24DF51E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1259C25A" w14:textId="77777777" w:rsidTr="00EE4F92">
        <w:trPr>
          <w:trHeight w:val="300"/>
        </w:trPr>
        <w:tc>
          <w:tcPr>
            <w:tcW w:w="8505" w:type="dxa"/>
            <w:hideMark/>
          </w:tcPr>
          <w:p w14:paraId="557D9E1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Fiber Optic Patch Cord, LC/LC Multimode 50/125 µ, OM4, Duplex, 1m</w:t>
            </w:r>
          </w:p>
        </w:tc>
        <w:tc>
          <w:tcPr>
            <w:tcW w:w="851" w:type="dxa"/>
            <w:noWrap/>
            <w:hideMark/>
          </w:tcPr>
          <w:p w14:paraId="4F27851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222B24" w:rsidRPr="00340C86" w14:paraId="2C8A01ED" w14:textId="77777777" w:rsidTr="00EE4F92">
        <w:trPr>
          <w:trHeight w:val="300"/>
        </w:trPr>
        <w:tc>
          <w:tcPr>
            <w:tcW w:w="8505" w:type="dxa"/>
            <w:hideMark/>
          </w:tcPr>
          <w:p w14:paraId="1881B15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Fiber Optic Patch Cord, LC/SC Multimode 50/125 µ, OM4, Duplex, 1m</w:t>
            </w:r>
          </w:p>
        </w:tc>
        <w:tc>
          <w:tcPr>
            <w:tcW w:w="851" w:type="dxa"/>
            <w:noWrap/>
            <w:hideMark/>
          </w:tcPr>
          <w:p w14:paraId="427E1F3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27F78FA3" w14:textId="77777777" w:rsidTr="00EE4F92">
        <w:trPr>
          <w:trHeight w:val="300"/>
        </w:trPr>
        <w:tc>
          <w:tcPr>
            <w:tcW w:w="8505" w:type="dxa"/>
            <w:hideMark/>
          </w:tcPr>
          <w:p w14:paraId="4578B40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PremiumCord Adaptér USB-C/male - USB 3.0  A/female, kovově šedý, OTG</w:t>
            </w:r>
          </w:p>
        </w:tc>
        <w:tc>
          <w:tcPr>
            <w:tcW w:w="851" w:type="dxa"/>
            <w:noWrap/>
            <w:hideMark/>
          </w:tcPr>
          <w:p w14:paraId="429FE6C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222B24" w:rsidRPr="00340C86" w14:paraId="3CE56E2B" w14:textId="77777777" w:rsidTr="00EE4F92">
        <w:trPr>
          <w:trHeight w:val="525"/>
        </w:trPr>
        <w:tc>
          <w:tcPr>
            <w:tcW w:w="8505" w:type="dxa"/>
            <w:hideMark/>
          </w:tcPr>
          <w:p w14:paraId="5F4E16B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Flash disk 16 GB - USB 3.2 Gen 1 (USB 3.0), konektor USB-A, rychlost čtení až 100 MB/s,, s poutkem na klíče, materiál kov nebo plast</w:t>
            </w:r>
          </w:p>
        </w:tc>
        <w:tc>
          <w:tcPr>
            <w:tcW w:w="851" w:type="dxa"/>
            <w:noWrap/>
            <w:hideMark/>
          </w:tcPr>
          <w:p w14:paraId="51C939C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222B24" w:rsidRPr="00340C86" w14:paraId="2F5E6EDA" w14:textId="77777777" w:rsidTr="00EE4F92">
        <w:trPr>
          <w:trHeight w:val="525"/>
        </w:trPr>
        <w:tc>
          <w:tcPr>
            <w:tcW w:w="8505" w:type="dxa"/>
            <w:hideMark/>
          </w:tcPr>
          <w:p w14:paraId="48C03FF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kabel USB Hi-Speed 480 Mb/s, Sync &amp; Charge až 3A, Power Delivery 60W, pozlacené konektory, pro notebooky, mobilní telefony a jiná zařízení s USB-C konektorem, 1m délka</w:t>
            </w:r>
          </w:p>
        </w:tc>
        <w:tc>
          <w:tcPr>
            <w:tcW w:w="851" w:type="dxa"/>
            <w:noWrap/>
            <w:hideMark/>
          </w:tcPr>
          <w:p w14:paraId="1262A02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69AF739F" w14:textId="77777777" w:rsidTr="00EE4F92">
        <w:trPr>
          <w:trHeight w:val="525"/>
        </w:trPr>
        <w:tc>
          <w:tcPr>
            <w:tcW w:w="8505" w:type="dxa"/>
            <w:hideMark/>
          </w:tcPr>
          <w:p w14:paraId="54CF66A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Napájecí adaptér 100 W - vstupní napětí 100 – 240 V, 50 – 60 Hz, konektor USB-C, univerzální k notebookům. Přepěťová ochrana</w:t>
            </w:r>
          </w:p>
        </w:tc>
        <w:tc>
          <w:tcPr>
            <w:tcW w:w="851" w:type="dxa"/>
            <w:noWrap/>
            <w:hideMark/>
          </w:tcPr>
          <w:p w14:paraId="33A1FD1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222B24" w:rsidRPr="00340C86" w14:paraId="0AC55110" w14:textId="77777777" w:rsidTr="00EE4F92">
        <w:trPr>
          <w:trHeight w:val="765"/>
        </w:trPr>
        <w:tc>
          <w:tcPr>
            <w:tcW w:w="8505" w:type="dxa"/>
            <w:hideMark/>
          </w:tcPr>
          <w:p w14:paraId="0AF38BA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Externí box - pro 3,5" disky, max. výška disku 27 mm, max. kapacita 24 TB, rozhraní USB 3.2 Gen 1, LED indikace, automatické vypnutí, Plug &amp; Play, Hot Swap, konektor USB-A a USB-B, 1 volná pozice, materiál hliník a kov, USB-A na USB-B kabel a napájecí adaptér v balení,</w:t>
            </w:r>
          </w:p>
        </w:tc>
        <w:tc>
          <w:tcPr>
            <w:tcW w:w="851" w:type="dxa"/>
            <w:noWrap/>
            <w:hideMark/>
          </w:tcPr>
          <w:p w14:paraId="3C4261C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26C0505B" w14:textId="77777777" w:rsidTr="00EE4F92">
        <w:trPr>
          <w:trHeight w:val="525"/>
        </w:trPr>
        <w:tc>
          <w:tcPr>
            <w:tcW w:w="8505" w:type="dxa"/>
            <w:hideMark/>
          </w:tcPr>
          <w:p w14:paraId="4EC3941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Externí box - pro 2,5" disky, max. výška disku 9,5 mm, max. kapacita 8 TB, rozhraní USB 3.2 Gen 1, LED indikace, automatické vypnutí, Plug &amp; Play, konektor USB-A a USB 3.0 Micro-B, 1 volná pozice, materiál plast</w:t>
            </w:r>
          </w:p>
        </w:tc>
        <w:tc>
          <w:tcPr>
            <w:tcW w:w="851" w:type="dxa"/>
            <w:noWrap/>
            <w:hideMark/>
          </w:tcPr>
          <w:p w14:paraId="40147EC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  <w:tr w:rsidR="00222B24" w:rsidRPr="00340C86" w14:paraId="18AF5168" w14:textId="77777777" w:rsidTr="00745EA6">
        <w:trPr>
          <w:trHeight w:val="841"/>
        </w:trPr>
        <w:tc>
          <w:tcPr>
            <w:tcW w:w="8505" w:type="dxa"/>
            <w:hideMark/>
          </w:tcPr>
          <w:p w14:paraId="3AD7830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Externí box - pro M,2 2242, M,2 2260 a M,2 2280 disky, max. kapacita 8 TB, rozhraní USB 3.2 Gen 1 a USB 3.2 Gen 2, LED indikace, Plug &amp; Play, USB Mass Storage Class, Bulk-Only Transport, USB Attached SCSI Protocol, S.M.A.R.T., TRIM, bootování, konektor USB-A a USB-C, 1 volná pozice, materiál plast, hliník a kov, USB-C na USB-C kabel a USB-C na USB-A kabel v balení</w:t>
            </w:r>
          </w:p>
        </w:tc>
        <w:tc>
          <w:tcPr>
            <w:tcW w:w="851" w:type="dxa"/>
            <w:noWrap/>
            <w:hideMark/>
          </w:tcPr>
          <w:p w14:paraId="78C9B64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50F1B3FF" w14:textId="77777777" w:rsidTr="00EE4F92">
        <w:trPr>
          <w:trHeight w:val="525"/>
        </w:trPr>
        <w:tc>
          <w:tcPr>
            <w:tcW w:w="8505" w:type="dxa"/>
            <w:hideMark/>
          </w:tcPr>
          <w:p w14:paraId="18D2B3B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Externí vypalovačka - DVD±R 8×, DVD±R DL 8×, DVD+RW 8×, DVD-RW 8×, DVD-RAM 5×, CD-R 24×, CD-RW 24×, USB 2.0, slim, externí</w:t>
            </w:r>
          </w:p>
        </w:tc>
        <w:tc>
          <w:tcPr>
            <w:tcW w:w="851" w:type="dxa"/>
            <w:noWrap/>
            <w:hideMark/>
          </w:tcPr>
          <w:p w14:paraId="6645180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24628770" w14:textId="77777777" w:rsidTr="00745EA6">
        <w:trPr>
          <w:trHeight w:val="691"/>
        </w:trPr>
        <w:tc>
          <w:tcPr>
            <w:tcW w:w="8505" w:type="dxa"/>
            <w:hideMark/>
          </w:tcPr>
          <w:p w14:paraId="63930E0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Nabíječka do sítě - univerzální, 1× USB-A, 1× USB-C, max. výkon 20 W, s podporou rychlonabíjení QC3.0, Power Delivery 3.0, 4Safe - ochrana proti zkratu, přepětí, přetížení a přehřátí, Smart IC - automatická detekce připojeného zařízení a optimální distribuce výkonu, pro mobilní telefony, tablety a další podobná zařízení</w:t>
            </w:r>
          </w:p>
        </w:tc>
        <w:tc>
          <w:tcPr>
            <w:tcW w:w="851" w:type="dxa"/>
            <w:noWrap/>
            <w:hideMark/>
          </w:tcPr>
          <w:p w14:paraId="1B8E454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22B24" w:rsidRPr="00340C86" w14:paraId="3E88A41A" w14:textId="77777777" w:rsidTr="00EE4F92">
        <w:trPr>
          <w:trHeight w:val="525"/>
        </w:trPr>
        <w:tc>
          <w:tcPr>
            <w:tcW w:w="8505" w:type="dxa"/>
            <w:hideMark/>
          </w:tcPr>
          <w:p w14:paraId="72F28EC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Sluchátka - s mikrofonem, přes hlavu, na uši, uzavřená konstrukce, USB-A, pro PC, s ovládáním hlasitosti, frekvenční rozsah 20-20000 Hz, citlivost 94 dB/mW, impedance 32 Ohm, měnič 30 mm</w:t>
            </w:r>
          </w:p>
        </w:tc>
        <w:tc>
          <w:tcPr>
            <w:tcW w:w="851" w:type="dxa"/>
            <w:noWrap/>
            <w:hideMark/>
          </w:tcPr>
          <w:p w14:paraId="5E5D5ABD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222B24" w:rsidRPr="00340C86" w14:paraId="56CA2002" w14:textId="77777777" w:rsidTr="00745EA6">
        <w:trPr>
          <w:trHeight w:val="169"/>
        </w:trPr>
        <w:tc>
          <w:tcPr>
            <w:tcW w:w="8505" w:type="dxa"/>
            <w:hideMark/>
          </w:tcPr>
          <w:p w14:paraId="1B0C5DA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Redukce propojující HDMI M a D-SUB (VGA) F, pozlacené konektory, včetně 3,5 mm jack</w:t>
            </w:r>
          </w:p>
        </w:tc>
        <w:tc>
          <w:tcPr>
            <w:tcW w:w="851" w:type="dxa"/>
            <w:noWrap/>
            <w:hideMark/>
          </w:tcPr>
          <w:p w14:paraId="4470975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222B24" w:rsidRPr="00340C86" w14:paraId="2B99C0C9" w14:textId="77777777" w:rsidTr="00EE4F92">
        <w:trPr>
          <w:trHeight w:val="375"/>
        </w:trPr>
        <w:tc>
          <w:tcPr>
            <w:tcW w:w="8505" w:type="dxa"/>
            <w:hideMark/>
          </w:tcPr>
          <w:p w14:paraId="233AC53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kabel USB Hi-Speed 480 Mb/s, Sync &amp; Charge až 2.4A, pro tiskárny a jiná zařízení s USB-B konektorem, 3m délka</w:t>
            </w:r>
          </w:p>
        </w:tc>
        <w:tc>
          <w:tcPr>
            <w:tcW w:w="851" w:type="dxa"/>
            <w:noWrap/>
            <w:hideMark/>
          </w:tcPr>
          <w:p w14:paraId="20ACBCAD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1B6F0DB0" w14:textId="77777777" w:rsidTr="00EE4F92">
        <w:trPr>
          <w:trHeight w:val="525"/>
        </w:trPr>
        <w:tc>
          <w:tcPr>
            <w:tcW w:w="8505" w:type="dxa"/>
            <w:hideMark/>
          </w:tcPr>
          <w:p w14:paraId="44859D6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Podložka pod myš - kancelářská, ergonomická, materiál textil a silikon, pod zápěstí, s gelovým polštářkem, protiskluzová základna, rozměry 24 × 22 cm</w:t>
            </w:r>
          </w:p>
        </w:tc>
        <w:tc>
          <w:tcPr>
            <w:tcW w:w="851" w:type="dxa"/>
            <w:noWrap/>
            <w:hideMark/>
          </w:tcPr>
          <w:p w14:paraId="54F590ED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1D23A202" w14:textId="77777777" w:rsidTr="00745EA6">
        <w:trPr>
          <w:trHeight w:val="796"/>
        </w:trPr>
        <w:tc>
          <w:tcPr>
            <w:tcW w:w="8505" w:type="dxa"/>
            <w:hideMark/>
          </w:tcPr>
          <w:p w14:paraId="0E6CD56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Externí dokovací (klonovací) stanice - pro 2,5" a 3,5" disky, max. výška disku 27 mm, max. kapacita 40 TB, rozhraní USB 3.2 Gen 1, LED indikace a odolné provedení, automatické vypnutí, Plug &amp; Play, USB Mass Storage Class, Bulk-Only Transport, USB Attached SCSI Protocol, S.M.A.R.T., TRIM, klonování, bootování, konektor USB-A a USB-C, 2 volné pozice, materiál plast, hliník a kov, USB-C na USB-A kabel a napájecí adaptér v balení</w:t>
            </w:r>
          </w:p>
        </w:tc>
        <w:tc>
          <w:tcPr>
            <w:tcW w:w="851" w:type="dxa"/>
            <w:noWrap/>
            <w:hideMark/>
          </w:tcPr>
          <w:p w14:paraId="0043C0A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738C9D8B" w14:textId="77777777" w:rsidTr="00EE4F92">
        <w:trPr>
          <w:trHeight w:val="300"/>
        </w:trPr>
        <w:tc>
          <w:tcPr>
            <w:tcW w:w="8505" w:type="dxa"/>
            <w:hideMark/>
          </w:tcPr>
          <w:p w14:paraId="7B0AD9E6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Basic 1kg, Refill nebo with spool | Pink - růžová</w:t>
            </w:r>
          </w:p>
        </w:tc>
        <w:tc>
          <w:tcPr>
            <w:tcW w:w="851" w:type="dxa"/>
            <w:noWrap/>
            <w:hideMark/>
          </w:tcPr>
          <w:p w14:paraId="6A564F1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0C013B8F" w14:textId="77777777" w:rsidTr="00EE4F92">
        <w:trPr>
          <w:trHeight w:val="300"/>
        </w:trPr>
        <w:tc>
          <w:tcPr>
            <w:tcW w:w="8505" w:type="dxa"/>
            <w:hideMark/>
          </w:tcPr>
          <w:p w14:paraId="7484D57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Basic 1.75, 1kg Refill nebo with spool| Modrá</w:t>
            </w:r>
          </w:p>
        </w:tc>
        <w:tc>
          <w:tcPr>
            <w:tcW w:w="851" w:type="dxa"/>
            <w:noWrap/>
            <w:hideMark/>
          </w:tcPr>
          <w:p w14:paraId="26FDBC0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707F4F9B" w14:textId="77777777" w:rsidTr="00EE4F92">
        <w:trPr>
          <w:trHeight w:val="300"/>
        </w:trPr>
        <w:tc>
          <w:tcPr>
            <w:tcW w:w="8505" w:type="dxa"/>
            <w:hideMark/>
          </w:tcPr>
          <w:p w14:paraId="2656825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Basic 1.75, 1kg Refill nebo with spool | Hnědá - Cocoa Brown</w:t>
            </w:r>
          </w:p>
        </w:tc>
        <w:tc>
          <w:tcPr>
            <w:tcW w:w="851" w:type="dxa"/>
            <w:noWrap/>
            <w:hideMark/>
          </w:tcPr>
          <w:p w14:paraId="5FD30F95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2FDF15B2" w14:textId="77777777" w:rsidTr="00EE4F92">
        <w:trPr>
          <w:trHeight w:val="300"/>
        </w:trPr>
        <w:tc>
          <w:tcPr>
            <w:tcW w:w="8505" w:type="dxa"/>
            <w:hideMark/>
          </w:tcPr>
          <w:p w14:paraId="5F1DE95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Silk+, 1kg with spool | Mint</w:t>
            </w:r>
          </w:p>
        </w:tc>
        <w:tc>
          <w:tcPr>
            <w:tcW w:w="851" w:type="dxa"/>
            <w:noWrap/>
            <w:hideMark/>
          </w:tcPr>
          <w:p w14:paraId="198C9395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2FD7029D" w14:textId="77777777" w:rsidTr="00EE4F92">
        <w:trPr>
          <w:trHeight w:val="300"/>
        </w:trPr>
        <w:tc>
          <w:tcPr>
            <w:tcW w:w="8505" w:type="dxa"/>
            <w:hideMark/>
          </w:tcPr>
          <w:p w14:paraId="1C501F3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Silk+, 1kg with spool | Purple</w:t>
            </w:r>
          </w:p>
        </w:tc>
        <w:tc>
          <w:tcPr>
            <w:tcW w:w="851" w:type="dxa"/>
            <w:noWrap/>
            <w:hideMark/>
          </w:tcPr>
          <w:p w14:paraId="48C93FE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49B48FBA" w14:textId="77777777" w:rsidTr="00EE4F92">
        <w:trPr>
          <w:trHeight w:val="300"/>
        </w:trPr>
        <w:tc>
          <w:tcPr>
            <w:tcW w:w="8505" w:type="dxa"/>
            <w:hideMark/>
          </w:tcPr>
          <w:p w14:paraId="668C142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Basic 1kg, Refill nebo with spool | Yellow - žlutá</w:t>
            </w:r>
          </w:p>
        </w:tc>
        <w:tc>
          <w:tcPr>
            <w:tcW w:w="851" w:type="dxa"/>
            <w:noWrap/>
            <w:hideMark/>
          </w:tcPr>
          <w:p w14:paraId="26ED20B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72CF571B" w14:textId="77777777" w:rsidTr="00EE4F92">
        <w:trPr>
          <w:trHeight w:val="300"/>
        </w:trPr>
        <w:tc>
          <w:tcPr>
            <w:tcW w:w="8505" w:type="dxa"/>
            <w:hideMark/>
          </w:tcPr>
          <w:p w14:paraId="2EFAA88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Basic 1.75, 1kg Refill with spool | Červená - Red</w:t>
            </w:r>
          </w:p>
        </w:tc>
        <w:tc>
          <w:tcPr>
            <w:tcW w:w="851" w:type="dxa"/>
            <w:noWrap/>
            <w:hideMark/>
          </w:tcPr>
          <w:p w14:paraId="611F908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444C02E9" w14:textId="77777777" w:rsidTr="00EE4F92">
        <w:trPr>
          <w:trHeight w:val="300"/>
        </w:trPr>
        <w:tc>
          <w:tcPr>
            <w:tcW w:w="8505" w:type="dxa"/>
            <w:hideMark/>
          </w:tcPr>
          <w:p w14:paraId="174D903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ASA, with spool, 1kg | Bílá</w:t>
            </w:r>
          </w:p>
        </w:tc>
        <w:tc>
          <w:tcPr>
            <w:tcW w:w="851" w:type="dxa"/>
            <w:noWrap/>
            <w:hideMark/>
          </w:tcPr>
          <w:p w14:paraId="15A3172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0ED03530" w14:textId="77777777" w:rsidTr="003E14EF">
        <w:trPr>
          <w:trHeight w:val="263"/>
        </w:trPr>
        <w:tc>
          <w:tcPr>
            <w:tcW w:w="8505" w:type="dxa"/>
            <w:hideMark/>
          </w:tcPr>
          <w:p w14:paraId="33186D2D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 xml:space="preserve">Bambu Lab PETG HF 1kg, Refill nebo with spool | Černá </w:t>
            </w:r>
          </w:p>
        </w:tc>
        <w:tc>
          <w:tcPr>
            <w:tcW w:w="851" w:type="dxa"/>
            <w:noWrap/>
            <w:hideMark/>
          </w:tcPr>
          <w:p w14:paraId="4B212A9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78D5C856" w14:textId="77777777" w:rsidTr="00EE4F92">
        <w:trPr>
          <w:trHeight w:val="1035"/>
        </w:trPr>
        <w:tc>
          <w:tcPr>
            <w:tcW w:w="8505" w:type="dxa"/>
            <w:hideMark/>
          </w:tcPr>
          <w:p w14:paraId="64951FB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Digitální zápisník. Inteligentní AI asistent pro záznam, přepis, souhrn, organizace a dedukce. Podpora 112 jazyků včetně češtiny, slovenštiny, angličtiny a němčiny, 4 MEMS mikrofony s detekcí pozice řečníka pro studiově čistý záznam až na 5 metrů, AI založené na LLM modelech (GPT, Claude, Gemini). AI potlačení šumu se třemi stupni intenzity s možností zpětné aplikace.</w:t>
            </w:r>
          </w:p>
        </w:tc>
        <w:tc>
          <w:tcPr>
            <w:tcW w:w="851" w:type="dxa"/>
            <w:noWrap/>
            <w:hideMark/>
          </w:tcPr>
          <w:p w14:paraId="47EDBE6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39CA6EFC" w14:textId="77777777" w:rsidTr="00EE4F92">
        <w:trPr>
          <w:trHeight w:val="300"/>
        </w:trPr>
        <w:tc>
          <w:tcPr>
            <w:tcW w:w="8505" w:type="dxa"/>
            <w:hideMark/>
          </w:tcPr>
          <w:p w14:paraId="3C73951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Bambu Lab filament PLA Wood, 1kg with spool | Clay Brown</w:t>
            </w:r>
          </w:p>
        </w:tc>
        <w:tc>
          <w:tcPr>
            <w:tcW w:w="851" w:type="dxa"/>
            <w:noWrap/>
            <w:hideMark/>
          </w:tcPr>
          <w:p w14:paraId="392C356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48A53F0A" w14:textId="77777777" w:rsidTr="00EE4F92">
        <w:trPr>
          <w:trHeight w:val="300"/>
        </w:trPr>
        <w:tc>
          <w:tcPr>
            <w:tcW w:w="8505" w:type="dxa"/>
            <w:hideMark/>
          </w:tcPr>
          <w:p w14:paraId="26108B7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Polymaker PolyTerra PLA 1.75mm 1kg | Béžové - Army Beige</w:t>
            </w:r>
          </w:p>
        </w:tc>
        <w:tc>
          <w:tcPr>
            <w:tcW w:w="851" w:type="dxa"/>
            <w:noWrap/>
            <w:hideMark/>
          </w:tcPr>
          <w:p w14:paraId="63C25C5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0ECA37AE" w14:textId="77777777" w:rsidTr="00EE4F92">
        <w:trPr>
          <w:trHeight w:val="645"/>
        </w:trPr>
        <w:tc>
          <w:tcPr>
            <w:tcW w:w="8505" w:type="dxa"/>
            <w:hideMark/>
          </w:tcPr>
          <w:p w14:paraId="06704A6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Powerbanka 10000 mAh - celkový výkon 27 W, 2 výstupy:, USB-C, max. výstupní proud 3,6 A, max. výstupní napětí 9 V, s displejem, Pass Through Charging, MagSafe, vstup USB-C, hmotnost 250 g, Qi 2 protokol. Černá nebo bílá barva</w:t>
            </w:r>
          </w:p>
        </w:tc>
        <w:tc>
          <w:tcPr>
            <w:tcW w:w="851" w:type="dxa"/>
            <w:noWrap/>
            <w:hideMark/>
          </w:tcPr>
          <w:p w14:paraId="1CE3679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2AB21E08" w14:textId="77777777" w:rsidTr="00EE4F92">
        <w:trPr>
          <w:trHeight w:val="810"/>
        </w:trPr>
        <w:tc>
          <w:tcPr>
            <w:tcW w:w="8505" w:type="dxa"/>
            <w:hideMark/>
          </w:tcPr>
          <w:p w14:paraId="7EC6D71D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Centrální jednotka - sloužící k ovládání domácnosti, komunikace přes Apple HomeKit, Amazon Alexa, Google Home a Aplikace výrobce, kompatibilní s Android a iOS, ovládání v češtině a angličtině, napájení ze sítě, podpora bezdrátových protokolů Zigbee 3.0 a Matter, 2× port USB 2.0 typu A, 5 V až 2 A, Stavové LED diody, Interní 32GB úložiště(minimálně),</w:t>
            </w:r>
          </w:p>
        </w:tc>
        <w:tc>
          <w:tcPr>
            <w:tcW w:w="851" w:type="dxa"/>
            <w:noWrap/>
            <w:hideMark/>
          </w:tcPr>
          <w:p w14:paraId="2D3769A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798690D9" w14:textId="77777777" w:rsidTr="00EE4F92">
        <w:trPr>
          <w:trHeight w:val="1035"/>
        </w:trPr>
        <w:tc>
          <w:tcPr>
            <w:tcW w:w="8505" w:type="dxa"/>
            <w:hideMark/>
          </w:tcPr>
          <w:p w14:paraId="0E36DAE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IP kamera - venkovní, s maximálním rozlišením videa 2560 × 1440 px, barevné noční vidění s maximálním dosvitem 30 m, 360° zorný úhel, s detekcí rozbití skla, postav/y a rozpoznání automobilů, vestavěný mikrofon, vestavěný reproduktor a obousměrný zvuk, notifikace do mobilu, světelný a zvukový alarm, SD a cloud úložiště, RJ 45 LAN rozhraní, připojení přes WiFi 2,4 GHz a ethernet, napájení do sítě, rozměry 12,4 × 12,3 × 10,7 cm (V×Š×H)</w:t>
            </w:r>
          </w:p>
        </w:tc>
        <w:tc>
          <w:tcPr>
            <w:tcW w:w="851" w:type="dxa"/>
            <w:noWrap/>
            <w:hideMark/>
          </w:tcPr>
          <w:p w14:paraId="6979442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274144FA" w14:textId="77777777" w:rsidTr="00EE4F92">
        <w:trPr>
          <w:trHeight w:val="780"/>
        </w:trPr>
        <w:tc>
          <w:tcPr>
            <w:tcW w:w="8505" w:type="dxa"/>
            <w:hideMark/>
          </w:tcPr>
          <w:p w14:paraId="3A6FCE7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 xml:space="preserve">klávesnice - drátová (odpojitelný USB-C kabel), podsvícená, klasické (vysokoprofilové) klávesy, displej, makro programovatelné klávesy, americká lokalizace kláves, USB-C vstupní, černá barva. Možnost upravit sílu a odezvu jednotlivých kláves. Kompletní včetně numerické části, 100%. Magnetické switche OmniPoint 3.0. US lokalizace. </w:t>
            </w:r>
          </w:p>
        </w:tc>
        <w:tc>
          <w:tcPr>
            <w:tcW w:w="851" w:type="dxa"/>
            <w:noWrap/>
            <w:hideMark/>
          </w:tcPr>
          <w:p w14:paraId="6E4F9765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5B99BC01" w14:textId="77777777" w:rsidTr="00745EA6">
        <w:trPr>
          <w:trHeight w:val="1266"/>
        </w:trPr>
        <w:tc>
          <w:tcPr>
            <w:tcW w:w="8505" w:type="dxa"/>
            <w:hideMark/>
          </w:tcPr>
          <w:p w14:paraId="0DFFE19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Powerline - s přenosovou rychlostí 1300 Mb/s, dosahem 300 m a spotřebou 13,7 W, primární jednotka s průchozí zásuvkou, rychlostí LAN 10/100/1000 Mb/s a 1 LAN portem, sekundární jednotka s Wi-Fi, průchozí zásuvkou, rychlostí LAN 10/100/1000 Mb/s a 3 LAN porty, rychlost WiFi 1167 Mb/s, standard Wi-Fi 802,11a, 802,11b, 802,11g, 802,11n a 802,11ac, pásma Wi-Fi 2,4 GHz a 5 GHz, protokoly a standardy MIMO, HomePlug AV2,0, IEEE 1901, IEEE 802,3, IEEE 802,3u a IEEE 802,3ab, šifrování 128-bit AES, WPA-PSK, WPA2-PSK a WEP, plug and play a led kontrolka, maximální provozní teplota do 40 °C, 2 ethernetové kabely v balení</w:t>
            </w:r>
          </w:p>
        </w:tc>
        <w:tc>
          <w:tcPr>
            <w:tcW w:w="851" w:type="dxa"/>
            <w:noWrap/>
            <w:hideMark/>
          </w:tcPr>
          <w:p w14:paraId="2C7E559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2E389642" w14:textId="77777777" w:rsidTr="003E14EF">
        <w:trPr>
          <w:trHeight w:val="421"/>
        </w:trPr>
        <w:tc>
          <w:tcPr>
            <w:tcW w:w="8505" w:type="dxa"/>
            <w:hideMark/>
          </w:tcPr>
          <w:p w14:paraId="33CE62F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MagSafe, toto tenké, stylové pouzdro na karty se snadno zasouvá a vysouvá z kapes a chrání vaše karty před poškozením magnetickým zářením, vyrobeno z recyklovaného materiálu</w:t>
            </w:r>
          </w:p>
        </w:tc>
        <w:tc>
          <w:tcPr>
            <w:tcW w:w="851" w:type="dxa"/>
            <w:noWrap/>
            <w:hideMark/>
          </w:tcPr>
          <w:p w14:paraId="0FB8114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53FDD24B" w14:textId="77777777" w:rsidTr="003E14EF">
        <w:trPr>
          <w:trHeight w:val="315"/>
        </w:trPr>
        <w:tc>
          <w:tcPr>
            <w:tcW w:w="8505" w:type="dxa"/>
            <w:hideMark/>
          </w:tcPr>
          <w:p w14:paraId="4BE9315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Samsung MLT-1052L toner original černý</w:t>
            </w:r>
          </w:p>
        </w:tc>
        <w:tc>
          <w:tcPr>
            <w:tcW w:w="851" w:type="dxa"/>
            <w:noWrap/>
            <w:hideMark/>
          </w:tcPr>
          <w:p w14:paraId="4C1624B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62750350" w14:textId="77777777" w:rsidTr="00EE4F92">
        <w:trPr>
          <w:trHeight w:val="525"/>
        </w:trPr>
        <w:tc>
          <w:tcPr>
            <w:tcW w:w="8505" w:type="dxa"/>
            <w:hideMark/>
          </w:tcPr>
          <w:p w14:paraId="4B7973A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kabel 1m - propojovací, male konektory: 2× USB-C s přenosovou rychlostí 480 Mbit/s, konektor USB 2.0, plochý, podpora rychlonabíjení, rovné zakončení, opletení balistickým nylonem. Magnetycký</w:t>
            </w:r>
          </w:p>
        </w:tc>
        <w:tc>
          <w:tcPr>
            <w:tcW w:w="851" w:type="dxa"/>
            <w:noWrap/>
            <w:hideMark/>
          </w:tcPr>
          <w:p w14:paraId="0D573A98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480A7324" w14:textId="77777777" w:rsidTr="00EE4F92">
        <w:trPr>
          <w:trHeight w:val="585"/>
        </w:trPr>
        <w:tc>
          <w:tcPr>
            <w:tcW w:w="8505" w:type="dxa"/>
            <w:hideMark/>
          </w:tcPr>
          <w:p w14:paraId="3E0D0F2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kabel 1m - propojovací, male konektory: 2× USB-C s přenosovou rychlostí 480 Mbit/s, konektor USB 2.0, podpora rychlonabíjení, rovné zakončení, opletení balistickým nylonem, magnetický</w:t>
            </w:r>
          </w:p>
        </w:tc>
        <w:tc>
          <w:tcPr>
            <w:tcW w:w="851" w:type="dxa"/>
            <w:noWrap/>
            <w:hideMark/>
          </w:tcPr>
          <w:p w14:paraId="160BCF2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1019E437" w14:textId="77777777" w:rsidTr="00745EA6">
        <w:trPr>
          <w:trHeight w:val="640"/>
        </w:trPr>
        <w:tc>
          <w:tcPr>
            <w:tcW w:w="8505" w:type="dxa"/>
            <w:hideMark/>
          </w:tcPr>
          <w:p w14:paraId="53F0011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Externí box - pro M,2 2230, M,2 2242, M,2 2260 a M,2 2280 disky, LED indikace a chlazení, konektor USB-C, 1 volná pozice, materiál plast a kov, hmotnost 258 g, černá barva, součástí balení je kabel USB-A na USB-C a USB-C na USB-C. Demontáž možná bez nutnosti šroubováku</w:t>
            </w:r>
          </w:p>
        </w:tc>
        <w:tc>
          <w:tcPr>
            <w:tcW w:w="851" w:type="dxa"/>
            <w:noWrap/>
            <w:hideMark/>
          </w:tcPr>
          <w:p w14:paraId="3967E25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2308F3AE" w14:textId="77777777" w:rsidTr="00EE4F92">
        <w:trPr>
          <w:trHeight w:val="1035"/>
        </w:trPr>
        <w:tc>
          <w:tcPr>
            <w:tcW w:w="8505" w:type="dxa"/>
            <w:hideMark/>
          </w:tcPr>
          <w:p w14:paraId="4C54D8F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 xml:space="preserve">Světlo na monitor - zdroj světla integrovaný LED, s vypínačem, možnost naklápění, bez potřeby mostu a možnost propojení, nastavení chromatičnosti a stmívání, ovládání prostřednictvím ovladače, dotyku, na klip, nastavitelná teplota světla, chromatičnost od 2700 do 6500 K, napětí 5 V, příkon 15 W, moderní styl, materiál hliník a plast, šedá barva, dálkové ovládání, senzor přítomnosti. Zadní přídavné osvětlení. </w:t>
            </w:r>
          </w:p>
        </w:tc>
        <w:tc>
          <w:tcPr>
            <w:tcW w:w="851" w:type="dxa"/>
            <w:noWrap/>
            <w:hideMark/>
          </w:tcPr>
          <w:p w14:paraId="6E13498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032C4296" w14:textId="77777777" w:rsidTr="00EE4F92">
        <w:trPr>
          <w:trHeight w:val="525"/>
        </w:trPr>
        <w:tc>
          <w:tcPr>
            <w:tcW w:w="8505" w:type="dxa"/>
            <w:hideMark/>
          </w:tcPr>
          <w:p w14:paraId="2979321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USB-C na USB-C kabel USB Hi-Speed 480 Mb/s, Sync &amp; Charge až 5A, Power Delivery 100W, pozlacené konektory, chip E-Mark, nylonový oplet, pro notebooky, mobilní telefony, 1m</w:t>
            </w:r>
          </w:p>
        </w:tc>
        <w:tc>
          <w:tcPr>
            <w:tcW w:w="851" w:type="dxa"/>
            <w:noWrap/>
            <w:hideMark/>
          </w:tcPr>
          <w:p w14:paraId="2983EBC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274C5DC5" w14:textId="77777777" w:rsidTr="00EE4F92">
        <w:trPr>
          <w:trHeight w:val="525"/>
        </w:trPr>
        <w:tc>
          <w:tcPr>
            <w:tcW w:w="8505" w:type="dxa"/>
            <w:hideMark/>
          </w:tcPr>
          <w:p w14:paraId="540328B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Datový kabel USB-C na USB-C  SuperSpeed USB 5Gb/s, Sync &amp; Charge až 5A, Power Delivery 100W, pozlacené konektory, chip E-Mark, Thunderbolt 3, pro notebooky, mobilní telefony, 0,5m</w:t>
            </w:r>
          </w:p>
        </w:tc>
        <w:tc>
          <w:tcPr>
            <w:tcW w:w="851" w:type="dxa"/>
            <w:noWrap/>
            <w:hideMark/>
          </w:tcPr>
          <w:p w14:paraId="183DE57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2CC6FA42" w14:textId="77777777" w:rsidTr="00EE4F92">
        <w:trPr>
          <w:trHeight w:val="780"/>
        </w:trPr>
        <w:tc>
          <w:tcPr>
            <w:tcW w:w="8505" w:type="dxa"/>
            <w:hideMark/>
          </w:tcPr>
          <w:p w14:paraId="37B61E4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Dokovací stanice - napájecí konektor notebooku USB-C (USB 3.2 Gen 1 (3.0)), rychlé Power Delivery 100 W, vstupní porty 1× USB–C 3.2 Gen 1, 2× USB–A 3.2 Gen 1, 2× USB–A 2.0, 2× HDMI 2.0, podpora více monitorů a LED indikace, power Delivery 3.0, materiál hliník</w:t>
            </w:r>
          </w:p>
        </w:tc>
        <w:tc>
          <w:tcPr>
            <w:tcW w:w="851" w:type="dxa"/>
            <w:noWrap/>
            <w:hideMark/>
          </w:tcPr>
          <w:p w14:paraId="60B4E0E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222B24" w:rsidRPr="00340C86" w14:paraId="69156551" w14:textId="77777777" w:rsidTr="00EE4F92">
        <w:trPr>
          <w:trHeight w:val="300"/>
        </w:trPr>
        <w:tc>
          <w:tcPr>
            <w:tcW w:w="8505" w:type="dxa"/>
            <w:hideMark/>
          </w:tcPr>
          <w:p w14:paraId="687B90C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Univerzální napájecí adaptér pro notebooky, USB-C koncovka, 90W</w:t>
            </w:r>
          </w:p>
        </w:tc>
        <w:tc>
          <w:tcPr>
            <w:tcW w:w="851" w:type="dxa"/>
            <w:noWrap/>
            <w:hideMark/>
          </w:tcPr>
          <w:p w14:paraId="676E74E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3EC3206C" w14:textId="77777777" w:rsidTr="00745EA6">
        <w:trPr>
          <w:trHeight w:val="1008"/>
        </w:trPr>
        <w:tc>
          <w:tcPr>
            <w:tcW w:w="8505" w:type="dxa"/>
            <w:hideMark/>
          </w:tcPr>
          <w:p w14:paraId="74DCBF1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Bezdrátová nabíječka univerzální, Smart Charge 5W, 7.5W, 10W, s podporou rychlonabíjení, 4Safe - ochrana proti zkratu, přepětí, přetížení a přehřátí, Case friendly (do 4mm), certifikace Qi, LED indikace nabíjení, detekce cizích objektů FOD, Smart IC - automatická detekce připojeného zařízení a optimální distribuce výkonu, pro všechna zařízení podporující bezdrátové nabíjení,</w:t>
            </w:r>
          </w:p>
        </w:tc>
        <w:tc>
          <w:tcPr>
            <w:tcW w:w="851" w:type="dxa"/>
            <w:noWrap/>
            <w:hideMark/>
          </w:tcPr>
          <w:p w14:paraId="539CFB4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222B24" w:rsidRPr="00340C86" w14:paraId="50FEB3AA" w14:textId="77777777" w:rsidTr="00745EA6">
        <w:trPr>
          <w:trHeight w:val="271"/>
        </w:trPr>
        <w:tc>
          <w:tcPr>
            <w:tcW w:w="8505" w:type="dxa"/>
            <w:hideMark/>
          </w:tcPr>
          <w:p w14:paraId="5EBFA420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Olověný akumulátor bezúdržbový 12 V/18 Ah (B9655)</w:t>
            </w:r>
          </w:p>
        </w:tc>
        <w:tc>
          <w:tcPr>
            <w:tcW w:w="851" w:type="dxa"/>
            <w:noWrap/>
            <w:hideMark/>
          </w:tcPr>
          <w:p w14:paraId="7908581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222B24" w:rsidRPr="00340C86" w14:paraId="05EC2B6A" w14:textId="77777777" w:rsidTr="00EE4F92">
        <w:trPr>
          <w:trHeight w:val="780"/>
        </w:trPr>
        <w:tc>
          <w:tcPr>
            <w:tcW w:w="8505" w:type="dxa"/>
            <w:hideMark/>
          </w:tcPr>
          <w:p w14:paraId="563F55B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Video kabel 3m - propojovací, male konektory: 2× DisplayPort (DisplayPort 1.4) s přenosovou rychlostí až 8K (7680×4320) při 60Hz, 32 audio/zvukových kanálů a 32,4 Gbit/s, kovové tělo, s oboustrannou koncovkou, s pozlacenými konektory, rovné zakončení, bavlněný oplet</w:t>
            </w:r>
          </w:p>
        </w:tc>
        <w:tc>
          <w:tcPr>
            <w:tcW w:w="851" w:type="dxa"/>
            <w:noWrap/>
            <w:hideMark/>
          </w:tcPr>
          <w:p w14:paraId="56C899A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389CEAF5" w14:textId="77777777" w:rsidTr="00EE4F92">
        <w:trPr>
          <w:trHeight w:val="780"/>
        </w:trPr>
        <w:tc>
          <w:tcPr>
            <w:tcW w:w="8505" w:type="dxa"/>
            <w:hideMark/>
          </w:tcPr>
          <w:p w14:paraId="504A259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Video kabel 5m - propojovací, male konektory: 2× DisplayPort (DisplayPort 1.4) s přenosovou rychlostí až 8K (7680×4320) při 60Hz, 32 audio/zvukových kanálů a 32,4 Gbit/s, kovové tělo, s oboustrannou koncovkou, s pozlacenými konektory, rovné zakončení, bavlněný oplet</w:t>
            </w:r>
          </w:p>
        </w:tc>
        <w:tc>
          <w:tcPr>
            <w:tcW w:w="851" w:type="dxa"/>
            <w:noWrap/>
            <w:hideMark/>
          </w:tcPr>
          <w:p w14:paraId="479233B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222B24" w:rsidRPr="00340C86" w14:paraId="14D5B0B7" w14:textId="77777777" w:rsidTr="00EE4F92">
        <w:trPr>
          <w:trHeight w:val="300"/>
        </w:trPr>
        <w:tc>
          <w:tcPr>
            <w:tcW w:w="8505" w:type="dxa"/>
            <w:hideMark/>
          </w:tcPr>
          <w:p w14:paraId="76EE7DC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multifunkční čistící sada 20v1, pro elektoniku, klávesnice a pod</w:t>
            </w:r>
          </w:p>
        </w:tc>
        <w:tc>
          <w:tcPr>
            <w:tcW w:w="851" w:type="dxa"/>
            <w:noWrap/>
            <w:hideMark/>
          </w:tcPr>
          <w:p w14:paraId="365C7E7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222B24" w:rsidRPr="00340C86" w14:paraId="230454A4" w14:textId="77777777" w:rsidTr="00EE4F92">
        <w:trPr>
          <w:trHeight w:val="300"/>
        </w:trPr>
        <w:tc>
          <w:tcPr>
            <w:tcW w:w="8505" w:type="dxa"/>
            <w:noWrap/>
            <w:hideMark/>
          </w:tcPr>
          <w:p w14:paraId="64E91C3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Transportní vozík - nosnost 300 kg, 2 pevná/2 otočná kolečka o průměru 12 cm, materiál ložné plochy ocel, skládací madlo, rozměry 87 × 60 × 90 cm (V×Š×H)</w:t>
            </w:r>
          </w:p>
        </w:tc>
        <w:tc>
          <w:tcPr>
            <w:tcW w:w="851" w:type="dxa"/>
            <w:noWrap/>
            <w:hideMark/>
          </w:tcPr>
          <w:p w14:paraId="5DED667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5A8B9EA2" w14:textId="77777777" w:rsidTr="00EE4F92">
        <w:trPr>
          <w:trHeight w:val="525"/>
        </w:trPr>
        <w:tc>
          <w:tcPr>
            <w:tcW w:w="8505" w:type="dxa"/>
            <w:hideMark/>
          </w:tcPr>
          <w:p w14:paraId="782FE13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sada šroubů a matic M6 pro 19" RACK  metrický závit, závitové, v sadě (šroub,matka a podložka ), velikost M6, délka 12 mm, 50 šroubů, 50 matic a 50 podložek v balení</w:t>
            </w:r>
          </w:p>
        </w:tc>
        <w:tc>
          <w:tcPr>
            <w:tcW w:w="851" w:type="dxa"/>
            <w:noWrap/>
            <w:hideMark/>
          </w:tcPr>
          <w:p w14:paraId="5FE0837A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15719E9C" w14:textId="77777777" w:rsidTr="00EE4F92">
        <w:trPr>
          <w:trHeight w:val="525"/>
        </w:trPr>
        <w:tc>
          <w:tcPr>
            <w:tcW w:w="8505" w:type="dxa"/>
            <w:hideMark/>
          </w:tcPr>
          <w:p w14:paraId="3951902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 xml:space="preserve">zasuvková lišta do 19" Rack-s vypínačem, napájecí, síťová, konektor zásuvka/vidlice, délka kabelu 1,8 m, 8zásuvková, maximální proud 16 A, 1 U </w:t>
            </w:r>
          </w:p>
        </w:tc>
        <w:tc>
          <w:tcPr>
            <w:tcW w:w="851" w:type="dxa"/>
            <w:noWrap/>
            <w:hideMark/>
          </w:tcPr>
          <w:p w14:paraId="091335AE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5967F54F" w14:textId="77777777" w:rsidTr="00EE4F92">
        <w:trPr>
          <w:trHeight w:val="300"/>
        </w:trPr>
        <w:tc>
          <w:tcPr>
            <w:tcW w:w="8505" w:type="dxa"/>
            <w:hideMark/>
          </w:tcPr>
          <w:p w14:paraId="42DE7CB2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vyvazovací panel na kabely pro 19" rozvaděče,  1U. 5 plastových háčků.  3 × 6 centimetrů.</w:t>
            </w:r>
          </w:p>
        </w:tc>
        <w:tc>
          <w:tcPr>
            <w:tcW w:w="851" w:type="dxa"/>
            <w:noWrap/>
            <w:hideMark/>
          </w:tcPr>
          <w:p w14:paraId="6C62911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2597BB48" w14:textId="77777777" w:rsidTr="00EE4F92">
        <w:trPr>
          <w:trHeight w:val="300"/>
        </w:trPr>
        <w:tc>
          <w:tcPr>
            <w:tcW w:w="8505" w:type="dxa"/>
            <w:noWrap/>
            <w:hideMark/>
          </w:tcPr>
          <w:p w14:paraId="043ACC2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Lokátor kabelů zařízení pro ovládání a lokalizaci kabelů. Slouží k určení trasy kabelu ve zdi, identifikaci síťového kabelu v serverovně, lokalizaci přerušení elektrické instalace automobilu, ověření pořadí připojení v kabelu RJ-45 a kontrole stavu telefonní linka. Skládá se ze dvou zařízení: vysílače a přijímače. Vysílač se připojí k hledanému vodiči a následně po zapnutí funkce SCAN vysílá signál s frekvencí známou přijímači. Přijímač dokáže bezdrátově zachytit signál ze vzdálenosti až několika centimetrů od hledaného kabelu. Je odolný proti rušení. Signál přijatý přijímačem je převeden na zvuk bez šumu a praskání. Výkon vysílače umožňuje přenos signálu po kabelu na vzdálenost minimálně 1 kilometr. Vestavěná jack zásuvka v přijímači umožňuje připojit např. sluchátka obsažená v sadě.</w:t>
            </w:r>
          </w:p>
        </w:tc>
        <w:tc>
          <w:tcPr>
            <w:tcW w:w="851" w:type="dxa"/>
            <w:noWrap/>
            <w:hideMark/>
          </w:tcPr>
          <w:p w14:paraId="5EB63EE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45471F6E" w14:textId="77777777" w:rsidTr="00EE4F92">
        <w:trPr>
          <w:trHeight w:val="300"/>
        </w:trPr>
        <w:tc>
          <w:tcPr>
            <w:tcW w:w="8505" w:type="dxa"/>
            <w:noWrap/>
            <w:hideMark/>
          </w:tcPr>
          <w:p w14:paraId="48F86E5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Sada spojovacího materiálu - obsahuje Univerzální vruty, TX, se zápustnou hlavou, pozinkované 150 kusů 3,0 × 20 mm / 85 kusů 3,5 × 30 mm / 80 kusů 4,0 × 30 mm / 60 kusů 4,0 × 40 mm / 40 kusů 4,5 × 45 mm / 30 kusů 5,0 × 50 mm / 20 kusů 5,0 × 80 mm / 25 kusů 6,0 × 60 mm Plastové hmoždinky, polypropylen 60 kusů 6 mm / 30 kusů 8 mm</w:t>
            </w:r>
          </w:p>
        </w:tc>
        <w:tc>
          <w:tcPr>
            <w:tcW w:w="851" w:type="dxa"/>
            <w:noWrap/>
            <w:hideMark/>
          </w:tcPr>
          <w:p w14:paraId="7DAE718C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013F9DEE" w14:textId="77777777" w:rsidTr="00EE4F92">
        <w:trPr>
          <w:trHeight w:val="300"/>
        </w:trPr>
        <w:tc>
          <w:tcPr>
            <w:tcW w:w="8505" w:type="dxa"/>
            <w:noWrap/>
            <w:hideMark/>
          </w:tcPr>
          <w:p w14:paraId="548D8671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Matice na šrouby - pozinkované, v plastové krabičce s 11 oddíly, průměr závitu M3, M4, M5 a M6, 366 ks</w:t>
            </w:r>
          </w:p>
        </w:tc>
        <w:tc>
          <w:tcPr>
            <w:tcW w:w="851" w:type="dxa"/>
            <w:noWrap/>
            <w:hideMark/>
          </w:tcPr>
          <w:p w14:paraId="546B81D4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62EDA03E" w14:textId="77777777" w:rsidTr="00EE4F92">
        <w:trPr>
          <w:trHeight w:val="525"/>
        </w:trPr>
        <w:tc>
          <w:tcPr>
            <w:tcW w:w="8505" w:type="dxa"/>
            <w:hideMark/>
          </w:tcPr>
          <w:p w14:paraId="009A6BA9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baterie pro dell XPS 13 - Baterie do notebooku kompatibilní s XPS 7390, XPS 9370, XPS 9380, náhrada za 0H754V, DXGH8, H754V, P82G, P82G001</w:t>
            </w:r>
          </w:p>
        </w:tc>
        <w:tc>
          <w:tcPr>
            <w:tcW w:w="851" w:type="dxa"/>
            <w:noWrap/>
            <w:hideMark/>
          </w:tcPr>
          <w:p w14:paraId="3F20EEB7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22B24" w:rsidRPr="00340C86" w14:paraId="66F980CA" w14:textId="77777777" w:rsidTr="00EE4F92">
        <w:trPr>
          <w:trHeight w:val="300"/>
        </w:trPr>
        <w:tc>
          <w:tcPr>
            <w:tcW w:w="8505" w:type="dxa"/>
            <w:noWrap/>
            <w:hideMark/>
          </w:tcPr>
          <w:p w14:paraId="51295EBD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Powerbanka - ultratenká (9 mm), certifikace Qi2, kompatibilní s Magsafe (iPhone 12 a novější) a Android telefony s podporou Qi2, kapacita 5 000 mAh, výkon bezdrátového nabíjení 15 W, USB-C výstup s výkonem až 20 W a podporou rychlonabíjení (PD 2.0/ 3.0, QC 3.0, AFC, FCP, Apple 2.4A), silné magnety N52, LED indikace nabití, bezpečnostní ochrany 4safe, nabíjecí USB-C kabel (30 cm) v balení, hmotnost 130 g</w:t>
            </w:r>
          </w:p>
        </w:tc>
        <w:tc>
          <w:tcPr>
            <w:tcW w:w="851" w:type="dxa"/>
            <w:noWrap/>
            <w:hideMark/>
          </w:tcPr>
          <w:p w14:paraId="3B2447EF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222B24" w:rsidRPr="00340C86" w14:paraId="0779410C" w14:textId="77777777" w:rsidTr="00EE4F92">
        <w:trPr>
          <w:trHeight w:val="165"/>
        </w:trPr>
        <w:tc>
          <w:tcPr>
            <w:tcW w:w="8505" w:type="dxa"/>
            <w:hideMark/>
          </w:tcPr>
          <w:p w14:paraId="0CCEAB83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6F968A2B" w14:textId="77777777" w:rsidR="00222B24" w:rsidRPr="00340C86" w:rsidRDefault="00222B24" w:rsidP="003E14EF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40C86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</w:tbl>
    <w:p w14:paraId="5499F17F" w14:textId="77777777" w:rsidR="00340C86" w:rsidRPr="00340C86" w:rsidRDefault="00340C86" w:rsidP="006B0546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340C86" w:rsidRPr="00340C86" w:rsidSect="00EE4F92">
      <w:headerReference w:type="default" r:id="rId10"/>
      <w:footerReference w:type="default" r:id="rId11"/>
      <w:pgSz w:w="11907" w:h="16840"/>
      <w:pgMar w:top="1440" w:right="1080" w:bottom="1440" w:left="108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E197" w14:textId="77777777" w:rsidR="00675601" w:rsidRDefault="00675601">
      <w:r>
        <w:separator/>
      </w:r>
    </w:p>
  </w:endnote>
  <w:endnote w:type="continuationSeparator" w:id="0">
    <w:p w14:paraId="28640E8C" w14:textId="77777777" w:rsidR="00675601" w:rsidRDefault="0067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7E479" w14:textId="77777777" w:rsidR="00675601" w:rsidRDefault="00675601">
      <w:r>
        <w:separator/>
      </w:r>
    </w:p>
  </w:footnote>
  <w:footnote w:type="continuationSeparator" w:id="0">
    <w:p w14:paraId="6AB9C556" w14:textId="77777777" w:rsidR="00675601" w:rsidRDefault="00675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C06" w14:textId="2A89E1F6" w:rsidR="001B6881" w:rsidRPr="0069320A" w:rsidRDefault="001B6881" w:rsidP="001B6881">
    <w:pPr>
      <w:spacing w:line="276" w:lineRule="auto"/>
      <w:jc w:val="right"/>
      <w:rPr>
        <w:rFonts w:ascii="Arial" w:hAnsi="Arial" w:cs="Arial"/>
        <w:b/>
        <w:sz w:val="24"/>
        <w:szCs w:val="24"/>
      </w:rPr>
    </w:pPr>
    <w:r w:rsidRPr="0069320A">
      <w:rPr>
        <w:rFonts w:ascii="Arial" w:hAnsi="Arial" w:cs="Arial"/>
        <w:b/>
        <w:sz w:val="24"/>
        <w:szCs w:val="24"/>
      </w:rPr>
      <w:t>Č.j. :</w:t>
    </w:r>
    <w:r w:rsidRPr="001B6881">
      <w:t xml:space="preserve"> </w:t>
    </w:r>
    <w:r w:rsidR="00AB7F9D" w:rsidRPr="00AB7F9D">
      <w:rPr>
        <w:b/>
        <w:bCs/>
        <w:sz w:val="24"/>
        <w:szCs w:val="24"/>
      </w:rPr>
      <w:t>2026/1904</w:t>
    </w:r>
    <w:r w:rsidRPr="00AB7F9D">
      <w:rPr>
        <w:rFonts w:ascii="Arial" w:hAnsi="Arial" w:cs="Arial"/>
        <w:b/>
        <w:bCs/>
        <w:sz w:val="24"/>
        <w:szCs w:val="24"/>
      </w:rPr>
      <w:t>/NM</w:t>
    </w:r>
  </w:p>
  <w:p w14:paraId="2BEAA86F" w14:textId="18BDF59F" w:rsidR="001B6881" w:rsidRDefault="001B6881" w:rsidP="0072322A">
    <w:pPr>
      <w:spacing w:line="276" w:lineRule="auto"/>
      <w:jc w:val="right"/>
    </w:pPr>
    <w:r w:rsidRPr="0069320A">
      <w:rPr>
        <w:rFonts w:ascii="Arial" w:hAnsi="Arial" w:cs="Arial"/>
        <w:b/>
        <w:sz w:val="24"/>
        <w:szCs w:val="24"/>
      </w:rPr>
      <w:t>Č.sml.:</w:t>
    </w:r>
    <w:r w:rsidRPr="001B6881">
      <w:t xml:space="preserve"> </w:t>
    </w:r>
    <w:r w:rsidR="00FB6CC7">
      <w:rPr>
        <w:rFonts w:ascii="Arial" w:hAnsi="Arial" w:cs="Arial"/>
        <w:b/>
        <w:sz w:val="24"/>
        <w:szCs w:val="24"/>
      </w:rPr>
      <w:t>260530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B7CB9"/>
    <w:rsid w:val="000C2A61"/>
    <w:rsid w:val="000C5A20"/>
    <w:rsid w:val="000C61F6"/>
    <w:rsid w:val="00134E01"/>
    <w:rsid w:val="00135BB1"/>
    <w:rsid w:val="00142C60"/>
    <w:rsid w:val="00171B43"/>
    <w:rsid w:val="00195BDA"/>
    <w:rsid w:val="001A2B7A"/>
    <w:rsid w:val="001B6881"/>
    <w:rsid w:val="001C586C"/>
    <w:rsid w:val="001D0730"/>
    <w:rsid w:val="001D40F1"/>
    <w:rsid w:val="002116E8"/>
    <w:rsid w:val="002229D0"/>
    <w:rsid w:val="00222B24"/>
    <w:rsid w:val="00236196"/>
    <w:rsid w:val="0025451D"/>
    <w:rsid w:val="00254CB7"/>
    <w:rsid w:val="00266C0C"/>
    <w:rsid w:val="002759C2"/>
    <w:rsid w:val="00291328"/>
    <w:rsid w:val="002A2336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40C86"/>
    <w:rsid w:val="00342820"/>
    <w:rsid w:val="00363809"/>
    <w:rsid w:val="00377A24"/>
    <w:rsid w:val="00391EBA"/>
    <w:rsid w:val="003A16C2"/>
    <w:rsid w:val="003E14EF"/>
    <w:rsid w:val="00410EB7"/>
    <w:rsid w:val="00436EBE"/>
    <w:rsid w:val="00440B47"/>
    <w:rsid w:val="00446BF8"/>
    <w:rsid w:val="00483A50"/>
    <w:rsid w:val="00487030"/>
    <w:rsid w:val="004B33AB"/>
    <w:rsid w:val="004C2C7D"/>
    <w:rsid w:val="004D04A4"/>
    <w:rsid w:val="004D1D92"/>
    <w:rsid w:val="004E1DA6"/>
    <w:rsid w:val="00536C02"/>
    <w:rsid w:val="00541F0D"/>
    <w:rsid w:val="00553625"/>
    <w:rsid w:val="00587D3E"/>
    <w:rsid w:val="005B1086"/>
    <w:rsid w:val="005E36CA"/>
    <w:rsid w:val="005E3F58"/>
    <w:rsid w:val="0065096B"/>
    <w:rsid w:val="00653D99"/>
    <w:rsid w:val="00675601"/>
    <w:rsid w:val="0069320A"/>
    <w:rsid w:val="006B0546"/>
    <w:rsid w:val="006C302C"/>
    <w:rsid w:val="006F58B8"/>
    <w:rsid w:val="006F5B9A"/>
    <w:rsid w:val="006F6820"/>
    <w:rsid w:val="00701E2A"/>
    <w:rsid w:val="0070490D"/>
    <w:rsid w:val="0072322A"/>
    <w:rsid w:val="00734455"/>
    <w:rsid w:val="00734668"/>
    <w:rsid w:val="00745EA6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31E2F"/>
    <w:rsid w:val="00835D7B"/>
    <w:rsid w:val="0084392A"/>
    <w:rsid w:val="00866BCE"/>
    <w:rsid w:val="0087702E"/>
    <w:rsid w:val="008872C1"/>
    <w:rsid w:val="008A289C"/>
    <w:rsid w:val="008B65C0"/>
    <w:rsid w:val="008D28E2"/>
    <w:rsid w:val="008E0B43"/>
    <w:rsid w:val="008F366C"/>
    <w:rsid w:val="008F7254"/>
    <w:rsid w:val="00930F9F"/>
    <w:rsid w:val="0093262F"/>
    <w:rsid w:val="00957820"/>
    <w:rsid w:val="009818D0"/>
    <w:rsid w:val="009933A0"/>
    <w:rsid w:val="00996521"/>
    <w:rsid w:val="009A6026"/>
    <w:rsid w:val="009B4A84"/>
    <w:rsid w:val="009F2B03"/>
    <w:rsid w:val="00A23393"/>
    <w:rsid w:val="00A34FC3"/>
    <w:rsid w:val="00A55667"/>
    <w:rsid w:val="00AA51BA"/>
    <w:rsid w:val="00AB7062"/>
    <w:rsid w:val="00AB7F9D"/>
    <w:rsid w:val="00AD1433"/>
    <w:rsid w:val="00AE50A2"/>
    <w:rsid w:val="00B07093"/>
    <w:rsid w:val="00B2055B"/>
    <w:rsid w:val="00B40E70"/>
    <w:rsid w:val="00B634FA"/>
    <w:rsid w:val="00B643C3"/>
    <w:rsid w:val="00B7420F"/>
    <w:rsid w:val="00B837CA"/>
    <w:rsid w:val="00B83F93"/>
    <w:rsid w:val="00B860CE"/>
    <w:rsid w:val="00BA07EA"/>
    <w:rsid w:val="00BD7B58"/>
    <w:rsid w:val="00C11297"/>
    <w:rsid w:val="00C34B54"/>
    <w:rsid w:val="00C73BB9"/>
    <w:rsid w:val="00C80D98"/>
    <w:rsid w:val="00C846F4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19B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E4F92"/>
    <w:rsid w:val="00EE58A5"/>
    <w:rsid w:val="00EE5D21"/>
    <w:rsid w:val="00EF18A7"/>
    <w:rsid w:val="00EF20C4"/>
    <w:rsid w:val="00EF659E"/>
    <w:rsid w:val="00F03C53"/>
    <w:rsid w:val="00F22E89"/>
    <w:rsid w:val="00F403C2"/>
    <w:rsid w:val="00F46AA2"/>
    <w:rsid w:val="00F936CE"/>
    <w:rsid w:val="00FB6CC7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88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34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4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FE64E-1E5C-4C44-8476-68116EE1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3726</Words>
  <Characters>19526</Characters>
  <Application>Microsoft Office Word</Application>
  <DocSecurity>0</DocSecurity>
  <Lines>476</Lines>
  <Paragraphs>305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22947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2026-04-02T11:23:00Z</dcterms:created>
  <dcterms:modified xsi:type="dcterms:W3CDTF">2026-04-02T11:24:00Z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