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smlouvy objednatele: Z-2400-204-2026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:rsidR="009D4D91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D4D91" w:rsidRPr="008606EF" w:rsidRDefault="009D4D91" w:rsidP="009D4D91">
      <w:pPr>
        <w:pStyle w:val="Zkladntext"/>
        <w:spacing w:after="60" w:line="276" w:lineRule="auto"/>
        <w:rPr>
          <w:rFonts w:cs="Arial"/>
          <w:sz w:val="22"/>
          <w:szCs w:val="22"/>
        </w:rPr>
      </w:pPr>
      <w:r w:rsidRPr="008606EF">
        <w:rPr>
          <w:rFonts w:cs="Arial"/>
          <w:b/>
          <w:sz w:val="22"/>
          <w:szCs w:val="22"/>
        </w:rPr>
        <w:t>Galerie hlavního města Prahy</w:t>
      </w:r>
      <w:r w:rsidRPr="008606EF">
        <w:rPr>
          <w:rFonts w:cs="Arial"/>
          <w:sz w:val="22"/>
          <w:szCs w:val="22"/>
        </w:rPr>
        <w:t xml:space="preserve"> (dále jen GHMP)</w:t>
      </w:r>
    </w:p>
    <w:p w:rsidR="009D4D91" w:rsidRPr="008606EF" w:rsidRDefault="009D4D91" w:rsidP="009D4D91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Zastoupená:</w:t>
      </w:r>
      <w:r w:rsidRPr="008606EF">
        <w:rPr>
          <w:rFonts w:ascii="Arial" w:eastAsia="MS Mincho" w:hAnsi="Arial" w:cs="Arial"/>
          <w:sz w:val="22"/>
          <w:szCs w:val="22"/>
        </w:rPr>
        <w:tab/>
        <w:t>PhDr. Magdalenou Juříkovou, ředitelkou GHMP</w:t>
      </w:r>
    </w:p>
    <w:p w:rsidR="009D4D91" w:rsidRPr="008606EF" w:rsidRDefault="009D4D91" w:rsidP="009D4D91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Se sídlem:</w:t>
      </w:r>
      <w:r w:rsidRPr="008606EF">
        <w:rPr>
          <w:rFonts w:ascii="Arial" w:eastAsia="MS Mincho" w:hAnsi="Arial" w:cs="Arial"/>
          <w:sz w:val="22"/>
          <w:szCs w:val="22"/>
        </w:rPr>
        <w:tab/>
        <w:t>Staroměstské náměstí 605/13, 110 00 Praha 1</w:t>
      </w:r>
    </w:p>
    <w:p w:rsidR="009D4D91" w:rsidRPr="008606EF" w:rsidRDefault="009D4D91" w:rsidP="009D4D91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IČ:</w:t>
      </w:r>
      <w:r w:rsidRPr="008606EF">
        <w:rPr>
          <w:rFonts w:ascii="Arial" w:eastAsia="MS Mincho" w:hAnsi="Arial" w:cs="Arial"/>
          <w:sz w:val="22"/>
          <w:szCs w:val="22"/>
        </w:rPr>
        <w:tab/>
        <w:t>000 64 416</w:t>
      </w:r>
    </w:p>
    <w:p w:rsidR="009D4D91" w:rsidRPr="008606EF" w:rsidRDefault="009D4D91" w:rsidP="009D4D91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DIČ:</w:t>
      </w:r>
      <w:r w:rsidRPr="008606EF">
        <w:rPr>
          <w:rFonts w:ascii="Arial" w:eastAsia="MS Mincho" w:hAnsi="Arial" w:cs="Arial"/>
          <w:sz w:val="22"/>
          <w:szCs w:val="22"/>
        </w:rPr>
        <w:tab/>
        <w:t>CZ000 64 416</w:t>
      </w:r>
    </w:p>
    <w:p w:rsidR="009D4D91" w:rsidRPr="008606EF" w:rsidRDefault="009D4D91" w:rsidP="009D4D91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Bankovní spojení:</w:t>
      </w:r>
      <w:r w:rsidRPr="008606EF">
        <w:rPr>
          <w:rFonts w:ascii="Arial" w:eastAsia="MS Mincho" w:hAnsi="Arial" w:cs="Arial"/>
          <w:sz w:val="22"/>
          <w:szCs w:val="22"/>
        </w:rPr>
        <w:tab/>
        <w:t>PPF Banka, a.s.</w:t>
      </w:r>
    </w:p>
    <w:p w:rsidR="009D4D91" w:rsidRDefault="009D4D91" w:rsidP="009D4D91">
      <w:pPr>
        <w:pStyle w:val="Prost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Č. účtu:</w:t>
      </w:r>
      <w:r w:rsidRPr="008606EF">
        <w:rPr>
          <w:rFonts w:ascii="Arial" w:eastAsia="MS Mincho" w:hAnsi="Arial" w:cs="Arial"/>
          <w:sz w:val="22"/>
          <w:szCs w:val="22"/>
        </w:rPr>
        <w:tab/>
      </w:r>
      <w:r w:rsidRPr="008606EF">
        <w:rPr>
          <w:rFonts w:ascii="Arial" w:hAnsi="Arial" w:cs="Arial"/>
          <w:sz w:val="22"/>
          <w:szCs w:val="22"/>
        </w:rPr>
        <w:t>2000700006/6000</w:t>
      </w:r>
    </w:p>
    <w:p w:rsidR="009D4D91" w:rsidRPr="008606EF" w:rsidRDefault="009D4D91" w:rsidP="009D4D91">
      <w:pPr>
        <w:pStyle w:val="Prost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8606EF">
        <w:rPr>
          <w:rFonts w:ascii="Arial" w:hAnsi="Arial" w:cs="Arial"/>
          <w:sz w:val="22"/>
          <w:szCs w:val="22"/>
        </w:rPr>
        <w:t>na straně jedné jako „</w:t>
      </w:r>
      <w:r w:rsidRPr="008606EF">
        <w:rPr>
          <w:rFonts w:ascii="Arial" w:hAnsi="Arial" w:cs="Arial"/>
          <w:b/>
          <w:sz w:val="22"/>
          <w:szCs w:val="22"/>
        </w:rPr>
        <w:t>objednatel“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</w:p>
    <w:p w:rsidR="009D4D91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Houska &amp; Douda, s.r.o.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:rsidR="009D4D91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M. J. Lermontova 1018/11, 160 00 Praha 6</w:t>
      </w:r>
    </w:p>
    <w:p w:rsidR="009D4D91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48111911</w:t>
      </w:r>
    </w:p>
    <w:p w:rsidR="009D4D91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CZ48111911</w:t>
      </w:r>
    </w:p>
    <w:p w:rsidR="009D4D91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Bank.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spojení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E52F63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</w:p>
    <w:p w:rsidR="009D4D91" w:rsidRPr="00C83396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E52F63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:rsidR="009D4D91" w:rsidRDefault="009D4D91" w:rsidP="009D4D9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:rsidR="009D4D91" w:rsidRDefault="009D4D91" w:rsidP="009D4D91">
      <w:pPr>
        <w:numPr>
          <w:ilvl w:val="1"/>
          <w:numId w:val="8"/>
        </w:numPr>
        <w:spacing w:before="200" w:line="360" w:lineRule="auto"/>
        <w:ind w:right="-23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Předmětem smlouvy jsou restaurátorské práce – </w:t>
      </w:r>
      <w:r>
        <w:rPr>
          <w:rFonts w:ascii="Arial" w:eastAsia="Arial" w:hAnsi="Arial" w:cs="Arial"/>
          <w:b/>
          <w:sz w:val="22"/>
          <w:szCs w:val="22"/>
        </w:rPr>
        <w:t>restaurování osmiramenného kandelábru veřejného osvětlení na Hradčanském náměstí, Praha 1 – Hradčany; in. č. VP 1.</w:t>
      </w:r>
    </w:p>
    <w:p w:rsidR="009D4D91" w:rsidRDefault="009D4D91" w:rsidP="009D4D91">
      <w:pPr>
        <w:numPr>
          <w:ilvl w:val="1"/>
          <w:numId w:val="8"/>
        </w:numPr>
        <w:spacing w:before="20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Práce (dílo) budou realizovány v souladu se zpracovaným návrhem postupu prací, navrženým a schváleným restaurátorským záměrem. </w:t>
      </w:r>
    </w:p>
    <w:p w:rsidR="009D4D91" w:rsidRPr="00395A5B" w:rsidRDefault="009D4D91" w:rsidP="009D4D91">
      <w:pPr>
        <w:numPr>
          <w:ilvl w:val="1"/>
          <w:numId w:val="8"/>
        </w:numPr>
        <w:spacing w:before="20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95A5B">
        <w:rPr>
          <w:rFonts w:ascii="Arial" w:eastAsia="Arial" w:hAnsi="Arial" w:cs="Arial"/>
          <w:sz w:val="22"/>
          <w:szCs w:val="22"/>
        </w:rPr>
        <w:lastRenderedPageBreak/>
        <w:t>Restaurátorské práce budou provedeny v následujícím rozsahu:</w:t>
      </w:r>
    </w:p>
    <w:p w:rsidR="009D4D91" w:rsidRPr="00395A5B" w:rsidRDefault="009D4D91" w:rsidP="009D4D91">
      <w:pPr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5A5B">
        <w:rPr>
          <w:rFonts w:ascii="Arial" w:eastAsia="Arial" w:hAnsi="Arial" w:cs="Arial"/>
          <w:b/>
          <w:sz w:val="22"/>
          <w:szCs w:val="22"/>
        </w:rPr>
        <w:t>Dokumentační příprava</w:t>
      </w:r>
    </w:p>
    <w:p w:rsidR="009D4D91" w:rsidRPr="00395A5B" w:rsidRDefault="009D4D91" w:rsidP="009D4D91">
      <w:pPr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95A5B">
        <w:rPr>
          <w:rFonts w:ascii="Arial" w:eastAsia="Arial" w:hAnsi="Arial" w:cs="Arial"/>
          <w:color w:val="000000"/>
          <w:sz w:val="22"/>
          <w:szCs w:val="22"/>
        </w:rPr>
        <w:t>Dokumentační příprava - podrobná fotodokumentace před zahájením prací, stanovení harmonogramu prací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D4D91" w:rsidRPr="009D4D91" w:rsidRDefault="009D4D91" w:rsidP="009D4D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</w:rPr>
      </w:pPr>
      <w:r w:rsidRPr="009D4D91">
        <w:rPr>
          <w:rFonts w:ascii="Arial" w:eastAsia="Arial" w:hAnsi="Arial" w:cs="Arial"/>
          <w:b/>
          <w:sz w:val="22"/>
          <w:szCs w:val="22"/>
        </w:rPr>
        <w:t xml:space="preserve">Restaurátorský zásah </w:t>
      </w:r>
    </w:p>
    <w:p w:rsidR="009D4D91" w:rsidRPr="009D4D91" w:rsidRDefault="009D4D91" w:rsidP="009D4D9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D4D91">
        <w:rPr>
          <w:rFonts w:ascii="Arial" w:eastAsia="Arial" w:hAnsi="Arial" w:cs="Arial"/>
          <w:color w:val="000000"/>
          <w:sz w:val="22"/>
          <w:szCs w:val="22"/>
        </w:rPr>
        <w:t xml:space="preserve">demontáž </w:t>
      </w:r>
      <w:r>
        <w:rPr>
          <w:rFonts w:ascii="Arial" w:eastAsia="Arial" w:hAnsi="Arial" w:cs="Arial"/>
          <w:color w:val="000000"/>
          <w:sz w:val="22"/>
          <w:szCs w:val="22"/>
        </w:rPr>
        <w:t>skel i celých luceren na místě</w:t>
      </w:r>
    </w:p>
    <w:p w:rsidR="009D4D91" w:rsidRPr="009D4D91" w:rsidRDefault="009D4D91" w:rsidP="009D4D9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D4D91">
        <w:rPr>
          <w:rFonts w:ascii="Arial" w:eastAsia="Arial" w:hAnsi="Arial" w:cs="Arial"/>
          <w:color w:val="000000"/>
        </w:rPr>
        <w:t xml:space="preserve">transport </w:t>
      </w:r>
      <w:r>
        <w:rPr>
          <w:rFonts w:ascii="Arial" w:eastAsia="Arial" w:hAnsi="Arial" w:cs="Arial"/>
          <w:color w:val="000000"/>
        </w:rPr>
        <w:t>sejmutých částí do dílny restaurátora</w:t>
      </w:r>
    </w:p>
    <w:p w:rsidR="009D4D91" w:rsidRPr="009D4D91" w:rsidRDefault="009D4D91" w:rsidP="009D4D91">
      <w:pPr>
        <w:pStyle w:val="Odstavecseseznamem"/>
        <w:numPr>
          <w:ilvl w:val="0"/>
          <w:numId w:val="12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úplná demontáž luceren v dílně restaurátora</w:t>
      </w:r>
    </w:p>
    <w:p w:rsidR="009D4D91" w:rsidRPr="009D4D91" w:rsidRDefault="009D4D91" w:rsidP="009D4D9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omytí skel</w:t>
      </w:r>
    </w:p>
    <w:p w:rsidR="009D4D91" w:rsidRPr="009D4D91" w:rsidRDefault="009D4D91" w:rsidP="009D4D9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očištění povrchu luceren</w:t>
      </w:r>
    </w:p>
    <w:p w:rsidR="009D4D91" w:rsidRDefault="009D4D91" w:rsidP="009D4D9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odstranění degradovaných nánosů původního tmelu (silikonu)</w:t>
      </w:r>
    </w:p>
    <w:p w:rsidR="009D4D91" w:rsidRDefault="009D4D91" w:rsidP="009D4D9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výroba nových nerezových ploch do spodních částí luceren</w:t>
      </w:r>
    </w:p>
    <w:p w:rsidR="009D4D91" w:rsidRDefault="009D4D91" w:rsidP="009D4D9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transport a zpětná montáž luceren i skel na místě kandelábru</w:t>
      </w:r>
    </w:p>
    <w:p w:rsidR="009D4D91" w:rsidRDefault="009D4D91" w:rsidP="009D4D9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nové tmelení a spárování</w:t>
      </w:r>
    </w:p>
    <w:p w:rsidR="009D4D91" w:rsidRDefault="009D4D91" w:rsidP="009D4D91">
      <w:pPr>
        <w:numPr>
          <w:ilvl w:val="0"/>
          <w:numId w:val="13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5A5B">
        <w:rPr>
          <w:rFonts w:ascii="Arial" w:eastAsia="Arial" w:hAnsi="Arial" w:cs="Arial"/>
          <w:b/>
          <w:sz w:val="22"/>
          <w:szCs w:val="22"/>
        </w:rPr>
        <w:t>Závěrečná restaurátorská zpráva</w:t>
      </w:r>
    </w:p>
    <w:p w:rsidR="009D4D91" w:rsidRDefault="009D4D91" w:rsidP="00BE2F74">
      <w:pPr>
        <w:pStyle w:val="Odstavecseseznamem"/>
        <w:numPr>
          <w:ilvl w:val="0"/>
          <w:numId w:val="17"/>
        </w:numPr>
        <w:tabs>
          <w:tab w:val="left" w:pos="426"/>
        </w:tabs>
        <w:spacing w:before="120" w:after="120" w:line="360" w:lineRule="auto"/>
        <w:ind w:left="851" w:hanging="425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fotodokumentace stavu po restaurování</w:t>
      </w:r>
    </w:p>
    <w:p w:rsidR="009D4D91" w:rsidRPr="009D4D91" w:rsidRDefault="009D4D91" w:rsidP="009D4D91">
      <w:pPr>
        <w:pStyle w:val="Odstavecseseznamem"/>
        <w:numPr>
          <w:ilvl w:val="0"/>
          <w:numId w:val="17"/>
        </w:numPr>
        <w:tabs>
          <w:tab w:val="left" w:pos="426"/>
        </w:tabs>
        <w:spacing w:before="120" w:after="120" w:line="360" w:lineRule="auto"/>
        <w:ind w:left="851" w:hanging="425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zhotovení restaurátorské zprávy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:rsidR="009D4D91" w:rsidRPr="00815128" w:rsidRDefault="009D4D91" w:rsidP="009D4D9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 w:rsidRPr="00815128"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 w:rsidR="001611B4">
        <w:rPr>
          <w:rFonts w:ascii="Arial" w:eastAsia="Arial" w:hAnsi="Arial" w:cs="Arial"/>
          <w:sz w:val="22"/>
          <w:szCs w:val="22"/>
        </w:rPr>
        <w:t>osmiramenném kandelábru veřejného osvětlení na Hradčanském náměstí v Praze 1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D4D91" w:rsidRPr="00815128" w:rsidRDefault="009D4D91" w:rsidP="009D4D9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 w:rsidRPr="00815128"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orgány památkové péče a upřesněn průběžnými zápisy dle zjištění v průběhu prací.</w:t>
      </w:r>
    </w:p>
    <w:p w:rsidR="009D4D91" w:rsidRPr="00BE2F74" w:rsidRDefault="009D4D91" w:rsidP="009D4D9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>30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1611B4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2026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:rsidR="00BE2F74" w:rsidRPr="005A0B89" w:rsidRDefault="00BE2F74" w:rsidP="00BE2F74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ind w:left="720"/>
        <w:jc w:val="both"/>
        <w:rPr>
          <w:color w:val="000000"/>
          <w:sz w:val="22"/>
          <w:szCs w:val="22"/>
        </w:rPr>
      </w:pP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:rsidR="009D4D91" w:rsidRDefault="009D4D91" w:rsidP="009D4D91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:rsidR="009D4D91" w:rsidRPr="00F512DC" w:rsidRDefault="009D4D91" w:rsidP="009D4D91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vymezený předmět plnění jako nejvýše přípustná, platná po celou dobu realizace díla, a to i v případě prodloužení předmětu plnění z důvodu na straně objednatele min. do </w:t>
      </w:r>
      <w:r>
        <w:rPr>
          <w:rFonts w:ascii="Arial" w:eastAsia="Arial" w:hAnsi="Arial" w:cs="Arial"/>
          <w:sz w:val="22"/>
          <w:szCs w:val="22"/>
        </w:rPr>
        <w:t xml:space="preserve">30. </w:t>
      </w:r>
      <w:r w:rsidR="001611B4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2026.</w:t>
      </w:r>
    </w:p>
    <w:p w:rsidR="009D4D91" w:rsidRDefault="009D4D91" w:rsidP="001611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1611B4">
        <w:rPr>
          <w:rFonts w:ascii="Arial" w:eastAsia="Arial" w:hAnsi="Arial" w:cs="Arial"/>
          <w:b/>
          <w:color w:val="000000"/>
          <w:sz w:val="22"/>
          <w:szCs w:val="22"/>
        </w:rPr>
        <w:t xml:space="preserve">Cena díla bez DPH </w:t>
      </w:r>
      <w:r w:rsidRPr="001611B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1611B4">
        <w:rPr>
          <w:rFonts w:ascii="Arial" w:eastAsia="Arial" w:hAnsi="Arial" w:cs="Arial"/>
          <w:b/>
          <w:color w:val="000000"/>
          <w:sz w:val="22"/>
          <w:szCs w:val="22"/>
        </w:rPr>
        <w:t>194</w:t>
      </w:r>
      <w:r w:rsidRPr="001611B4">
        <w:rPr>
          <w:rFonts w:ascii="Arial" w:eastAsia="Arial" w:hAnsi="Arial" w:cs="Arial"/>
          <w:b/>
          <w:color w:val="000000"/>
          <w:sz w:val="22"/>
          <w:szCs w:val="22"/>
        </w:rPr>
        <w:t xml:space="preserve"> 000,-Kč</w:t>
      </w:r>
    </w:p>
    <w:p w:rsidR="009D4D91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DPH 21 %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1611B4">
        <w:rPr>
          <w:rFonts w:ascii="Arial" w:eastAsia="Arial" w:hAnsi="Arial" w:cs="Arial"/>
          <w:b/>
          <w:color w:val="000000"/>
          <w:sz w:val="22"/>
          <w:szCs w:val="22"/>
        </w:rPr>
        <w:t xml:space="preserve">  40 740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:rsidR="009D4D91" w:rsidRPr="003578B9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after="12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celkem včetně DPH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1611B4">
        <w:rPr>
          <w:rFonts w:ascii="Arial" w:eastAsia="Arial" w:hAnsi="Arial" w:cs="Arial"/>
          <w:b/>
          <w:color w:val="000000"/>
          <w:sz w:val="22"/>
          <w:szCs w:val="22"/>
        </w:rPr>
        <w:t>234 740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:rsidR="009D4D91" w:rsidRDefault="009D4D91" w:rsidP="009D4D91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:rsidR="009D4D91" w:rsidRDefault="009D4D91" w:rsidP="009D4D91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:rsidR="009D4D91" w:rsidRPr="00CE527A" w:rsidRDefault="009D4D91" w:rsidP="009D4D91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:rsidR="009D4D91" w:rsidRDefault="009D4D91" w:rsidP="009D4D91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:rsidR="009D4D91" w:rsidRDefault="009D4D91" w:rsidP="009D4D91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mohou být prováděny průběžně, vždy po doložení provedené části zakázky až do výše 90 % z jednotlivých částí díla. Zbylých 10 % bude uhrazeno po předání a převzetí kompletně dokončeného díla vč. odstranění všech vad a nedodělků uvedených v zápise o předání a převzetí díla. </w:t>
      </w:r>
    </w:p>
    <w:p w:rsidR="009D4D91" w:rsidRDefault="009D4D91" w:rsidP="009D4D91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:rsidR="009D4D91" w:rsidRPr="00FD46A9" w:rsidRDefault="009D4D91" w:rsidP="009D4D91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:rsidR="009D4D91" w:rsidRPr="000511A0" w:rsidRDefault="009D4D91" w:rsidP="009D4D91">
      <w:pPr>
        <w:spacing w:before="200" w:line="276" w:lineRule="auto"/>
        <w:jc w:val="both"/>
        <w:rPr>
          <w:sz w:val="22"/>
          <w:szCs w:val="22"/>
        </w:rPr>
      </w:pP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:rsidR="009D4D91" w:rsidRDefault="009D4D91" w:rsidP="009D4D91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:rsidR="009D4D91" w:rsidRDefault="009D4D91" w:rsidP="009D4D91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poskytuje záruku za provedené dílo v délce </w:t>
      </w:r>
      <w:r>
        <w:rPr>
          <w:rFonts w:ascii="Arial" w:eastAsia="Arial" w:hAnsi="Arial" w:cs="Arial"/>
          <w:b/>
          <w:sz w:val="22"/>
          <w:szCs w:val="22"/>
        </w:rPr>
        <w:t xml:space="preserve">36 měsíců </w:t>
      </w:r>
      <w:r>
        <w:rPr>
          <w:rFonts w:ascii="Arial" w:eastAsia="Arial" w:hAnsi="Arial" w:cs="Arial"/>
          <w:sz w:val="22"/>
          <w:szCs w:val="22"/>
        </w:rPr>
        <w:t xml:space="preserve">ode dne jeho řádného dokončení bez jakýchkoliv vad a nedodělků a protokolárního převzetí ze strany objednatele.  </w:t>
      </w:r>
    </w:p>
    <w:p w:rsidR="009D4D91" w:rsidRDefault="009D4D91" w:rsidP="009D4D91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 (např. dopisem, elektronickou poštou). Termín pro odstranění reklamačních vad je 15 </w:t>
      </w:r>
      <w:r>
        <w:rPr>
          <w:rFonts w:ascii="Arial" w:eastAsia="Arial" w:hAnsi="Arial" w:cs="Arial"/>
          <w:sz w:val="22"/>
          <w:szCs w:val="22"/>
        </w:rPr>
        <w:lastRenderedPageBreak/>
        <w:t>dnů od doručení písemné výzvy zhotoviteli, pokud nebude s ohledem na charakter vady se zástupcem objednatele dohodnuta lhůta delší a pokud to klimatické podmínky dovolí.</w:t>
      </w:r>
    </w:p>
    <w:p w:rsidR="009D4D91" w:rsidRDefault="009D4D91" w:rsidP="009D4D91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:rsidR="009D4D91" w:rsidRPr="00F17177" w:rsidRDefault="009D4D91" w:rsidP="009D4D91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povinen oznámit vady díla zhotoviteli bez zbytečného odkladu ihned, jakmile je zjistí.</w:t>
      </w:r>
    </w:p>
    <w:p w:rsidR="009D4D91" w:rsidRPr="008637D1" w:rsidRDefault="009D4D91" w:rsidP="009D4D91">
      <w:pPr>
        <w:spacing w:before="200" w:line="276" w:lineRule="auto"/>
        <w:ind w:left="720"/>
        <w:jc w:val="both"/>
        <w:rPr>
          <w:sz w:val="22"/>
          <w:szCs w:val="22"/>
        </w:rPr>
      </w:pP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Povinnosti zhotovitele</w:t>
      </w:r>
    </w:p>
    <w:p w:rsidR="009D4D91" w:rsidRDefault="009D4D91" w:rsidP="009D4D91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se zavazuje vytvořit dílo s odbornou péčí a bez závad, s důrazem na zachování umělecké a historické hodnoty </w:t>
      </w:r>
      <w:r w:rsidR="00BE2F74">
        <w:rPr>
          <w:rFonts w:ascii="Arial" w:eastAsia="Arial" w:hAnsi="Arial" w:cs="Arial"/>
          <w:sz w:val="22"/>
          <w:szCs w:val="22"/>
        </w:rPr>
        <w:t>památky</w:t>
      </w:r>
      <w:r>
        <w:rPr>
          <w:rFonts w:ascii="Arial" w:eastAsia="Arial" w:hAnsi="Arial" w:cs="Arial"/>
          <w:sz w:val="22"/>
          <w:szCs w:val="22"/>
        </w:rPr>
        <w:t>.</w:t>
      </w:r>
    </w:p>
    <w:p w:rsidR="009D4D91" w:rsidRDefault="009D4D91" w:rsidP="009D4D91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protokolárně odevzdá dílo v dohodnutých termínech a v nejvyšší kvalitě v souladu se závazným stanoviskem památkové péče a odborným dozorem.</w:t>
      </w:r>
    </w:p>
    <w:p w:rsidR="009D4D91" w:rsidRDefault="009D4D91" w:rsidP="009D4D91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:rsidR="009D4D91" w:rsidRDefault="009D4D91" w:rsidP="009D4D91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dbát při provádění díla veškerých pokynů objednatele a provádět opatření ke splnění těchto pokynů.</w:t>
      </w:r>
    </w:p>
    <w:p w:rsidR="009D4D91" w:rsidRDefault="009D4D91" w:rsidP="009D4D91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:rsidR="009D4D91" w:rsidRPr="00F17177" w:rsidRDefault="009D4D91" w:rsidP="009D4D91">
      <w:p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:rsidR="009D4D91" w:rsidRDefault="009D4D91" w:rsidP="009D4D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:rsidR="009D4D91" w:rsidRDefault="009D4D91" w:rsidP="009D4D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:rsidR="009D4D91" w:rsidRDefault="009D4D91" w:rsidP="009D4D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zaplatit za řádně provedené dílo nevykazující žádné vady a nedodělky dohodnutou cenu dle čl. III této smlouvy.</w:t>
      </w:r>
    </w:p>
    <w:p w:rsidR="009D4D91" w:rsidRPr="001611B4" w:rsidRDefault="009D4D91" w:rsidP="001611B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:rsidR="009D4D91" w:rsidRDefault="009D4D91" w:rsidP="009D4D9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VII.</w:t>
      </w:r>
    </w:p>
    <w:p w:rsidR="009D4D91" w:rsidRDefault="009D4D91" w:rsidP="009D4D9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</w:t>
      </w:r>
    </w:p>
    <w:p w:rsidR="009D4D91" w:rsidRDefault="009D4D91" w:rsidP="009D4D9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provádění předmětného díla, a to 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:rsidR="009D4D91" w:rsidRPr="008637D1" w:rsidRDefault="009D4D91" w:rsidP="009D4D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VII. </w:t>
      </w:r>
    </w:p>
    <w:p w:rsidR="009D4D91" w:rsidRDefault="009D4D91" w:rsidP="009D4D9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:rsidR="009D4D91" w:rsidRDefault="009D4D91" w:rsidP="009D4D9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 za účasti orgánů památkové péče. </w:t>
      </w:r>
    </w:p>
    <w:p w:rsidR="009D4D91" w:rsidRDefault="009D4D91" w:rsidP="009D4D9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IX.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:rsidR="009D4D91" w:rsidRDefault="009D4D91" w:rsidP="009D4D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nedodá dílo v dohodnuté podobě nebo kvalitě (dílo má vady nebo nedodělky nebo nemá požadované vlastnosti) má objednatel právo od smlouvy odstoupit. </w:t>
      </w:r>
    </w:p>
    <w:p w:rsidR="009D4D91" w:rsidRDefault="009D4D91" w:rsidP="009D4D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od smlouvy odstoupit i v průběhu provádění díla, shledá-li že zhotovitel provádí dílo v rozporu s touto smlouvou nebo porušuje povinnosti stanovené touto smlouvou a nezjedná-li zhotovitel neprodleně po upozornění nápravu.</w:t>
      </w:r>
    </w:p>
    <w:p w:rsidR="009D4D91" w:rsidRDefault="009D4D91" w:rsidP="009D4D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Při zjištění opakovaného porušování povinností na straně zhotovitele podle této smlouvy je objednatel oprávněn od smlouvy bez dalšího odstoupit, aniž by stanovil zhotoviteli lhůtu ke zjednání nápravy. </w:t>
      </w:r>
    </w:p>
    <w:p w:rsidR="009D4D91" w:rsidRDefault="009D4D91" w:rsidP="009D4D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 případ odstoupení od smlouvy je zhotovitel povinen vrátit objednateli plnění od něj dosud přijatá ve smyslu § 351 obchodního zákoníku. Odstoupení od smlouvy je účinné okamžikem doručení písemného oznámení o odstoupení druhé smluvní straně.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E2F74" w:rsidRDefault="00BE2F74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X.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je oprávněn s předchozím písemným souhlasem objednatele provést část díla stanoveného touto smlouvou prostřednictvím svého subdodavatele a prohlašuje, že v případě užití subdodavatele odpovídá za výkon subdodavatele ve stejném (tj. neomezeném) rozsahu, jako kdyby tento výkon poskytl zhotovitel sám.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Změna subdodavatele a rozsahu jeho plnění je v průběhu plnění díla možná pouze po písemném souhlasu zadavatele. Změna subdodavatele, prostřednictvím kterého byla prokázána kvalifikace, je v průběhu plnění díla možná v důsledku objektivně nepředvídatelných skutečností a pouze za předpokladu, že náhradní subdodavatel prokáže splnění kvalifikace ve shodném rozsahu jako subdodavatel původní.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především písemně, zejména v případech, kdy smlouva tuto formu komunikace předvídá. Pro účely této smlouvy se za písemnou formu považuje i komunikace prostřednictvím e-mailu. Pro tyto účely se stanoví následující kontaktní údaje: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Mgr. Marie Foltýnová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bookmarkStart w:id="1" w:name="_GoBack"/>
      <w:bookmarkEnd w:id="1"/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Ivan Houska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Tuto smlouvu lze měnit nebo doplňovat na základě dohody uzavřené mezi smluvními stranami v podobě očíslovaného dodatku.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Tato smlouva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je vyhotovena v elektronické podobě,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přičemž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obě smluvní strany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obdrží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její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elektronický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originál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:rsidR="009D4D91" w:rsidRDefault="009D4D91" w:rsidP="009D4D9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položkového rozpočtu jednotlivých úkonů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2 – Odůvodnění výběru dodavatele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Praze dne 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:rsidR="009D4D91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Houska &amp; Douda, s.r.o.</w:t>
      </w:r>
    </w:p>
    <w:p w:rsidR="009D4D91" w:rsidRPr="00911E07" w:rsidRDefault="009D4D91" w:rsidP="009D4D91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Ředitelka Galerie hlavního města Prahy</w:t>
      </w:r>
    </w:p>
    <w:p w:rsidR="009D4D91" w:rsidRDefault="009D4D91" w:rsidP="009D4D91"/>
    <w:p w:rsidR="009D4D91" w:rsidRDefault="009D4D91" w:rsidP="009D4D91"/>
    <w:p w:rsidR="009D4D91" w:rsidRDefault="009D4D91" w:rsidP="009D4D91"/>
    <w:p w:rsidR="009D4D91" w:rsidRDefault="009D4D91" w:rsidP="009D4D91"/>
    <w:p w:rsidR="009A529A" w:rsidRDefault="009A529A"/>
    <w:sectPr w:rsidR="009A529A" w:rsidSect="00863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F6" w:rsidRDefault="002E48F6">
      <w:r>
        <w:separator/>
      </w:r>
    </w:p>
  </w:endnote>
  <w:endnote w:type="continuationSeparator" w:id="0">
    <w:p w:rsidR="002E48F6" w:rsidRDefault="002E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SymbolP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1A" w:rsidRDefault="00D84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664" w:rsidRDefault="00B716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71664" w:rsidRDefault="00B716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71664" w:rsidRDefault="00B716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664" w:rsidRDefault="002E48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14:ligatures w14:val="standardContextual"/>
      </w:rPr>
      <w:pict w14:anchorId="1C6E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gif" o:spid="_x0000_i1026" type="#_x0000_t75" style="width:42.75pt;height:42.75pt;visibility:visible;mso-wrap-style:square">
          <v:imagedata r:id="rId1" o:title=""/>
          <o:lock v:ext="edit" rotation="t" cropping="t" verticies="t"/>
        </v:shape>
      </w:pict>
    </w:r>
    <w:r>
      <w:rPr>
        <w:noProof/>
      </w:rPr>
      <w:pict w14:anchorId="1B01600F">
        <v:rect id="Obdélník 1" o:spid="_x0000_s2049" style="position:absolute;margin-left:52pt;margin-top:-3pt;width:345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" stroked="f">
          <o:lock v:ext="edit" aspectratio="t" verticies="t" text="t" shapetype="t"/>
          <v:textbox inset="2.53958mm,1.2694mm,2.53958mm,1.2694mm">
            <w:txbxContent>
              <w:p w:rsidR="00B71664" w:rsidRDefault="002E48F6">
                <w:pPr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4"/>
                  </w:rPr>
                  <w:t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</w:t>
                </w:r>
                <w:r>
                  <w:rPr>
                    <w:rFonts w:ascii="Arial" w:eastAsia="Arial" w:hAnsi="Arial" w:cs="Arial"/>
                    <w:color w:val="000000"/>
                    <w:sz w:val="14"/>
                  </w:rPr>
                  <w:t xml:space="preserve">é době GHMP vystavuje v sedmi objektech: v Domě U Kamenného zvonu, v Městské knihovně – 2. patro, v </w:t>
                </w:r>
                <w:proofErr w:type="spellStart"/>
                <w:r>
                  <w:rPr>
                    <w:rFonts w:ascii="Arial" w:eastAsia="Arial" w:hAnsi="Arial" w:cs="Arial"/>
                    <w:color w:val="000000"/>
                    <w:sz w:val="14"/>
                  </w:rPr>
                  <w:t>Colloredo-Mansfeldském</w:t>
                </w:r>
                <w:proofErr w:type="spellEnd"/>
                <w:r>
                  <w:rPr>
                    <w:rFonts w:ascii="Arial" w:eastAsia="Arial" w:hAnsi="Arial" w:cs="Arial"/>
                    <w:color w:val="000000"/>
                    <w:sz w:val="14"/>
                  </w:rPr>
                  <w:t xml:space="preserve"> paláci, v Domě fotografie, v Bílkově vile, v Zámku Troja a v Domě Františka Bílka v Chýnově.</w:t>
                </w:r>
              </w:p>
            </w:txbxContent>
          </v:textbox>
        </v:rect>
      </w:pict>
    </w:r>
  </w:p>
  <w:p w:rsidR="00B71664" w:rsidRDefault="00B716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F6" w:rsidRDefault="002E48F6">
      <w:r>
        <w:separator/>
      </w:r>
    </w:p>
  </w:footnote>
  <w:footnote w:type="continuationSeparator" w:id="0">
    <w:p w:rsidR="002E48F6" w:rsidRDefault="002E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1A" w:rsidRDefault="00D84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664" w:rsidRDefault="00B716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71664" w:rsidRDefault="00B716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664" w:rsidRDefault="00E52F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14:ligatures w14:val="standardContextual"/>
      </w:rPr>
      <w:pict w14:anchorId="714EA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png" o:spid="_x0000_i1025" type="#_x0000_t75" style="width:203.25pt;height:82.5pt;visibility:visible;mso-wrap-style:square">
          <v:imagedata r:id="rId1" o:title="" croptop="16100f" cropbottom="15319f" cropleft="8994f" cropright="8972f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682"/>
    <w:multiLevelType w:val="multilevel"/>
    <w:tmpl w:val="7FD813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96733F"/>
    <w:multiLevelType w:val="multilevel"/>
    <w:tmpl w:val="061808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14C61BC0"/>
    <w:multiLevelType w:val="multilevel"/>
    <w:tmpl w:val="A2C864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BB2277"/>
    <w:multiLevelType w:val="multilevel"/>
    <w:tmpl w:val="4BE04A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665E0B"/>
    <w:multiLevelType w:val="multilevel"/>
    <w:tmpl w:val="598CC690"/>
    <w:styleLink w:val="Aktulnseznam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1432E"/>
    <w:multiLevelType w:val="hybridMultilevel"/>
    <w:tmpl w:val="1048DC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B4378"/>
    <w:multiLevelType w:val="multilevel"/>
    <w:tmpl w:val="97AAE79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FB27A59"/>
    <w:multiLevelType w:val="multilevel"/>
    <w:tmpl w:val="FEE674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2703225"/>
    <w:multiLevelType w:val="multilevel"/>
    <w:tmpl w:val="16EE23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3E22F4B"/>
    <w:multiLevelType w:val="hybridMultilevel"/>
    <w:tmpl w:val="F5E269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9604AB"/>
    <w:multiLevelType w:val="multilevel"/>
    <w:tmpl w:val="DA5C7B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2C681A"/>
    <w:multiLevelType w:val="hybridMultilevel"/>
    <w:tmpl w:val="7D8A9A72"/>
    <w:lvl w:ilvl="0" w:tplc="BA24877A">
      <w:start w:val="1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E7AD1"/>
    <w:multiLevelType w:val="hybridMultilevel"/>
    <w:tmpl w:val="3D289680"/>
    <w:lvl w:ilvl="0" w:tplc="1D3A9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900FC"/>
    <w:multiLevelType w:val="hybridMultilevel"/>
    <w:tmpl w:val="C6986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509A4"/>
    <w:multiLevelType w:val="multilevel"/>
    <w:tmpl w:val="5296DE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D876E2"/>
    <w:multiLevelType w:val="multilevel"/>
    <w:tmpl w:val="0AF6ECD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7" w15:restartNumberingAfterBreak="0">
    <w:nsid w:val="76322626"/>
    <w:multiLevelType w:val="hybridMultilevel"/>
    <w:tmpl w:val="8F984774"/>
    <w:lvl w:ilvl="0" w:tplc="D8640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1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3"/>
  </w:num>
  <w:num w:numId="15">
    <w:abstractNumId w:val="10"/>
  </w:num>
  <w:num w:numId="16">
    <w:abstractNumId w:val="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4B"/>
    <w:rsid w:val="000B49E7"/>
    <w:rsid w:val="001611B4"/>
    <w:rsid w:val="002628BB"/>
    <w:rsid w:val="002E48F6"/>
    <w:rsid w:val="005D034B"/>
    <w:rsid w:val="009A529A"/>
    <w:rsid w:val="009D4D91"/>
    <w:rsid w:val="00B71664"/>
    <w:rsid w:val="00BE2F74"/>
    <w:rsid w:val="00CE040D"/>
    <w:rsid w:val="00D84C1A"/>
    <w:rsid w:val="00E5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41C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D9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9D4D91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9D4D91"/>
    <w:pPr>
      <w:keepNext/>
      <w:jc w:val="center"/>
      <w:outlineLvl w:val="4"/>
    </w:pPr>
    <w:rPr>
      <w:rFonts w:ascii="Arial" w:hAnsi="Arial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D4D91"/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D4D91"/>
    <w:rPr>
      <w:rFonts w:ascii="Arial" w:eastAsia="Times New Roman" w:hAnsi="Arial" w:cs="Arial"/>
      <w:b/>
      <w:bCs/>
      <w:kern w:val="0"/>
      <w:sz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D4D91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semiHidden/>
    <w:rsid w:val="009D4D91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9D4D91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aliases w:val="Standard paragraph"/>
    <w:basedOn w:val="Normln"/>
    <w:link w:val="ZkladntextChar"/>
    <w:semiHidden/>
    <w:rsid w:val="009D4D91"/>
    <w:pPr>
      <w:widowControl w:val="0"/>
      <w:overflowPunct w:val="0"/>
      <w:autoSpaceDE w:val="0"/>
      <w:autoSpaceDN w:val="0"/>
      <w:adjustRightInd w:val="0"/>
      <w:spacing w:after="100"/>
      <w:jc w:val="both"/>
      <w:textAlignment w:val="baseline"/>
    </w:pPr>
    <w:rPr>
      <w:rFonts w:ascii="Arial" w:hAnsi="Arial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D4D91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draznn">
    <w:name w:val="Emphasis"/>
    <w:uiPriority w:val="20"/>
    <w:qFormat/>
    <w:rsid w:val="009D4D91"/>
    <w:rPr>
      <w:i/>
      <w:iCs/>
    </w:rPr>
  </w:style>
  <w:style w:type="numbering" w:customStyle="1" w:styleId="Aktulnseznam1">
    <w:name w:val="Aktuální seznam1"/>
    <w:uiPriority w:val="99"/>
    <w:rsid w:val="009D4D91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D84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C1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84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C1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2026-04-02T13:25:00Z</dcterms:created>
  <dcterms:modified xsi:type="dcterms:W3CDTF">2026-04-02T13:25:00Z</dcterms:modified>
</cp:coreProperties>
</file>