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9D6C4D">
              <w:rPr>
                <w:rFonts w:ascii="Arial" w:hAnsi="Arial" w:cs="Arial"/>
                <w:b/>
                <w:noProof/>
                <w:sz w:val="24"/>
              </w:rPr>
              <w:t>239/26/01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9D6C4D">
              <w:rPr>
                <w:rFonts w:ascii="Arial" w:hAnsi="Arial" w:cs="Arial"/>
                <w:b/>
                <w:noProof/>
                <w:sz w:val="20"/>
              </w:rPr>
              <w:t>62816306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Jan Andrýsek</w:t>
            </w:r>
          </w:p>
          <w:p w:rsidR="00162BD4" w:rsidRPr="00577566" w:rsidRDefault="009D6C4D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Na Chmelnici 2494</w:t>
            </w:r>
          </w:p>
          <w:p w:rsidR="00162BD4" w:rsidRPr="00577566" w:rsidRDefault="009D6C4D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9D6C4D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9D6C4D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31. 3. 2026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6C4D" w:rsidRDefault="009D6C4D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základě Vaší cenové nabídky u Vás závazně objednáváme pravidelnou revizi veřejného osvětlení pro rok 2025. </w:t>
            </w:r>
          </w:p>
          <w:p w:rsidR="009D6C4D" w:rsidRDefault="009D6C4D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Rozsah Revize VO: Revize VO se týká elektrických přípojek do rozvaděčů VO, vlastních rozvaděčů VO, stožárů s </w:t>
            </w:r>
            <w:proofErr w:type="spellStart"/>
            <w:r>
              <w:rPr>
                <w:rFonts w:ascii="Arial" w:hAnsi="Arial" w:cs="Arial"/>
                <w:sz w:val="20"/>
              </w:rPr>
              <w:t>elektrovýzbrojí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 ovládání a spínání VO. Součástí revize je i provedení drobných nápravných úkonů na revidované elektrické instalaci (dotažení svorek, odstranění prachové vrstvy, konzervace začínající oxidace, apod.).</w:t>
            </w:r>
          </w:p>
          <w:p w:rsidR="009D6C4D" w:rsidRDefault="009D6C4D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Revidované rozváděče VO: RVO 18, RVO 19, RVO 20, RVO 27, RVO 29, RVO 41, RVO 42, RVO 46. </w:t>
            </w:r>
          </w:p>
          <w:p w:rsidR="00162BD4" w:rsidRPr="00577566" w:rsidRDefault="009D6C4D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Dílčí fakturace dle cenové nabídky.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1.Revize veřejného osvětlení v roce 2026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129 635,00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D6C4D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129 635,00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9D6C4D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9D6C4D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518 0    0     18 0  4042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9D6C4D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4D" w:rsidRDefault="009D6C4D" w:rsidP="000A7D75">
      <w:pPr>
        <w:spacing w:after="0" w:line="240" w:lineRule="auto"/>
      </w:pPr>
      <w:r>
        <w:separator/>
      </w:r>
    </w:p>
  </w:endnote>
  <w:endnote w:type="continuationSeparator" w:id="0">
    <w:p w:rsidR="009D6C4D" w:rsidRDefault="009D6C4D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4D" w:rsidRDefault="009D6C4D" w:rsidP="000A7D75">
      <w:pPr>
        <w:spacing w:after="0" w:line="240" w:lineRule="auto"/>
      </w:pPr>
      <w:r>
        <w:separator/>
      </w:r>
    </w:p>
  </w:footnote>
  <w:footnote w:type="continuationSeparator" w:id="0">
    <w:p w:rsidR="009D6C4D" w:rsidRDefault="009D6C4D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9D6C4D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4D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52DE0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D6C4D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34E58-6B8E-4990-89F6-1FE12290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0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2202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2</cp:revision>
  <cp:lastPrinted>2026-04-01T06:42:00Z</cp:lastPrinted>
  <dcterms:created xsi:type="dcterms:W3CDTF">2026-04-01T06:43:00Z</dcterms:created>
  <dcterms:modified xsi:type="dcterms:W3CDTF">2026-04-01T06:43:00Z</dcterms:modified>
</cp:coreProperties>
</file>