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205" w:rsidRDefault="00D92817" w:rsidP="003444D6">
      <w:pPr>
        <w:pStyle w:val="Nzev"/>
        <w:shd w:val="clear" w:color="auto" w:fill="auto"/>
        <w:jc w:val="center"/>
      </w:pPr>
      <w:r>
        <w:t>P</w:t>
      </w:r>
      <w:r w:rsidR="00B06530">
        <w:t xml:space="preserve">říloha </w:t>
      </w:r>
      <w:r w:rsidR="00607505">
        <w:t>4</w:t>
      </w:r>
    </w:p>
    <w:p w:rsidR="00D54205" w:rsidRDefault="00D54205" w:rsidP="0085253B">
      <w:pPr>
        <w:spacing w:before="1080"/>
        <w:jc w:val="center"/>
        <w:rPr>
          <w:caps/>
          <w:sz w:val="44"/>
          <w:u w:val="single"/>
        </w:rPr>
      </w:pPr>
      <w:r>
        <w:rPr>
          <w:caps/>
          <w:sz w:val="44"/>
          <w:u w:val="single"/>
        </w:rPr>
        <w:t>Technická specifikace zhotovitele</w:t>
      </w:r>
    </w:p>
    <w:p w:rsidR="0031609F" w:rsidRPr="007C70D7" w:rsidRDefault="00D54205" w:rsidP="00754BBB">
      <w:pPr>
        <w:pStyle w:val="Odstavec"/>
        <w:spacing w:before="0"/>
        <w:jc w:val="both"/>
      </w:pPr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1"/>
        <w:gridCol w:w="574"/>
        <w:gridCol w:w="4344"/>
        <w:gridCol w:w="497"/>
        <w:gridCol w:w="2438"/>
        <w:gridCol w:w="1139"/>
        <w:gridCol w:w="613"/>
      </w:tblGrid>
      <w:tr w:rsidR="004E0408" w:rsidTr="004E0408">
        <w:trPr>
          <w:gridAfter w:val="3"/>
          <w:wAfter w:w="2166" w:type="pct"/>
          <w:trHeight w:val="300"/>
        </w:trPr>
        <w:tc>
          <w:tcPr>
            <w:tcW w:w="2576" w:type="pct"/>
            <w:gridSpan w:val="3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Arial"/>
                <w:b/>
                <w:bCs/>
                <w:color w:val="000000"/>
                <w:sz w:val="23"/>
                <w:szCs w:val="23"/>
              </w:rPr>
              <w:lastRenderedPageBreak/>
              <w:t>ETAPA 1</w:t>
            </w:r>
          </w:p>
        </w:tc>
        <w:tc>
          <w:tcPr>
            <w:tcW w:w="257" w:type="pct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  <w:tr w:rsidR="004E0408" w:rsidTr="004E0408">
        <w:trPr>
          <w:gridAfter w:val="3"/>
          <w:wAfter w:w="2166" w:type="pct"/>
          <w:trHeight w:val="300"/>
        </w:trPr>
        <w:tc>
          <w:tcPr>
            <w:tcW w:w="2576" w:type="pct"/>
            <w:gridSpan w:val="3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Specifikace předizolovaného potrubí </w:t>
            </w:r>
          </w:p>
        </w:tc>
        <w:tc>
          <w:tcPr>
            <w:tcW w:w="257" w:type="pct"/>
            <w:noWrap/>
            <w:vAlign w:val="center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376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Název</w:t>
            </w:r>
          </w:p>
        </w:tc>
        <w:tc>
          <w:tcPr>
            <w:tcW w:w="58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Množství</w:t>
            </w:r>
          </w:p>
        </w:tc>
        <w:tc>
          <w:tcPr>
            <w:tcW w:w="31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MJ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/*280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139 /*250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114 /*225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88 /*180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60 /*140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48 /*125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42 /*125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/*315 12m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/*280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139 /*250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114 /*225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88 /*180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/*315 6m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42 /*125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18° 114 /*225 12m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5208 SXB ohyb  *140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5252 Přivařovací koleno 90° pro SXB ohyb  60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*140 (60)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60 /*140 6m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139 /*250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114 /*225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114 /*225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88 /*180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88 /*180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88 /*180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60 /*140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37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60 /*140 sig. S2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42 /*125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/*315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/*315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/*315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*(225-280)/*(225-250)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168 - 139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330/210 L=150 (*280)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*(200-250)/*(200-225)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139 - 114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290/185 L=150 (*250)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*(200-250)/*(200-225)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139 - 88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290/185 L=150 (*250)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*(180-225)/*(180-200)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114 - 88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260/165 L=150 (*225)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*(160-200)/*(160-180)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88 - 76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210/135 L=150 (*180)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*(125-160)/*(125-140)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76 - 60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76 - 42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190/125 L=150 (*160)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*(110-140)/*(110-125)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60 - 48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170/110 L=150 (*140)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*(250-315)/*(250-280)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168 - 139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11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370/235 L=150 (*315)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*280 (168)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76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*250 (139) S2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*225 (114)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*180 (88)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*160 (76)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*140 (60)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(48)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(42)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*315 (168)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4200 PI kulový kohout  168 /*280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4200 PI kulový kohout  168 /*315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/*315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/*280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76 /*160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3500 PI T-kus  168 /*280 - 168 /*280 etáž.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3500 PI T-kus  139 /*250 - 76 /*160 etáž.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3500 PI T-kus  76 /*160 - 60 /*140 etáž.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3500 PI T-kus  168 /*315 - 168 /*315 etáž.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/*280 - 88 /*180 paralel.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/*315 - 88 /*200 paralel. sig. S3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139 /*250 - 114 /*225 paralel.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114 /*225 - 114 /*225 paralel.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88 /*180 - 76 /*160 paralel.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76 /*160 - 60 /*140 paralel. sig. S2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*250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*225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*160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*140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42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*125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*(225-280) / (133-168) 2700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*(180-225) / (76-133) 2600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*(160-180) / (60-89) 2500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107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*(125-140) / (60-76) 2400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*(110-140) / (27-54) 2300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5700 PI zakončení *280  L=700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5700 PI zakončení *315  L=700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111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DNO KLENUTÉ DIN 2617 - 168,3x4,5 P265GH, ATEST 3.1 DLE EN10204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5700 PI zakončení *225  L=700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113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DNO KLENUTÉ DIN 2617 - 114,3X3,6 P265GH, ATEST 3.1 DLE EN10204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114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4310 T-klíč 19/27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115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7000 Polštářová deska 1000x2000x40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116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6602 Upevňovací tepluvzdorná páska 50 x 59 mm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117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6603 Lisovací konektory monitor. vodičů  100 Ks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118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6639 Držáky monitor. vodičů  50 ks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gridBefore w:val="1"/>
          <w:wBefore w:w="32" w:type="pct"/>
          <w:trHeight w:val="300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119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7105 zpevněná lepící páska na polštáře 50m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Before w:val="1"/>
          <w:wBefore w:w="32" w:type="pct"/>
          <w:trHeight w:val="315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3765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0000 Výstražná folie síťovaná zelená 300/5 PP, š. 34 cm, 100 m</w:t>
            </w: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56"/>
        <w:gridCol w:w="7199"/>
        <w:gridCol w:w="1249"/>
        <w:gridCol w:w="671"/>
        <w:gridCol w:w="91"/>
      </w:tblGrid>
      <w:tr w:rsidR="004E0408" w:rsidTr="004E0408">
        <w:trPr>
          <w:trHeight w:val="300"/>
        </w:trPr>
        <w:tc>
          <w:tcPr>
            <w:tcW w:w="4606" w:type="pct"/>
            <w:gridSpan w:val="3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Arial"/>
                <w:b/>
                <w:bCs/>
                <w:color w:val="000000"/>
                <w:sz w:val="23"/>
                <w:szCs w:val="23"/>
              </w:rPr>
              <w:t>ETAPA 2.1</w:t>
            </w:r>
          </w:p>
        </w:tc>
        <w:tc>
          <w:tcPr>
            <w:tcW w:w="394" w:type="pct"/>
            <w:gridSpan w:val="2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  <w:tr w:rsidR="004E0408" w:rsidTr="004E0408">
        <w:trPr>
          <w:trHeight w:val="300"/>
        </w:trPr>
        <w:tc>
          <w:tcPr>
            <w:tcW w:w="4606" w:type="pct"/>
            <w:gridSpan w:val="3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Specifikace předizolovaného potrubí </w:t>
            </w:r>
          </w:p>
        </w:tc>
        <w:tc>
          <w:tcPr>
            <w:tcW w:w="394" w:type="pct"/>
            <w:gridSpan w:val="2"/>
            <w:noWrap/>
            <w:vAlign w:val="center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  <w:tr w:rsidR="004E0408" w:rsidTr="004E0408">
        <w:trPr>
          <w:gridAfter w:val="1"/>
          <w:wAfter w:w="47" w:type="pct"/>
          <w:trHeight w:val="300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372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Název</w:t>
            </w:r>
          </w:p>
        </w:tc>
        <w:tc>
          <w:tcPr>
            <w:tcW w:w="6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Množství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MJ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323 /*560 12m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/*500 12m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/*315 12m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18° 273 /*500 12m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18° 273 /*450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323 /*560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273 /*500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/*315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*520 (323)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*500 (273)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*315 (168)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323 /*560 - 76 /*180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/*500 - 168 /*315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/*500 - 48 /*140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/*315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355 /*560 12m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323 /*500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/*450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/*280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88 /*180 6m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60 /*140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48 /*125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33 /*110 6m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323 /*500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273 /*450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88 /*180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60 /*140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32</w:t>
            </w:r>
          </w:p>
        </w:tc>
        <w:tc>
          <w:tcPr>
            <w:tcW w:w="3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48 /*125 sig. S2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*500 (323)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*450 (273)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*280 (168)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*160 (76)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*140 (60)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(48)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*(125-160)/*(125-140)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76 - 60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5500 Shrink collar TPSM 170/110 L=150  (*140)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355 /*560 - 88 /*200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355 /*560 - 60 /*160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355 /*560 - 76 /*180 paralel. sig. S3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323 /*500 - 76 /*160 paralel.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/*450 - 168 /*280 paralel.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/*450 - 48 /*125 paralel.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76 /*160 - 60 /*140 paralel.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60 /*140 - 33 /*110 paralel.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*520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*500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*450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*280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5601 Montážní koncovka CCS  *560 / 273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5601 Montážní koncovka CCS  *560 / 273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5601 Montážní koncovka CCS  *560 / 273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5601 Montážní koncovka CCS  *560 / 273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*(400-450) / (324-355) 3000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*(225-280) / (133-168) 2700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*(160-180) / (60-89) 2500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*(125-140) / (60-76) 2400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*(110-125) / (27-48) 2200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/*280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76 /*160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48 /*125 sig. S2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71</w:t>
            </w:r>
          </w:p>
        </w:tc>
        <w:tc>
          <w:tcPr>
            <w:tcW w:w="3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4200 PI kulový kohout  355 /*560 sig. S3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7000 Polštářová deska 1000x2000x40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0000 Výstražná folie síťovaná zelená 300/5 PP, š. 34 cm, 100 m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6603 Lisovací konektory monitor. vodičů  100 Ks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6639 Držáky monitor. vodičů  50 ks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gridAfter w:val="1"/>
          <w:wAfter w:w="47" w:type="pct"/>
          <w:trHeight w:val="342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37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6602 Upevňovací tepluvzdorná páska 50 x 59 mm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p w:rsidR="004E0408" w:rsidRDefault="004E0408" w:rsidP="004E0408"/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9666"/>
      </w:tblGrid>
      <w:tr w:rsidR="004E0408" w:rsidTr="004E0408">
        <w:trPr>
          <w:trHeight w:val="300"/>
        </w:trPr>
        <w:tc>
          <w:tcPr>
            <w:tcW w:w="5000" w:type="pct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Arial"/>
                <w:b/>
                <w:bCs/>
                <w:color w:val="000000"/>
                <w:sz w:val="23"/>
                <w:szCs w:val="23"/>
              </w:rPr>
              <w:t>ETAPA 2.2</w:t>
            </w:r>
          </w:p>
        </w:tc>
      </w:tr>
      <w:tr w:rsidR="004E0408" w:rsidTr="004E0408">
        <w:trPr>
          <w:trHeight w:val="300"/>
        </w:trPr>
        <w:tc>
          <w:tcPr>
            <w:tcW w:w="5000" w:type="pct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Specifikace předizolovaného potrubí </w:t>
            </w: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11"/>
        <w:gridCol w:w="7201"/>
        <w:gridCol w:w="1272"/>
        <w:gridCol w:w="682"/>
      </w:tblGrid>
      <w:tr w:rsidR="004E0408" w:rsidTr="004E0408">
        <w:trPr>
          <w:trHeight w:val="300"/>
        </w:trPr>
        <w:tc>
          <w:tcPr>
            <w:tcW w:w="2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37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Název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Množství</w:t>
            </w:r>
          </w:p>
        </w:tc>
        <w:tc>
          <w:tcPr>
            <w:tcW w:w="35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MJ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/*500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*500 (273)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/*500 - 88 /*200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/*500 - 114 /*250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/*500 - 33 /*125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*450 /630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/*450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114 /*225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88 /*180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48 /*125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42 /*125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88 /*180 6m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33 /*110 6m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*450 (323) S1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*225 (114)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*250 (114)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*180 (88)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*200 (88)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*160 (76)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(48)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(42)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*110 (33)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*125 (48)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48 - 42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*180 (88)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88 - 76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3500 PI T-kus  48 /*125 - 42 /*125 etáž.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/*450 - 88 /*180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3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/*450 - 114 /*225 paralel. sig. S2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3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114 /*225 - 42 /*125 paralel. sig. S2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32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/*450 - 33 /*110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114 /*225 - 48 /*125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88 /*180 - 48 /*125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*500 /710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*(160-180) / (60-89) 2500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*(110-125) / (27-48) 2200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*(180-225) / (76-133) 2600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*(110-125) / (27-48) 2200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4240 PI kulový kohout / 2 serv vent.  114 /*225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4240 PI kulový kohout / 2 serv vent.  88 /*180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7000 Polštářová deska 1000x2000x40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6603 Lisovací konektory monitor. vodičů  100 Ks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6602 Upevňovací tepluvzdorná páska 50 x 59 mm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15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0000 Výstražná folie síťovaná zelená 300/5 PP, š. 34 cm, 100 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p w:rsidR="004E0408" w:rsidRDefault="004E0408" w:rsidP="004E0408"/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7665"/>
        <w:gridCol w:w="2001"/>
      </w:tblGrid>
      <w:tr w:rsidR="004E0408" w:rsidTr="004E0408">
        <w:trPr>
          <w:trHeight w:val="300"/>
        </w:trPr>
        <w:tc>
          <w:tcPr>
            <w:tcW w:w="3965" w:type="pct"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3"/>
                <w:szCs w:val="23"/>
              </w:rPr>
            </w:pPr>
            <w:r>
              <w:rPr>
                <w:rFonts w:cs="Arial"/>
                <w:b/>
                <w:bCs/>
                <w:color w:val="000000"/>
                <w:sz w:val="23"/>
                <w:szCs w:val="23"/>
              </w:rPr>
              <w:t>ETAPA 3</w:t>
            </w:r>
          </w:p>
        </w:tc>
        <w:tc>
          <w:tcPr>
            <w:tcW w:w="1035" w:type="pct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  <w:tr w:rsidR="004E0408" w:rsidTr="004E0408">
        <w:trPr>
          <w:trHeight w:val="300"/>
        </w:trPr>
        <w:tc>
          <w:tcPr>
            <w:tcW w:w="3965" w:type="pct"/>
            <w:noWrap/>
            <w:vAlign w:val="center"/>
            <w:hideMark/>
          </w:tcPr>
          <w:p w:rsidR="004E0408" w:rsidRDefault="004E0408">
            <w:pPr>
              <w:spacing w:after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Specifikace předizolovaného potrubí </w:t>
            </w:r>
          </w:p>
        </w:tc>
        <w:tc>
          <w:tcPr>
            <w:tcW w:w="1035" w:type="pct"/>
            <w:noWrap/>
            <w:vAlign w:val="center"/>
            <w:hideMark/>
          </w:tcPr>
          <w:p w:rsidR="004E0408" w:rsidRDefault="004E0408">
            <w:pPr>
              <w:spacing w:after="0" w:line="276" w:lineRule="auto"/>
              <w:rPr>
                <w:szCs w:val="22"/>
                <w:lang w:eastAsia="en-US"/>
              </w:rPr>
            </w:pP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11"/>
        <w:gridCol w:w="7201"/>
        <w:gridCol w:w="1272"/>
        <w:gridCol w:w="682"/>
      </w:tblGrid>
      <w:tr w:rsidR="004E0408" w:rsidTr="004E0408">
        <w:trPr>
          <w:trHeight w:val="300"/>
        </w:trPr>
        <w:tc>
          <w:tcPr>
            <w:tcW w:w="2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37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4E0408" w:rsidRDefault="004E0408">
            <w:pPr>
              <w:spacing w:after="0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Název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Množství</w:t>
            </w:r>
          </w:p>
        </w:tc>
        <w:tc>
          <w:tcPr>
            <w:tcW w:w="35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4E0408" w:rsidRDefault="004E0408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MJ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/*500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219 /*400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/*315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12° 273 /*500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26° 168 /*315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16°  168 /*315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10° 168 /*315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9° 168 /*315 12m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273 /*500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219 /*400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34°  219 /*400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/*315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34°  168 /*315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*500 (273)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*400 (219)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*315 (168)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*(280-355)/*(280-315)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3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219 - 168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12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20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450/285 L225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/*500 - 60 /*160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219 /*400 - 168 /*315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219 /*400 - 76 /*180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/*315 - 60 /*160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/*315 - 33 /*125 paralel.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273 /*500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/*315 sig. S3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*500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*400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*315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*500 /710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*400 /560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5601 Montážní koncovka CCS  *560 / 273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*(335-400) / (219-273) 2900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*(280-334) / (168-245) 2800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273 /*450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219 /*355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168 /*280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6m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60 /*140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33 /*110 6m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12° 273 /*450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26° 168 /*280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10° 168 /*280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2005 trubka radius.  9° 168 /*280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2000 trubka 76 /*160 12m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273 /*450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219 /*355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34°  219 /*355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168 /*280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34°  168 /*280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16°  168 /*280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76 /*160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60 /*140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2500 PI ohyb  90°  33 /*110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*450 (273)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*355 (219)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*280 (168)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*160 (76)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3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*140 (60) S2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64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5022 BX spojka *110 (33)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5013 Redukční SX spojka *(280-355)/*(280-315)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1006 Redukce ocelová 219 - 168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0700 Foam pack č.  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Shrink collar TPSM 395/250 L225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273 /*450 - 60 /*140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219 /*355 - 168 /*280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/*280 - 33 /*110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/*280 - 60 /*140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3600 PI T-kus  168 /*280 - 76 /*160 paralel.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273 /*450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4220 PI kulový kohout / 1 serv vent.  168 /*280 sig. S2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*450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*355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*280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5800 Těsnicí kruh *110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*450 /630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5900 LR-chránička *355 /500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*(400-450) / (324-355) 3000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*(280-334) / (168-245) 2800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*(225-280) / (133-168) 2700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*(160-180) / (60-89) 2500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*(125-140) / (60-76) 2400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5600 Koncovka  *(110-125) / (27-48) 2200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7000 Polštářová deska 1000x2000x40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205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6603 Lisovací konektory monitor. vodičů  100 Ks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6639 Držáky monitor. vodičů  50 ks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BAL.</w:t>
            </w:r>
          </w:p>
        </w:tc>
      </w:tr>
      <w:tr w:rsidR="004E0408" w:rsidTr="004E0408">
        <w:trPr>
          <w:trHeight w:val="300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6602 Upevňovací tepluvzdorná páska 50 x 59 mm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  <w:tr w:rsidR="004E0408" w:rsidTr="004E0408">
        <w:trPr>
          <w:trHeight w:val="315"/>
        </w:trPr>
        <w:tc>
          <w:tcPr>
            <w:tcW w:w="26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37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0000 Výstražná folie síťovaná zelená 300/5 PP, š. 34 cm, 100 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0408" w:rsidRDefault="004E0408">
            <w:pPr>
              <w:spacing w:after="0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KS</w:t>
            </w:r>
          </w:p>
        </w:tc>
      </w:tr>
    </w:tbl>
    <w:p w:rsidR="004E0408" w:rsidRDefault="004E0408" w:rsidP="004E0408">
      <w:pPr>
        <w:rPr>
          <w:rFonts w:asciiTheme="minorHAnsi" w:hAnsiTheme="minorHAnsi" w:cstheme="minorBidi"/>
          <w:szCs w:val="22"/>
          <w:lang w:eastAsia="en-US"/>
        </w:rPr>
      </w:pPr>
    </w:p>
    <w:p w:rsidR="00880797" w:rsidRDefault="00880797">
      <w:pPr>
        <w:spacing w:after="0"/>
        <w:rPr>
          <w:rFonts w:ascii="Times New Roman" w:eastAsiaTheme="minorHAnsi" w:hAnsi="Times New Roman"/>
          <w:b/>
          <w:bCs/>
          <w:kern w:val="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DC4ED0" w:rsidRDefault="00DC4ED0" w:rsidP="00C318BA">
      <w:pPr>
        <w:pStyle w:val="Default"/>
        <w:pageBreakBefore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lastRenderedPageBreak/>
        <w:t xml:space="preserve">Popis území stavby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Dispoziční a provozní řešení, technologie výroby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Systém: dvoutrubkový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Technologie uložení: předizolované potrubí v bezkanálovém provedení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Přenášené médium : horká voda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teplota: 120/60°C - zimní období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75/50°C – letní období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Max. teplota: 140°C </w:t>
      </w:r>
    </w:p>
    <w:p w:rsidR="00DC4ED0" w:rsidRDefault="004E0408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tlak: 1</w:t>
      </w:r>
      <w:bookmarkStart w:id="0" w:name="_GoBack"/>
      <w:bookmarkEnd w:id="0"/>
      <w:r w:rsidR="00DC4ED0">
        <w:rPr>
          <w:color w:val="auto"/>
          <w:sz w:val="23"/>
          <w:szCs w:val="23"/>
        </w:rPr>
        <w:t xml:space="preserve">,3MPa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tlaková úroveň: PN25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Izolace PI potrubí: 1x zesílená izolace do DN125, od DN150 HV přívod- 2x zes. iz.,HV zpětná-1x zes.izolace.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Zvýšení výkonu zdrojové HV stanice ve výrobním bloku Teplárny Písek o cca 23,MW na celkový výkon 43MW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Tepelné příkony stávajících VS a KPS přepojovaných na nový horkovod Východ se oproti současnému stavu nemění.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Zatížení HV Východ </w:t>
      </w:r>
      <w:r>
        <w:rPr>
          <w:color w:val="auto"/>
          <w:sz w:val="23"/>
          <w:szCs w:val="23"/>
        </w:rPr>
        <w:t xml:space="preserve">(nově převed. z páry na HV) za odbočkou O5 </w:t>
      </w:r>
      <w:r>
        <w:rPr>
          <w:b/>
          <w:bCs/>
          <w:color w:val="auto"/>
          <w:sz w:val="23"/>
          <w:szCs w:val="23"/>
        </w:rPr>
        <w:t xml:space="preserve">23,7 MW </w:t>
      </w:r>
    </w:p>
    <w:p w:rsidR="00DC4ED0" w:rsidRPr="003F7741" w:rsidRDefault="00DC4ED0" w:rsidP="00C318BA">
      <w:pPr>
        <w:pStyle w:val="Default"/>
        <w:jc w:val="both"/>
        <w:rPr>
          <w:color w:val="auto"/>
          <w:sz w:val="23"/>
          <w:szCs w:val="23"/>
        </w:rPr>
      </w:pPr>
      <w:r w:rsidRPr="003F7741">
        <w:rPr>
          <w:color w:val="auto"/>
          <w:sz w:val="23"/>
          <w:szCs w:val="23"/>
        </w:rPr>
        <w:t xml:space="preserve">Nové horkovodní potrubí 2x DN350/520 až 2x DN40/125 bude uloženo do zemní rýhy šířky od dle výkresu vzorového příčného řezu. V obsypu kamenivo fr. 0-16mm bude uložená chránička HDPE 50 pro vedení datového kabelu Teplárny Písek a.s, typ TCEKPFLE 3x4x0,5.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 zakrytí zemních uzavíracích armatur budou v úrovni terénu použity uliční přípojkové poklopy vodárenského typu nebo budou umístěny v nových skružových typových šachtách.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Rozsah a umístění sekčních uzavíracích armatur na trasách HV byl upřesněn v součinno</w:t>
      </w:r>
      <w:r w:rsidR="003F7741">
        <w:rPr>
          <w:color w:val="auto"/>
          <w:sz w:val="23"/>
          <w:szCs w:val="23"/>
        </w:rPr>
        <w:t>sti s provozovatelem TPI.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Ve všech etapách výstavby horkovodu Východ se předpokládá využití postupně rušeného parního potrubí s doplněním provizorního parního potrubí, pro provizorní připojení stávajícího ohřevu teplé užitkové vody ve výměníkových stanicích (i rušených) tak, aby výpadky dodávek teplé vody byly v jednotlivých odběrech minimalizovány. Řešení rozsahu provizorního připojení je uvedeno v samostatném oddíle realizační PD. Použití provizorního parního vedení se předpokládá pouze pro období mimo topnou sezónu jednotlivých etap výstavby. V některých úsecích bude jako provizorní potrubí použito stávající sekundární potrubí TV,případně dočasně přeložené, aby nebránilo výstavbě nového HV (průchozí TK).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Šířka ochranného pásma horkovodního potrubí je 2,5m od obvodu vnějšího pláště potrubí.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Bezbariérové užívání stavby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nebude po dokončení překážkou v bezbariérovém užívání okolních ploch a komunikací. Během výstavby nedojde k omezení provozu zdravotně postižených v dané oblasti.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Bezpečnost při provádění stavby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se nachází ve veřejném prostranství. Zhotovitel vytvoří dle nařízení vlády č. 591/2006 Sb., o bližších minimálních požadavcích na bezpečnost a ochranu zdraví při práci na staveništích, podmínky k zajištění bezpečnosti práce při realizaci. Bezpečnost pracovníků, pracoviště a okolí bude zajištěna technickými a organizačními opatřeními. Technická opatření budou spočívat v důsledném užívání ochranných pomůcek, v označení komunikačních prostor pro dopravu stávajícího a nového materiálu, v označování prostor s nebezpečím úrazu. Organizační opatření budou spočívat v náležitém poučení pracovníků na možný výskyt nebezpečí úrazu v rámci dodavatelských prací, ve zvýšené opatrnosti pracovníků, ve vhodném časovém rozvrhu jednotlivých prací.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 hlediska dodržení optimálního technického řešení a bezpečnosti budou respektována doporučená ustanovení uvedených norem a dalších souvisících předpisů.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zemních pracích je nutno dodržet ČSN 73 3050 - Zemní práce, vč. zákonů, norem a vyhlášek s ní souvisejících ve smyslu pozdějších dodatků.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 ukládání inženýrských sítí (potrubí, kabely) je nutno dodržet: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ČSN 73 6005 – Prostorové uspořádání sítí technického vybavení,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ČSN 73 6006 – Výstražné fólie k identifikaci podzemních vedení technického vybavení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EP ESČ 33.01.02 – Kabelové kanály, šachty, mosty a prostory - výstroj, vybavení a ochranná opatření,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Nařízení vlády č. 272/2011 Sb., o ochraně zdraví před nepříznivými účinky hluku a vibrací a další zákony, normy a vyhlášky související ve smyslu pozdějších předpisů.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 prostor staveniště musí být zamezen přístup nepovolaným osobám. Dále je nutno dbát všech zákonných ustanovení uvedených v zákoně č. 133/1985 Sb., o požární ochraně, zák. č. 183/2006 Sb., zákon o územním plánování a stavebním řádu (stavební zákon), v platném znění a souvisejících předpisů.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Povinností vedoucích pracovníků je proškolení všech pracovníků, provádění zápisů do stavebního deníku a průběžná kontrola bezpečnosti práce. Na staveništi musí být kompletně vybavená lékárnička pro poskytnutí první pomoci. Viditelně budou vyvěšena telefonní čísla: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155 - Zdravotnické služba první pomoci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150 - Hasiči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Pro zajištění bezpečnosti práce při zemních výkopových pracích musí být dodrženy příslušné předpisy MSV a ČÚBP včetně vyhlášky č. 48/1982 Sb. a 192/2005sb, kterou se stanoví základní požadavky k zajištění bezpečnosti práce a technických zařízení.</w:t>
      </w:r>
    </w:p>
    <w:p w:rsidR="00B30F74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Všechny práce musí být provedeny v souladu s platnými bezpečnostními předpisy a normami zejména vyhláška č. 192/2005 Sb., nařízení vlády č. 591/2006 Sb., zákon č. 309/2006 Sb., nařízení vlády č. 362/2005 Sb., ČSN EN 287-1, ČSN 060310, ČSN 060830, ČSN 130072, ČSN 131075 a ČSN EN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806-</w:t>
      </w:r>
      <w:r w:rsidR="00B30F74">
        <w:rPr>
          <w:color w:val="auto"/>
          <w:sz w:val="23"/>
          <w:szCs w:val="23"/>
        </w:rPr>
        <w:t>1</w:t>
      </w:r>
      <w:r>
        <w:rPr>
          <w:color w:val="auto"/>
          <w:sz w:val="23"/>
          <w:szCs w:val="23"/>
        </w:rPr>
        <w:t xml:space="preserve">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 hlediska bezpečnosti práce a ochrany zdraví při práci platí příslušná ustanovení vyhlášky č. 192/2005 Sb., nařízení vlády č. 591/2006 Sb., zákon č. 309/2006 Sb., atd. o bezpečnosti práce a technických zařízení při stavebních pracích a další související normy, zákony a předpisy, týkající se obsluhy strojů a zařízení.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Bezpečnost vlastních strojů a technických zařízení je zabezpečena jejich správným konstrukčním a projekčním navržením, výrobou, montáží a vyzkoušením, dále způsobem obsluhy a údržby. Přitom budou respektovány platné příslušné ČSN a požadavky výrobců resp. dodavatelů.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montáži potrubí a při uvádění do provozu bude respektována ČSN 130020, při provozu potrubí pak ČSN 130108. dále budou respektovány příslušné stávající provozní předpisy.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svářečských pracích budou zejména dodržena všechna bezpečnostní opatření ve smyslu ČSN 050610 a ČSN 050630.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provádění montážních prací elektro musí být dodržena příslušná ustanovení norem a předpisů platných v době prováděných prací (ČSN EN 50110-1-ed.2, ČSN EN 50110-2-ed.2). Po ukončení montáží provede dodavatelská firma výchozí revizi elektrického zařízení dle ČSN 33 1500 a bude provedena odborná prohlídka. Kvalifikace pracovníků pověřených montáží, servisem, obsluhou atd. musí odpovídat požadavkům ČSN EN 50110-1-ed.2, ČSN EN 50110-2-ed.2 a vyhlášky č. 50/1978 Sb., o odborné způsobilosti v elektrotechnice.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Vzhledem k překročení počtu osobo-dnů v jednotlivých etapách, bude na stavbě působit inspektor BOZP, viz samostatný Plán BOZ při práci na staveništi , zajištěný investorem.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Základní technický popis staveb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Systém: dvoutrubkový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Technologie uložení: předizolované potrubí v bezkanálovém provedení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Přenášené médium: horká voda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teplota: 120/60°C - zimní období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75/50°C – letní období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Max. teplota: 140°C </w:t>
      </w:r>
    </w:p>
    <w:p w:rsidR="00DC4ED0" w:rsidRDefault="004E0408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tlak: 1</w:t>
      </w:r>
      <w:r w:rsidR="00DC4ED0">
        <w:rPr>
          <w:color w:val="auto"/>
          <w:sz w:val="23"/>
          <w:szCs w:val="23"/>
        </w:rPr>
        <w:t xml:space="preserve">,3MPa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tlaková úroveň: PN25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Izolace PI potrubí: 1x zesílená izolace do DN125, od DN 150 výše- HV Přívod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2x zesíl.iz.,HV Zpětná- 1x zesílená izolace. </w:t>
      </w:r>
    </w:p>
    <w:p w:rsidR="00DC4ED0" w:rsidRPr="003F7741" w:rsidRDefault="00DC4ED0" w:rsidP="00C318BA">
      <w:pPr>
        <w:pStyle w:val="Default"/>
        <w:jc w:val="both"/>
        <w:rPr>
          <w:color w:val="auto"/>
          <w:sz w:val="23"/>
          <w:szCs w:val="23"/>
        </w:rPr>
      </w:pPr>
      <w:r w:rsidRPr="003F7741">
        <w:rPr>
          <w:color w:val="auto"/>
          <w:sz w:val="23"/>
          <w:szCs w:val="23"/>
        </w:rPr>
        <w:t xml:space="preserve">Nové horkovodní potrubí 2x DN350/520 až 2x DN20/110 bude uloženo do zemní rýhy šířky od dle výkresu vzorového příčného řezu. V obsypu kamenivo fr. 0-16mm bude uložená chránička HDPE 32 pro vedení datového kabelu Teplárny Písek a.s.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 zakrytí zemních uzavíracích armatur budou v úrovni terénu použity uliční přípojkové poklopy vodárenského typu nebo budou umístěny v nových skružových typových šachtách.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Rozsah a umístění sekčních uzavíracích armatur na trasách HV byl upřesněn v součinnosti s provozovatelem TPI a.s..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Technická a technologická zařízení. Zásady řešení zařízení, potřeby a spotřeby rozhodujících médií.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Zvýšení výkonu zdrojové HV stanice ve výrobním bloku Teplárny Písek o cca 23MW na celkový výkon 43MW.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Tepelné příkony stávajících VS a KPS přepojovaných na nový horkovod Východ se oproti současnému stavu nemění.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Dojde k úpravě stávajících výměníkových stanic na horkou vodu (VS Jih2, VS M. Horákové) a instalace nových předávacích stanic (KPS), případně výměně stávajících KPS tlakově závislých za tlakově nezávislé. Uvedené úpravy VS a KPS jsou součástí projektu.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Stávající zatížení stanic: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JIH 2 0,86 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Čapkova 2,67 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17. Listopadu 5,04MW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Jih I 3,72 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Milady Horákové 4,13 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VS Kaplička I,II 4,18+2,2=6,38 MW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CELKEM 22,8MW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Požárně bezpečnostní řešení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Posouzení technických podmínek požární ochrany: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a) výpočet a posouzení odstupových vzdáleností a vymezení požárně nebezpečných prostorů,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svým charakterem nevyvolá zvýšené nebezpečí požárního rizika.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b) zajištění potřebného množství požární vody, popřípadě jiného hasiva,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svým charakterem nevyvolá zvýšené nebezpečí požárního rizika.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c) předpokládané vybavení stavby vyhrazenými požárně bezpečnostními zařízeními včetně stanovení požadavků pro provedení stavby,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svým charakterem nevyvolá zvýšené nebezpečí požárního rizika.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d) zhodnocení přístupových komunikací a nástupních ploch pro požární techniku včetně možnosti provedení zásahu jednotek požární ochrany.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neovlivní stávající poměry z hlediska požární ochrany. Během provádění stavby musí dodavatel respektovat podmínky pro trvalý přístup požární techniky pro případný zásah a zajištění nepoškození a přístupu k stávajícím hydrantům.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Zásady hospodaření s energiemi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Položení nových tepelných rozvodů nemá vliv na dodávku vody a elektrické energie do oblasti. Přechodem z páry na horkovodní zásobování dojde k úsporám na ztrátách tepelné energie.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AE488F" w:rsidRDefault="00AE488F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AE488F" w:rsidRDefault="00AE488F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Hygienické požadavky na stavby, požadavky na pracovní a komunální prostředí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Provádějící stavební firma musí negativní vlivy působící v průběhu výstavby omezit na minimum. Při výstavbě budou přijata opatření organizačního charakteru, které minimalizují vliv výstavby na okolí, zejména při provádění výkopů, bouracích prací a demontáží. Činnost strojů bude omezena na míru potřebnou pro provádění prací a upravena dle časového plánu od 7</w:t>
      </w:r>
      <w:r>
        <w:rPr>
          <w:color w:val="auto"/>
          <w:sz w:val="16"/>
          <w:szCs w:val="16"/>
        </w:rPr>
        <w:t xml:space="preserve">00 </w:t>
      </w:r>
      <w:r>
        <w:rPr>
          <w:color w:val="auto"/>
          <w:sz w:val="23"/>
          <w:szCs w:val="23"/>
        </w:rPr>
        <w:t>do 18</w:t>
      </w:r>
      <w:r>
        <w:rPr>
          <w:color w:val="auto"/>
          <w:sz w:val="16"/>
          <w:szCs w:val="16"/>
        </w:rPr>
        <w:t xml:space="preserve">00 </w:t>
      </w:r>
      <w:r>
        <w:rPr>
          <w:color w:val="auto"/>
          <w:sz w:val="23"/>
          <w:szCs w:val="23"/>
        </w:rPr>
        <w:t xml:space="preserve">hod. Za čistotu komunikací zodpovídá zhotovitel stavby.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 důvodů ochrany životního prostředí je nutné po dobu výstavby dbát zejména na: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zamezení vzniku nadměrné prašnosti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použití vhodných dopravních prostředků pro přepravu sypkých materiálů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ochrana stávající zeleně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ochranu materiálu před znehodnocením nebo poškozením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vyloučení spalování odpadů na staveništích </w:t>
      </w:r>
    </w:p>
    <w:p w:rsidR="00DC4ED0" w:rsidRDefault="00DC4ED0" w:rsidP="00C318BA">
      <w:pPr>
        <w:pStyle w:val="Default"/>
        <w:spacing w:after="3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nařízení resp. pokyny Městského úřadu Písek o dodržování čistoty ve městě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respektovat podmínky Městského úřadu Písek z hlediska omezení vlivu nadměrného hluku na staveništích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 hlediska ochrany přírody a krajiny dle zákona č. 114/1992 Sb., nedojde k porušení tohoto zákona.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Nakládání s odpady bude řešeno dle katalogu odpadů – vyhlášky MŽP ČR č. 381/2001 Sb. Odpady vzniklé při výstavbě budou zneškodněny dle zákona č. 275/2002 Sb., ve znění zákona č. 185/2001 Sb., o odpadech a o změně některých dalších zákonů a Vyhlášky Ministerstva životního prostředí č. 383/2001 Sb., o podrobnostech nakládání s odpady.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Možné odpady při stavbě: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170101-O- beton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170102-O-cihly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170107-O-směsi nebo oddělené frakce betonu, cihel, tašek a keramických výrobků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170302-O-asfaltové směsi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170504-O-zemina a kamení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170904-O-smíšené stavební a demoliční odpady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Tyto odpady mohou být využity k terénním úpravám stavby, případně uloženy na povolené skládce.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170201-O-dřevo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170202-O-sklo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170203-O-plasty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170405-O-železo a ocel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170407-O-směsné kovy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170411-O-kabely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170604-O-izolační materiály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Tyto odpady mohou být využity nebo odstraněny pouze v zařízeních k využití nebo odstranění ostatních odpadů.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Část vykopané zeminy bude použita na zásypy a nevyužitelná zemina respektive suť ze stavebních prací bude odvezena na skládku, kterou dohodne stavebník ve spolupráci s městským úřadem.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Zásady ochrany stavby před negativními účinky vnějšího prostředí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Dle podkladů z map záplavového území ve správním obvodu Jihočeského kraje se nachází staveniště mimo záplavové území.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 předmětné oblasti nehrozí sesuvy půdy, které by ohrožovaly stavbu.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Trasa horkovodu není navržena na poddolovaném území. </w:t>
      </w:r>
    </w:p>
    <w:p w:rsidR="00DC4ED0" w:rsidRDefault="00DC4ED0" w:rsidP="00C318BA">
      <w:pPr>
        <w:pStyle w:val="Default"/>
        <w:jc w:val="both"/>
        <w:rPr>
          <w:color w:val="auto"/>
        </w:rPr>
      </w:pPr>
    </w:p>
    <w:p w:rsidR="00DC4ED0" w:rsidRDefault="00DC4ED0" w:rsidP="00C318BA">
      <w:pPr>
        <w:pStyle w:val="Default"/>
        <w:pageBreakBefore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V projektové dokumentaci je zohledněna ČSN EN 1998-1:2006/Oprava2 – Navrhování konstrukcí odolných proti zemětřesení - Část 1: Obecná pravidla, seizmická zatížení a pravidla pro pozemní stavby.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 provoz tepelných sítí není vyžadován radonový průzkum.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Připojení na technickou infrastrukturu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Horkovodní potrubí HV Východ bude napojeno na již realizované horkovodní rozvody z centrální výměníkové stanice pára/ HV přímo na kotelně Teplárny písek a.s., která bude vzhledem k zvětšení zatížení HV v souvislosti s rušením parních rozvodů, rozšířena. Horkovodní rozvody bude provozovat a vlastnit Teplárna Písek, a.s.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nevyžaduje napojení na sítě ostatních správců technické infrastruktury. Stavba horkovodu po dokončení neovlivní dopravní infrastrukturu.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Dopravní řešení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a) popis dopravního řešení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Provoz bude upraven dle přechodného dopravního značení, které je odsouhlaseno pro et.1, PoliciíČR – DI , etapy2 a 3 budou před zahájením stavby aktualizovány podle požadavku DI Policie ČR.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 místě překopu vozovky budou instalovány ocelové pláty nebo přejezdové rampy patřičné únosnosti, odpovídající tonáži projíždějících vozidel v min. š. 3,5m.Rovněž pro zajištění přístupu do objektů a pro schůdnost chodníků, budou realizovány vhodné přechody výkopových rýh.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 zajištění výše uvedených požadavků bude v realizaci postupováno podle projektu DIO, který je uveden jako samostatná část..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b) napojení území na stávající dopravní infrastrukturu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po dokončení nezmění stávající dopravní infrastrukturu.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c) doprava v klidu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 ukončení stavby a odstranění přechodného dopravní značení bude provoz na pozemních komunikacích dle současného dopravního značení.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Řešení vegetace a souvisejících terénních úprav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Není předmětem stavby. Případné zásahy do zeleně během stavby budou prováděny podle požadavků odboru ŽP MěÚ Písek. Způsob řešení zeleně ve staveništi podle jednotlivých etap je uveden v samostatné části této PD.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Popis vlivů stavby na životní prostředí a jeho ochrana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a) vliv na životní prostředí – ovzduší, hluk, voda, odpady a půda,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Horkovodní rozvod je podzemní inženýrská síť pro rozvod tepla. Během výstavby a jejího provozování nedochází ke znečištění ovzduší. Jiné nové zdroje znečištění ovzduší výstavbou nového objektu nevznikají. V průběhu realizace stavby je třeba dodržet všechny zákony, normy a vyhlášky související s ochranou před nebezpečím hluku. Během výstavby musí dodavatel provést taková opatření, aby negativní vlivy působení hluku na okolní životní prostředí vyvolané průběhem stavebních prací při realizaci stavby byly minimalizovány.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b) vliv na přírodu a krajinu (ochrana dřevin, ochrana památných stromů, ochrana rostlin a živočichů apod.), zachování ekologických funkcí a vazeb v krajině,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Jedná se o stavbu v zastavěném území mimo ochranná pásma památných stromů.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budování horkovodu bude respektována ČSN 839061 – Ochrana stromů, porostů a vegetačních ploch při stavebních pracích.Při realizaci stavby bude postupováno podle pokynů OŽP MěÚ Písek, podkladem je zpracovaná část pro zeleň podle etap.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c) vliv na soustavu chráněných území Natura 2000,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Stavba horkovodu je mimo území Natura 2000.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d) návrh zohlednění podmínek ze závěru zjišťovacího řízení nebo stanoviska EIA,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Záměr nevyžaduje posouzení jejích vlivů na životní prostředí.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e) navrhovaná ochranná a bezpečnostní pásma, rozsah omezení a podmínky ochrany podle jiných právních předpisů.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 zákonu č. 458/2000 Sb., zákon o podmínkách výkonu státní správy v energetických odvětvích (energetický zákon) jsou určena ochranná a bezpečnostní pásma pro sítě přenášející energii.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Šířka ochranných pásem pro teplené vedení je vymezena svislými rovinami vedenými po obou stranách zařízení pro rozvod tepelné energie ve vodorovné vzdálenosti měřené kolmo k tomuto zařízení, která činí 2,5 m. </w:t>
      </w:r>
    </w:p>
    <w:p w:rsidR="00DC4ED0" w:rsidRDefault="00DC4ED0" w:rsidP="00C318BA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Zásady organizace výstavby </w:t>
      </w:r>
    </w:p>
    <w:p w:rsidR="00DC4ED0" w:rsidRDefault="00DC4ED0" w:rsidP="00C318BA">
      <w:pPr>
        <w:pStyle w:val="Default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a) napojení staveniště na stávající dopravní a technickou infrastrukturu,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 připojení svářeček pro montáž potrubí je nutné požádat před zahájením stavby příslušného zástupce E.ON, s.r.o. a sjednat podmínky napojení. O připojení osvětlení staveniště na stávající zařízení veřejného osvětlení ve správě Městských služeb Písek s.r.o.. je nutné požádat příslušného technika a sjednat podmínky napojení.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Připojení na zdroj vody není vzhledem k charakteru stavby potřeba.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b) ochrana okolí staveniště a požadavky na související asanace, demolice, kácení dřevin,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Při výstavbě horkovodu dojde k asanaci stávajících dřevin vysazených nad nebo v ochranném pásmu tepelného vedení. V R PD je zpracována inventarizace zeleně. Na odstraňování stromů bude vedeno správní řízení.Veškeré zásahy do zeleně mohou být prováděny pouze podle podmínek, určených odborem ŽP MěÚ Písek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Dojde k bouracím pracím v místě prostupu přípojek do objektů. Při budování horkovodu bude respektována ČSN 839061 – Ochrana stromů, porostů a vegetačních ploch při stavebních pracích.Předpokládá se náhradní výsadba dotčené zeleně mimo ochranná pásma stávajících tepelných rozvodů podle pokynů OŽP MěÚ Písek.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c) maximální zábory pro staveniště (dočasné/trvalé),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Dočasný zábor (včetně dočasných skládek potrubí): </w:t>
      </w:r>
    </w:p>
    <w:p w:rsidR="00DC4ED0" w:rsidRDefault="00DC4ED0" w:rsidP="00C318BA">
      <w:pPr>
        <w:pStyle w:val="Default"/>
        <w:jc w:val="both"/>
        <w:rPr>
          <w:color w:val="auto"/>
          <w:sz w:val="16"/>
          <w:szCs w:val="16"/>
        </w:rPr>
      </w:pPr>
      <w:r>
        <w:rPr>
          <w:color w:val="auto"/>
          <w:sz w:val="23"/>
          <w:szCs w:val="23"/>
        </w:rPr>
        <w:t>ETAPA I.: 13 113m</w:t>
      </w:r>
      <w:r>
        <w:rPr>
          <w:color w:val="auto"/>
          <w:sz w:val="16"/>
          <w:szCs w:val="16"/>
        </w:rPr>
        <w:t xml:space="preserve">2 </w:t>
      </w:r>
    </w:p>
    <w:p w:rsidR="00DC4ED0" w:rsidRDefault="00DC4ED0" w:rsidP="00C318BA">
      <w:pPr>
        <w:pStyle w:val="Default"/>
        <w:jc w:val="both"/>
        <w:rPr>
          <w:color w:val="auto"/>
          <w:sz w:val="16"/>
          <w:szCs w:val="16"/>
        </w:rPr>
      </w:pPr>
      <w:r>
        <w:rPr>
          <w:color w:val="auto"/>
          <w:sz w:val="23"/>
          <w:szCs w:val="23"/>
        </w:rPr>
        <w:t>ETAPA II.: 14 163m</w:t>
      </w:r>
      <w:r>
        <w:rPr>
          <w:color w:val="auto"/>
          <w:sz w:val="16"/>
          <w:szCs w:val="16"/>
        </w:rPr>
        <w:t xml:space="preserve">2 </w:t>
      </w:r>
    </w:p>
    <w:p w:rsidR="00DC4ED0" w:rsidRDefault="00DC4ED0" w:rsidP="00C318BA">
      <w:pPr>
        <w:pStyle w:val="Default"/>
        <w:jc w:val="both"/>
        <w:rPr>
          <w:color w:val="auto"/>
          <w:sz w:val="16"/>
          <w:szCs w:val="16"/>
        </w:rPr>
      </w:pPr>
      <w:r>
        <w:rPr>
          <w:color w:val="auto"/>
          <w:sz w:val="23"/>
          <w:szCs w:val="23"/>
        </w:rPr>
        <w:t>ETAPA III.: 6 430m</w:t>
      </w:r>
      <w:r>
        <w:rPr>
          <w:color w:val="auto"/>
          <w:sz w:val="16"/>
          <w:szCs w:val="16"/>
        </w:rPr>
        <w:t xml:space="preserve">2 </w:t>
      </w:r>
    </w:p>
    <w:p w:rsidR="00DC4ED0" w:rsidRDefault="00DC4ED0" w:rsidP="00C318BA">
      <w:pPr>
        <w:pStyle w:val="Default"/>
        <w:jc w:val="both"/>
        <w:rPr>
          <w:color w:val="auto"/>
          <w:sz w:val="16"/>
          <w:szCs w:val="16"/>
        </w:rPr>
      </w:pPr>
      <w:r>
        <w:rPr>
          <w:color w:val="auto"/>
          <w:sz w:val="23"/>
          <w:szCs w:val="23"/>
        </w:rPr>
        <w:t>Trvalý zábor: 0,0 m</w:t>
      </w:r>
      <w:r>
        <w:rPr>
          <w:color w:val="auto"/>
          <w:sz w:val="16"/>
          <w:szCs w:val="16"/>
        </w:rPr>
        <w:t xml:space="preserve">2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d) bilance zemních prací, požadavky na přísun nebo deponie zemin </w:t>
      </w:r>
    </w:p>
    <w:p w:rsidR="00DC4ED0" w:rsidRDefault="00DC4ED0" w:rsidP="00C318B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Výkopek bude uložen vedle výkopu a přebytek bude průběžně odvážen na mezideponie zhotovitele. Vybouraná suť z vozovek, a z demolic bude odvezena k recyklaci popř. na skládku určenou pro dodavatele stavby Stavebním Úřadem Písek. Zhotovitel odpovídá za likvidaci veškerých vybouraných materiálů a odpadu v rámci celé realizace stavby. </w:t>
      </w:r>
    </w:p>
    <w:p w:rsidR="00DC4ED0" w:rsidRPr="00DC4ED0" w:rsidRDefault="00DC4ED0" w:rsidP="00C318BA">
      <w:pPr>
        <w:pStyle w:val="Nadpis1"/>
        <w:numPr>
          <w:ilvl w:val="0"/>
          <w:numId w:val="0"/>
        </w:numPr>
        <w:jc w:val="both"/>
        <w:rPr>
          <w:sz w:val="24"/>
          <w:szCs w:val="24"/>
        </w:rPr>
      </w:pPr>
      <w:bookmarkStart w:id="1" w:name="_Toc425487260"/>
      <w:r w:rsidRPr="00DC4ED0">
        <w:rPr>
          <w:sz w:val="24"/>
          <w:szCs w:val="24"/>
        </w:rPr>
        <w:t>ELEKTRICKÁ ZAŘÍZENÍ</w:t>
      </w:r>
      <w:bookmarkEnd w:id="1"/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r w:rsidRPr="00DC4ED0">
        <w:rPr>
          <w:rFonts w:ascii="Times New Roman" w:hAnsi="Times New Roman"/>
          <w:b/>
          <w:sz w:val="24"/>
          <w:szCs w:val="24"/>
        </w:rPr>
        <w:t>Hlavní technické údaje: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Napěťová soustava:</w:t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>3NPE, 50Hz, 400V/TN-C-S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Napájecí napětí:</w:t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>230V, 50Hz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Napětí pro ovládání:</w:t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>230V, 50Hz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>24V, 50Hz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Max. soudobý příkon:</w:t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>cca. 250-700 W</w:t>
      </w:r>
    </w:p>
    <w:p w:rsidR="00DC4ED0" w:rsidRP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Ve smyslu normy ČSN 33 2000-4-41 ed.2 bude provedena ochrana před úrazem el. proudem následovně:</w:t>
      </w:r>
    </w:p>
    <w:p w:rsid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4ED0" w:rsidRP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4ED0" w:rsidRP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lastRenderedPageBreak/>
        <w:t>Základní ochrana před přímým dotykem:</w:t>
      </w:r>
    </w:p>
    <w:p w:rsidR="00DC4ED0" w:rsidRPr="00DC4ED0" w:rsidRDefault="00DC4ED0" w:rsidP="003F7741">
      <w:pPr>
        <w:autoSpaceDE w:val="0"/>
        <w:autoSpaceDN w:val="0"/>
        <w:adjustRightInd w:val="0"/>
        <w:spacing w:after="0"/>
        <w:ind w:left="2829" w:firstLine="709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- kryty (dle čl. 410)</w:t>
      </w:r>
    </w:p>
    <w:p w:rsidR="00DC4ED0" w:rsidRPr="00DC4ED0" w:rsidRDefault="00DC4ED0" w:rsidP="003F7741">
      <w:pPr>
        <w:autoSpaceDE w:val="0"/>
        <w:autoSpaceDN w:val="0"/>
        <w:adjustRightInd w:val="0"/>
        <w:spacing w:after="0"/>
        <w:ind w:left="2829" w:firstLine="709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- izolace (dle čl.410)</w:t>
      </w:r>
    </w:p>
    <w:p w:rsidR="00DC4ED0" w:rsidRP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Ochranné opatření:</w:t>
      </w:r>
    </w:p>
    <w:p w:rsidR="00DC4ED0" w:rsidRPr="00DC4ED0" w:rsidRDefault="00DC4ED0" w:rsidP="00C318BA">
      <w:pPr>
        <w:autoSpaceDE w:val="0"/>
        <w:autoSpaceDN w:val="0"/>
        <w:adjustRightInd w:val="0"/>
        <w:ind w:left="354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- automatickým odpojením od zdroje s ochranou při poruše ochranným pospojováním a automatickým odpojením dle čl.411. (ochrana normální dle čl.NA.3.1)</w:t>
      </w:r>
    </w:p>
    <w:p w:rsidR="00DC4ED0" w:rsidRPr="00DC4ED0" w:rsidRDefault="00DC4ED0" w:rsidP="00C318B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Doplňková ochrana</w:t>
      </w:r>
    </w:p>
    <w:p w:rsidR="00DC4ED0" w:rsidRPr="00DC4ED0" w:rsidRDefault="00DC4ED0" w:rsidP="00C318BA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Proudovými chrániči dle čl. 411.3.3 normy (doplněná dle čl. NA.3.1)</w:t>
      </w:r>
    </w:p>
    <w:p w:rsidR="00DC4ED0" w:rsidRPr="00DC4ED0" w:rsidRDefault="00DC4ED0" w:rsidP="00C318BA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>doplňující ochranné pospojování dle čl.415.2 normy. (doplněná dle čl. NA.3.1)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Vnější vlivy:</w:t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</w:r>
      <w:r w:rsidRPr="00DC4ED0">
        <w:rPr>
          <w:rFonts w:ascii="Times New Roman" w:hAnsi="Times New Roman"/>
          <w:kern w:val="0"/>
          <w:sz w:val="24"/>
          <w:szCs w:val="24"/>
        </w:rPr>
        <w:tab/>
        <w:t xml:space="preserve">Vnější vlivy (prostředí) byly stanoveny dle </w:t>
      </w:r>
    </w:p>
    <w:p w:rsidR="00DC4ED0" w:rsidRPr="00DC4ED0" w:rsidRDefault="00DC4ED0" w:rsidP="00C318BA">
      <w:pPr>
        <w:pStyle w:val="Zkladntext"/>
        <w:spacing w:line="260" w:lineRule="exact"/>
        <w:ind w:left="2836" w:firstLine="709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ČSN 332000-1 ed.2 a ČSN 332000-5-51 ed. 3.</w:t>
      </w:r>
    </w:p>
    <w:p w:rsidR="00DC4ED0" w:rsidRPr="00DC4ED0" w:rsidRDefault="00DC4ED0" w:rsidP="00C318BA">
      <w:pPr>
        <w:pStyle w:val="Zkladntext"/>
        <w:spacing w:line="260" w:lineRule="exact"/>
        <w:ind w:left="3545" w:hanging="2127"/>
        <w:jc w:val="both"/>
        <w:rPr>
          <w:rFonts w:ascii="Times New Roman" w:hAnsi="Times New Roman"/>
          <w:kern w:val="0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ab/>
        <w:t>Všechny předmětné prostory jsou z hlediska působení vnějších vlivů ve smyslu ČSN 332000-3 (tabulka v příloze 32-NM1) považovány za prostory normální.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bookmarkStart w:id="2" w:name="_Toc280186953"/>
      <w:bookmarkStart w:id="3" w:name="_Toc280257205"/>
      <w:r w:rsidRPr="00DC4ED0">
        <w:rPr>
          <w:rFonts w:ascii="Times New Roman" w:hAnsi="Times New Roman"/>
          <w:b/>
          <w:sz w:val="24"/>
          <w:szCs w:val="24"/>
        </w:rPr>
        <w:t>Rozvaděče</w:t>
      </w:r>
      <w:bookmarkEnd w:id="2"/>
      <w:bookmarkEnd w:id="3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Pro část elektro i MaR bude užito nového jednoho společného rozvaděče umístěného, u KPS. Z něho budou napájeny veškeré elektrospotřebiče. Předpokládaný elektrický příkon pro nová technologická zařízení je max.  cca 500 W.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Jako hlavní elektro přívod bude vybudován samostatný přívod elektrické energie s vlastním jištěním a s vlastním měřením spotřeby.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Nově instalované zařízení bude vodivě pospojováno a uzemněno.</w:t>
      </w:r>
    </w:p>
    <w:p w:rsidR="00DC4ED0" w:rsidRPr="00DC4ED0" w:rsidRDefault="00DC4ED0" w:rsidP="00C318BA">
      <w:pPr>
        <w:pStyle w:val="text"/>
        <w:spacing w:before="0"/>
        <w:rPr>
          <w:rFonts w:ascii="Times New Roman" w:hAnsi="Times New Roman" w:cs="Times New Roman"/>
          <w:sz w:val="24"/>
          <w:szCs w:val="24"/>
        </w:rPr>
      </w:pP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bookmarkStart w:id="4" w:name="_Toc280186957"/>
      <w:bookmarkStart w:id="5" w:name="_Toc280257209"/>
      <w:r w:rsidRPr="00DC4ED0">
        <w:rPr>
          <w:rFonts w:ascii="Times New Roman" w:hAnsi="Times New Roman"/>
          <w:b/>
          <w:sz w:val="24"/>
          <w:szCs w:val="24"/>
        </w:rPr>
        <w:t>Ochrana před mechanickým poškozením</w:t>
      </w:r>
      <w:bookmarkEnd w:id="4"/>
      <w:bookmarkEnd w:id="5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Bude zajištěna uložením kabelů do instalačních žlabů. Jednotlivě vedené kabely musí být v místech možného poškození a do výše 1,5m nad podlahou chráněny pancéřovou trubkou.</w:t>
      </w:r>
    </w:p>
    <w:p w:rsidR="00DC4ED0" w:rsidRPr="00DC4ED0" w:rsidRDefault="00DC4ED0" w:rsidP="00C318BA">
      <w:pPr>
        <w:pStyle w:val="text"/>
        <w:spacing w:before="0"/>
        <w:rPr>
          <w:rFonts w:ascii="Times New Roman" w:hAnsi="Times New Roman" w:cs="Times New Roman"/>
          <w:sz w:val="24"/>
          <w:szCs w:val="24"/>
        </w:rPr>
      </w:pP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bookmarkStart w:id="6" w:name="_Toc280186959"/>
      <w:bookmarkStart w:id="7" w:name="_Toc280257210"/>
      <w:r w:rsidRPr="00DC4ED0">
        <w:rPr>
          <w:rFonts w:ascii="Times New Roman" w:hAnsi="Times New Roman"/>
          <w:b/>
          <w:sz w:val="24"/>
          <w:szCs w:val="24"/>
        </w:rPr>
        <w:t>Kabeláž</w:t>
      </w:r>
      <w:bookmarkEnd w:id="6"/>
      <w:bookmarkEnd w:id="7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Pro kabelové rozvody jsou v projektu navrženy následující typy kabelů: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-pro napájení budou použity kabely typu CYKY.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 xml:space="preserve">Kabely budou vedeny po konstrukci kompaktní předávací stanice a případně uloženy v instalačních trubkách nebo vkládacích lištách a oceloplechových žlabech. 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bookmarkStart w:id="8" w:name="_Toc280186961"/>
      <w:bookmarkStart w:id="9" w:name="_Toc280257212"/>
      <w:r w:rsidRPr="00DC4ED0">
        <w:rPr>
          <w:rFonts w:ascii="Times New Roman" w:hAnsi="Times New Roman"/>
          <w:b/>
          <w:sz w:val="24"/>
          <w:szCs w:val="24"/>
        </w:rPr>
        <w:t>Provoz</w:t>
      </w:r>
      <w:bookmarkEnd w:id="8"/>
      <w:bookmarkEnd w:id="9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Před uvedením zařízení do provozu musí být překontrolováno. Musí být zajištěn souhlasný stav výkresové dokumentace se skutečným stavem. Revizní technik předá zprávu o výchozí revizi, bez níž nesmí být zařízení uvedeno do provozu.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Předpokladem pro řádný a trvalý provoz zařízení je správná obsluha. Osoby pověřené obsluhou a opravami musí mít kvalifikaci předepsanou normami (odpovídající stupeň kvalifikace dle vyhl. č.50/78Sb. o  odborné způsobilosti v elektrotechnice) a musí být prokazatelně seznámeni s obsluhou zařízení a s bezpečnostními předpisy. Zvláště musí být seznámeni s první pomocí při úrazech elektrickým proudem a o chování při požárech.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sz w:val="24"/>
          <w:szCs w:val="24"/>
          <w:u w:val="single"/>
        </w:rPr>
      </w:pPr>
      <w:bookmarkStart w:id="10" w:name="_Toc280186962"/>
      <w:bookmarkStart w:id="11" w:name="_Toc280257213"/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r w:rsidRPr="00DC4ED0">
        <w:rPr>
          <w:rFonts w:ascii="Times New Roman" w:hAnsi="Times New Roman"/>
          <w:b/>
          <w:sz w:val="24"/>
          <w:szCs w:val="24"/>
        </w:rPr>
        <w:t>Provozní podmínky</w:t>
      </w:r>
      <w:bookmarkEnd w:id="10"/>
      <w:bookmarkEnd w:id="11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Rozvody elektrické energie jsou uspořádány tak, aby osoba při obsluze elektrického zařízení nemohla přijít do styku s částmi s nebezpečným napětím. Nejnižší krytí elektrických předmětů je navrženo v IP30. Instalační přístroje a materiál jsou navrženy v krytí odpovídajícím stanoveným základním charakteristikám.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Doporučujeme, aby na příslušných místech byly vyvěšeny plakáty o první pomoci při úrazech elektrickým proudem. Zmíněné tabulky a plakáty nejsou součástí dodávky. Dále je nutno dodržovat všechny předpisy a pokyny uvedené v provozních předpisech.</w:t>
      </w:r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Provozovatel je povinen zajistit periodické prohlídky a čištění zařízení.</w:t>
      </w:r>
    </w:p>
    <w:p w:rsidR="00DC4ED0" w:rsidRPr="00DC4ED0" w:rsidRDefault="00DC4ED0" w:rsidP="00C318BA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bookmarkStart w:id="12" w:name="_Toc280186965"/>
      <w:bookmarkStart w:id="13" w:name="_Toc280257216"/>
      <w:r w:rsidRPr="00DC4ED0">
        <w:rPr>
          <w:rFonts w:ascii="Times New Roman" w:hAnsi="Times New Roman"/>
          <w:b/>
          <w:sz w:val="24"/>
          <w:szCs w:val="24"/>
        </w:rPr>
        <w:t>Stavební úpravy</w:t>
      </w:r>
      <w:bookmarkEnd w:id="12"/>
      <w:bookmarkEnd w:id="13"/>
    </w:p>
    <w:p w:rsidR="00DC4ED0" w:rsidRPr="00DC4ED0" w:rsidRDefault="00DC4ED0" w:rsidP="00C318BA">
      <w:pPr>
        <w:pStyle w:val="text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C4ED0">
        <w:rPr>
          <w:rFonts w:ascii="Times New Roman" w:hAnsi="Times New Roman" w:cs="Times New Roman"/>
          <w:sz w:val="24"/>
          <w:szCs w:val="24"/>
        </w:rPr>
        <w:t>Drobné stavební úpravy budou provedeny podle pokynů vedoucího elektromontéra přímo na stavbě.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4ED0" w:rsidRPr="00C318BA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  <w:r w:rsidRPr="00DC4ED0">
        <w:rPr>
          <w:rFonts w:ascii="Times New Roman" w:hAnsi="Times New Roman"/>
          <w:b/>
          <w:sz w:val="24"/>
          <w:szCs w:val="24"/>
        </w:rPr>
        <w:t>Požadavky na hl. přívody, el. měrná místa jednotlivých předávacích stanic a KPS: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 xml:space="preserve">Zřizování nových odměrných míst (u E.ON Distribuce) si bude zařizovat investor Teplárna Písek a.s.  </w:t>
      </w:r>
    </w:p>
    <w:p w:rsidR="00DC4ED0" w:rsidRPr="00DC4ED0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kern w:val="0"/>
          <w:sz w:val="24"/>
          <w:szCs w:val="24"/>
        </w:rPr>
        <w:t>Teplárna Písek a.s. se nadále postará o položení hlavního přívodního kabelu mezi rozvaděčem  MaR pro stanice a elektroměrovou skříní, dimenze kabelu je uvažována na všech předávacích stanicích a stanicích KPS kabelem typu CYKY-J 5x2,5.</w:t>
      </w:r>
    </w:p>
    <w:p w:rsidR="00EF4682" w:rsidRPr="00C318BA" w:rsidRDefault="00DC4ED0" w:rsidP="00C318BA">
      <w:pPr>
        <w:pStyle w:val="Zkladntext"/>
        <w:spacing w:line="260" w:lineRule="exact"/>
        <w:jc w:val="both"/>
        <w:rPr>
          <w:rFonts w:ascii="Times New Roman" w:hAnsi="Times New Roman"/>
          <w:sz w:val="24"/>
          <w:szCs w:val="24"/>
        </w:rPr>
      </w:pPr>
      <w:r w:rsidRPr="00DC4ED0">
        <w:rPr>
          <w:rFonts w:ascii="Times New Roman" w:hAnsi="Times New Roman"/>
          <w:sz w:val="24"/>
          <w:szCs w:val="24"/>
        </w:rPr>
        <w:t xml:space="preserve">Na všech KPS bude v rozvaděči podružný elektroměr, bez rozdílu zda se jedná o SBD nebo DBS. </w:t>
      </w:r>
      <w:r w:rsidRPr="00DC4ED0">
        <w:rPr>
          <w:rFonts w:ascii="Times New Roman" w:hAnsi="Times New Roman"/>
          <w:b/>
          <w:sz w:val="24"/>
          <w:szCs w:val="24"/>
        </w:rPr>
        <w:t>Všechny elektroměry budou metrologicky ověřen</w:t>
      </w:r>
      <w:r w:rsidR="00C318BA">
        <w:rPr>
          <w:rFonts w:ascii="Times New Roman" w:hAnsi="Times New Roman"/>
          <w:b/>
          <w:sz w:val="24"/>
          <w:szCs w:val="24"/>
        </w:rPr>
        <w:t>y.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b/>
          <w:bCs/>
          <w:sz w:val="23"/>
          <w:szCs w:val="23"/>
        </w:rPr>
      </w:pPr>
      <w:r w:rsidRPr="00F94551">
        <w:rPr>
          <w:b/>
          <w:bCs/>
          <w:sz w:val="23"/>
          <w:szCs w:val="23"/>
        </w:rPr>
        <w:t>Rozšíření HVS V TPI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Přestavba stávající HVS JIH pára/ horká voda o výkonu 20MW na zvýšení výkonu o 23MW.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>Stavba bude probíhat ve stávajícím objektu HVS ve výrobním bloku TPi, kde je možnost skladování materiálu v areálu teplárn</w:t>
      </w:r>
      <w:r w:rsidR="003F7741">
        <w:rPr>
          <w:sz w:val="23"/>
          <w:szCs w:val="23"/>
        </w:rPr>
        <w:t>y po dohodě s provozem TPi.</w:t>
      </w:r>
    </w:p>
    <w:p w:rsidR="00FC56F9" w:rsidRPr="00F94551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Přístup na staveniště </w:t>
      </w:r>
    </w:p>
    <w:p w:rsidR="00FC56F9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Pro dopravu většího zařízení bude použit hlavní vstup plechovými vraty budovy s přístupem po příjezdu ze silnice přes vrátnici teplárny. Pro vstup osob je k dispozici tentýž vstup ocelovými vraty výrobního bloku. Stavbou bude dotčena HVS a přilehlé strojovny podlaží +/- 0,0; +6,5 a+23,00 m, místní komunikace areálu TPi a travnatá plocha před budovou.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Napojení staveniště na energie a sítě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V objektu stávající HVS je možno, po projednání podmínek s provozovatelem TPi a.s., pro realizaci využití připojení na elektrickou energii a vodovod pro potřeby realizace stavby.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Skladování a volné plochy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Skladování drobného zařízení je možné přímo v objektu HVS. Pro skladování větších částí (potrubí, nádrže, apod.) bude možno použít volné plochy kolem objektu, po projednání podmínek s provozem TPi a.s. pro toto dočasné využití ploch, případně částí skladů teplárny.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Mechanizační prostředky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Uvnitř stavby budou použity běžné prostředky malé stavební mechanizace, pro montáž potrubí, konzol a závěsů se předpokládá použití lešení v rozsahu podle vybraného dodavatele, s </w:t>
      </w:r>
      <w:r>
        <w:rPr>
          <w:sz w:val="23"/>
          <w:szCs w:val="23"/>
        </w:rPr>
        <w:t>p</w:t>
      </w:r>
      <w:r w:rsidRPr="00F94551">
        <w:rPr>
          <w:sz w:val="23"/>
          <w:szCs w:val="23"/>
        </w:rPr>
        <w:t xml:space="preserve">ředpokladem využití </w:t>
      </w:r>
      <w:r w:rsidRPr="00F94551">
        <w:rPr>
          <w:sz w:val="23"/>
          <w:szCs w:val="23"/>
        </w:rPr>
        <w:lastRenderedPageBreak/>
        <w:t>stávajících konzol a závěsů. Nové závěsy a konzoly budou uchyceny na nosné ocelové konstrukci haly výrobního bloku</w:t>
      </w:r>
      <w:r>
        <w:rPr>
          <w:sz w:val="23"/>
          <w:szCs w:val="23"/>
        </w:rPr>
        <w:t xml:space="preserve">. </w:t>
      </w:r>
      <w:r w:rsidRPr="00F94551">
        <w:rPr>
          <w:sz w:val="23"/>
          <w:szCs w:val="23"/>
        </w:rPr>
        <w:t>Podle skutečně dodaného typu výměníku 23MW bude s vybraným dodavatelem upřesněna velikost prostupu pro výměník podlahou podlaží +</w:t>
      </w:r>
      <w:r>
        <w:rPr>
          <w:sz w:val="23"/>
          <w:szCs w:val="23"/>
        </w:rPr>
        <w:t>6,5m</w:t>
      </w:r>
      <w:r w:rsidRPr="00F94551">
        <w:rPr>
          <w:sz w:val="23"/>
          <w:szCs w:val="23"/>
        </w:rPr>
        <w:t xml:space="preserve">, jeho uložení patek na upravené nosné konstrukci prostupu a podle výšky výměníku i postup jeho montáže.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Specifické podmínky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Staveniště se nachází uvnitř výrobního bloku TPi a.s. Z toho vyplývá nutnost dodržování předpisů a vyhlášek souvisejících s omezením negativních vlivů stavební činnosti na provoz tohoto zdroje Veškerá činnost dodavatele musí být předem projednána a schválena zástupcem provozu TPi a.s., zejména způsob a délka odstávek jak parního, tak horkovodního okruhu.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Bezpečnost a ochrana zdraví pracovníků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Výstavba bude prováděna ve smyslu platných norem, viz samostatný oddíl.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Při realizaci stavby musí dodavatel stavebních a montážních prací dodržovat vyhlášku ČÚBP č. 324/90 Sb., vyhlášku 207/1991, kterou se doplňuje vyhl. Českého úřadu bezpečnosti práce č.48/1982 a další normy a předpisy pro provádění stavebních a montážních prací včetně předpisů výrobců jednotlivých zařízení.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Pro konkrétní stavbu musí dodavatel věnovat zvýšenou pozornost: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vybavení pracovníků ochrannými prostředky pro práci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řádnému osvětlení pracoviště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zajištění proti pádu osob (lešení, prohloubená část uvnitř objektu)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svařování spojů potrubí – práce svářečské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>- předání jednotlivých částí zařízení provozem TPi pro předem ohlášené práce na zařízení dodavateli. Po skončení prací pak předání uprav</w:t>
      </w:r>
      <w:r w:rsidR="003F7741">
        <w:rPr>
          <w:color w:val="auto"/>
          <w:sz w:val="23"/>
          <w:szCs w:val="23"/>
        </w:rPr>
        <w:t>eného zařízení provozu TPi.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Elektrická zařízení umístěná na místech veřejně přístupných musí být opatřena bezpečnostními tabulkami podle ČSN ISO 3864 upozorňující na nebezpečí úrazu elektřinou. Označení není nutné v případech, kdy se jedná o el. zařízení umístěná tak, že je k těmto zařízením umožněn přístup jen pracovníkům s příslušnou elektrotechnickou kvalifikací, kteří jsou určeni k činnosti na těchto zařízeních.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Pracovníci musí být seznámeni s požárními směrnicemi a s provozními pravidly. Manipulace s el. zařízením při požáru se řídí dle ČSN 34 3085 a dle dalších souvisejících předpisů.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Proškolení BOZ všech dotčených pracovníků dodavatele provozem TPi musí být provedeno před zahájením prací s protokolárním potvrzením.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Nakládání s odpady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Původcem odpadů je stavební dodavatelská firma a je povinna jednat podle zákona č.185/2001 Sb. o odpadech. Odpad vznikající při stavební činnosti musí být původcem zařazen podle § 5 a 6 a dále musí být postupováno zejména podle § 16 zákona č. 185/2001 Sb. Původce odpadů zařadí odpad podle vyhl. č. 381/2001 Sb. – Katalog odpadů a seznamy odpadů. Nakládání s odpady pak bude prováděno v souladu s vyhláškou 383/2001 Sb.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Stavební pevný odpad (beton, cihly) vzniklý při stavebních a bouracích pracích bude likvidován odvozem na skládku.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Odpady musí být shromažďovány odděleně podle § 5 vyhl.383/2001 Sb. a likvidovány odpovídajícím způsobem. Za likvidaci je zodpovědný zhotovitel díla (dodavatel prací) – původce odpadů. Náklady na zneškodnění odpadů – hradí zhotovitel stavby. Přitom musí být postupováno podle § 45 a 46 zákona č. 185/2001 Sb.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Potvrzení o likvidaci odpadů bude doloženo zhotovitelem díla při předávce.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3F7741" w:rsidRDefault="003F7741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3F7741" w:rsidRDefault="003F7741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3F7741" w:rsidRDefault="003F7741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lastRenderedPageBreak/>
        <w:t xml:space="preserve">Specifikace a zatřídění odpadů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Kód Kategorie Název Využití Odstranění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Vyhl. 381/2001 Sb. zákon č. 185/2001 Sb.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05 04 O Zemina, kamenivo-přebytek D1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02 01 O Dřevo R1 D10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15 01 01 O Papírové a lepenkové obaly R1 D10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15 01 02 O Plastové obaly – PE fólie R1 D10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01 01 O Beton – vybouraný R5 D1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01 02 O Cihly – omítky R5 D1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04 05 O Železný šrot R4 -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06 04 O Ostatní izolační materiál - D1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03 01 N Asfalty z vozovek R3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08 01 11 N Obaly od barev a ředidel - D5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15 02 02 N Textil znečištěný - D5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17 02 04 N Plastové obaly znečištěné D5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Původce odpadů je povinen uvedený seznam odpadů upravovat podle konkrétních použitých materiálů a technologických postupů.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Odstranění a případné využití nebezpečných odpadů (N) musí být provedeno odbornou oprávněnou organizací podle § 12, 14 a 17 zákona č.185/2001 Sb.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Vliv provádění stavby na životní prostředí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Vlastní provádění všech prací bude mít dočasný vliv na zhoršení prostředí hlavně zvýšenou hlučností a prašností. Omezení těchto vlivů lze docílit rychlou výstavbou. Dodržování veškerých bezpečnostních a hygienických předpisů, celé staveniště udržovat v čistotě a pořádku.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Po ukončení všech stavebně-montážních prací se uvedou do původního stavu narušené povrchy na všech podlažích výrobního bloku.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Stavba bude prováděna v souladu s Nařízením vlády č. 272/2011 Sb. tak, aby nebyly překročeny nejvyšší přípustné hladiny akustického hluku v době od 7,00 do 21,00 hodin.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Požární ochrana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color w:val="auto"/>
          <w:sz w:val="23"/>
          <w:szCs w:val="23"/>
        </w:rPr>
        <w:t>Rozšíření HVS nevede k zásahům do stávajících požárních úseků výrobního bloku ani přilehlých objektů. Přestavbou HVS nedojde ke změně ve stávajících přístupových cestách a zařízeních na protipožární zásah. Při provádění prací může dojít k časově omezenému ztížení přístupu do některých míst. Proto budou při provádění prací komunikace udržovány v průjezdném stavu pro mobilní požární techniku. Provozní skládky materiálu musí respektovat požadavky na přístup požární techniky k budovám.</w:t>
      </w:r>
      <w:r>
        <w:rPr>
          <w:color w:val="auto"/>
          <w:sz w:val="23"/>
          <w:szCs w:val="23"/>
        </w:rPr>
        <w:t xml:space="preserve"> </w:t>
      </w:r>
      <w:r w:rsidRPr="00F94551">
        <w:rPr>
          <w:sz w:val="23"/>
          <w:szCs w:val="23"/>
        </w:rPr>
        <w:t xml:space="preserve">Nedochází ke kolizím s požárními hydranty.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Zásobování požární vodou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Venkovními odběrnými místy jsou stávající hydranty. Realizací stavby se nároky na požární vodu oproti stávajícímu stavu nezmění. Při pracích musí být dbáno, aby hydranty nebyly poškozeny a byl k nim zachován přístup. V případě porušení hydrantu musí být oprava provedena neprodleně a poškození oznámeno jejich správci.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Ostatní protipožární opatření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Mimo uvedené zásady provozuschopnosti stávajících hydrantů, průjezdnosti komunikací a zajištění přístupu k objektům, musí být dodržovány bezpečnostní opatření při svářečských pracích. Při sváření a rozbrušování kovů musí být odstraněny z dosahu všechny hořlavé látky.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Při sváření plamenem musí být dodrženy ustanovení normy ČSN 05 0610, bezpečnostní předpisy pro sváření a řezání plamenem. Přístupy a napojení na komunikace musí být udržovány v průjezdném stavu pro mobilní požární techniku. Instalace a provoz zařízení staveniště a provozní skládky materiálu musí respektovat požadavky na přístup požární techniky k budovám.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lastRenderedPageBreak/>
        <w:t xml:space="preserve">Nedochází ke kolizím s požárními hydranty.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Střežení staveniště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Vlastní objekt upravované VS má provozovatel zajištěn proti vniknutí nepovolaných osob vlastním bezpečnostním systémem. Dodavatel stavby musí využití tohoto systému během stavby projednat s provozovatelem a přizpůsobit svoji činnost provozovatelem stanoveným podmínkám pro přístup do objektu HVS. Podmínky musí být dohodnuty před předáním staveniště. </w:t>
      </w:r>
    </w:p>
    <w:p w:rsidR="00FC56F9" w:rsidRDefault="00FC56F9" w:rsidP="00FC56F9">
      <w:pPr>
        <w:pStyle w:val="Default"/>
        <w:rPr>
          <w:b/>
          <w:bCs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Provádění prací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Technický popis prací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b/>
          <w:bCs/>
          <w:sz w:val="23"/>
          <w:szCs w:val="23"/>
        </w:rPr>
        <w:t xml:space="preserve">Účel a rozsah stavby </w:t>
      </w:r>
    </w:p>
    <w:p w:rsidR="00FC56F9" w:rsidRPr="00F94551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Předmětem projektu je rozšíření¨stávající HVS pára/voda spočívající v doplnění jednoho stojatého výměníku pára/HV o výkonu 23MW, v souvislosti s přechodem z páry na horkou vodu v oblasti budovaného horkovodu Východ. Zdrojová horkovodní výměníková stanice (dále HVS) slouží k transformaci tepla z páry do HV centrálního zdroje Teplárny Písek. Rozšířením HVS se nezmění účel HVS, doplnění technologie HVS souvisí s přechodem na primární medium horkou vodu. </w:t>
      </w:r>
    </w:p>
    <w:p w:rsidR="00FC56F9" w:rsidRDefault="00FC56F9" w:rsidP="00FC56F9">
      <w:pPr>
        <w:pStyle w:val="Default"/>
        <w:rPr>
          <w:sz w:val="23"/>
          <w:szCs w:val="23"/>
        </w:rPr>
      </w:pPr>
      <w:r w:rsidRPr="00F94551">
        <w:rPr>
          <w:sz w:val="23"/>
          <w:szCs w:val="23"/>
        </w:rPr>
        <w:t xml:space="preserve">Rozšíření HVS bude probíhat mimo topnou sezónu při minimálním omezení dodávek HV do sítě CZT. </w:t>
      </w:r>
    </w:p>
    <w:p w:rsidR="00FC56F9" w:rsidRDefault="00FC56F9" w:rsidP="00FC56F9">
      <w:pPr>
        <w:pStyle w:val="Default"/>
        <w:rPr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Technické podmínky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Strojní část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Zařízení: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Doplnění jednoho stojatého výměníku pára/HV o výkonu 23MW do stávající stanice se dvěma stojatými výměníky (ZO a ŠO výr. PBS) o celkovém výkonu 20 MW.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Parametry páry a primárního okruhu: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Nový výměník bude napojen na parní potrubí pro město DN 400 z parního rozdělovače RO2, přetlak 8 bar, teplota 200°C.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i/>
          <w:iCs/>
          <w:color w:val="auto"/>
          <w:sz w:val="23"/>
          <w:szCs w:val="23"/>
        </w:rPr>
        <w:t>Nový stojatý výměník 23 MW</w:t>
      </w:r>
      <w:r w:rsidRPr="00F94551">
        <w:rPr>
          <w:i/>
          <w:iCs/>
          <w:color w:val="auto"/>
          <w:sz w:val="23"/>
          <w:szCs w:val="23"/>
        </w:rPr>
        <w:t xml:space="preserve">: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Plášť: pára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8 bar př., 200°C , max.33,7t/hod, tlak. ztráta do 0,2 bar,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max. provozní přetlak + 13bar, max. prov. teplota 250°C,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od 40% výk, níže uzavírá ERV páry, </w:t>
      </w:r>
      <w:r w:rsidRPr="00F94551">
        <w:rPr>
          <w:b/>
          <w:bCs/>
          <w:color w:val="auto"/>
          <w:sz w:val="23"/>
          <w:szCs w:val="23"/>
        </w:rPr>
        <w:t>kondenzá</w:t>
      </w:r>
      <w:r w:rsidRPr="00F94551">
        <w:rPr>
          <w:color w:val="auto"/>
          <w:sz w:val="23"/>
          <w:szCs w:val="23"/>
        </w:rPr>
        <w:t xml:space="preserve">t 90°C,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výkon od 100% do cca 40% řízen ERV pro zimní a letní provoz,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z odvětrané nádrže 6,3m3 přečerpáván novými KČ ( 2x KČ Q=38m3/hod, H=50m, motor N=11 kW 3x410V,1x 100% rezerva).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Protože se o příkon nového výměníku (max. 33,7t/h) sníží dodávka páry do města, musí být stávající měřící clona INMAT přemístěna za odbočku páry pro nový výměník a TPi předá novou měřící clonu pro namontování do měřícího úseku o zmenšené dimenzi mezi redukcemi na DN200.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Kondenzát bude přímo ve výměníku dochlazen na 90°C, odpovídající teplotě kondenzátu ze stávajících výměníků za chladičem kondenzátu a přečerpáván z nové sběrné odvětrané nádrže kondenzátu 6,3m3 novými kondenzátními čerpadly do napájecí nádrže (+105°C/0,12MPa) na podlaží +23 m, nebo vracen do CHÚV při odstávce kotlů zdroje a zásobování HVS párou z města.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Trubkový svazek: horká voda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120/60°C, max.160°C, prov. přetl. 14 bar, max. 19 bar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Průtok 328,8 t/hod (340,3m3/hod),, tlak. ztráta do 0,5bar,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Nový PV DN100/DN150, ot. př. 1,6 MPa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Parametry horkovodu a sekundárního okruhu: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Výpočtové (konstrukční) parametry: teplota: 145°C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tlak PN16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Provozní (návrhové) parametry: teplotní spád: zima 120/60°C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léto 75/50°C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max. provozní tlak 1,3MPa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lastRenderedPageBreak/>
        <w:t xml:space="preserve">Oběhová HV čerpadla: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>Stávající OČ pro zimní provoz budou ponechána na místě a využita pro budoucí letní provoz, nově budou instalována dvě HV čerpadla pro konečný výkon HVS (Q= 630m3/hod, H= 60m, N=160 kW, 1x 100% záloha).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P</w:t>
      </w:r>
      <w:r w:rsidRPr="00F94551">
        <w:rPr>
          <w:b/>
          <w:bCs/>
          <w:color w:val="auto"/>
          <w:sz w:val="23"/>
          <w:szCs w:val="23"/>
        </w:rPr>
        <w:t xml:space="preserve">lnící čerpadlo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Podle požadavku provozu TPi instalováno 1x nové plnící čerpadlo HV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(Q=50 m3/hod, H=30m, N=5,5 kW/3x400V)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Doplňovací čerpadlo HV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Jedno stávající dopl. čerpadlo bude nahrazeno novým (Q= 11,6 m3/hod,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H= 110m,N=5,5kW/400V)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>Úroveň neutrálního bod</w:t>
      </w:r>
      <w:r w:rsidRPr="00F94551">
        <w:rPr>
          <w:color w:val="auto"/>
          <w:sz w:val="23"/>
          <w:szCs w:val="23"/>
        </w:rPr>
        <w:t xml:space="preserve">u řízena stávajícím systémem MaR (0,8 MPa)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Vzhledem k použití provizorní KVS pára/HV v první etapě pro VS 17. Listopadu, zůstane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 1. etapě realizace poměr dodávky tepla ze zdroje v páře a HV zachován na stávající úrovni,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a není tudíž nutné zprovozňovat nový výměník 23 MW a nová HV oběhová čerpadla.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Horkovod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Potrubí zpátečky horkovodu bude ze sběrače DN600 (podl +/- 0,0) na sání OČ ve stávající trase zesíleno na DN400. Potrubí HV mezi OČ a stávajícími výměníky (ZO,ŠO) zůstane ponecháno, nový výměník bude na vstupní hrdlo připojen ze strany výtlaku nových OČ.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Výstupní hrdlo nového výměníku bude připojeno na stávající hrdlo HV rozdělovače DN250 po doplnění UK250/16, ze kterého je vyvedena stávající odbočka přípojky DN80 s uzávěry pro novou horkovodní centrální KVS areálu teplárny.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Vývod HV do města 2x DN350 zůstává stávající.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PROVIZORIUM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Pro omezení doby bez dodávky tepla horkovodem, je možné podobu výměny potrubí mezi sběračemHV a sáním OČ na DN 400, instalovat provizorní zpětné HV potrubí DN200 ze stáv. hrdla s odbočkou pro KVS areálu TPI k jednomu ponechávanému OČ HV a přes stávající výměníky zajišťovat dodávky tepla do horkovodní sítě.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Vzhledem k velice obtížným prostorovým poměrům bude o instalaci provizoria a jeho trase rozhodnuto na společném jednání s provozem TPI, vybraným dodavatelem a případně projektantem.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NÁTĚRY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Veškerá nová ocelová zařízení, ocelové konstrukce a potrubí budou natřeny nátěrem odpovídající teplotě zařízení. Opraveny budou i poškozené nátěry v místě napojení.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POTRUBNÍ ROZVODY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Veškeré potrubní rozvody páry a horkovodu budou provedeny z ocelového potrubí: bezešvé nebo spirál. svař. 11353.1, případně odpovídající DIN. Kondenzát – mat. 11353 (DIN), bezešvé nebo spirál. svařované. Uložení potrubí na konzolách ,objímkách a závěsech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uchycených na I nosnících v podlaze podlaží +6,5m, případně na stojkách při využití stávajících konzol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TEPELNÉ IZOLACE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Izolovány budou veškeré potrubní rozvody páry horkovodu a kondenzátu, mimo odvzdušňovací potrubí.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Tloušťky izolací: viz výkaz výměr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Vynucené demontáže stávajícího zařízení </w:t>
      </w:r>
    </w:p>
    <w:p w:rsidR="00FC56F9" w:rsidRPr="00F94551" w:rsidRDefault="00FC56F9" w:rsidP="00FC56F9">
      <w:pPr>
        <w:pStyle w:val="Default"/>
        <w:spacing w:after="27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Demontáže stávajícího parního potrubí v nutném rozsahu </w:t>
      </w:r>
    </w:p>
    <w:p w:rsidR="00FC56F9" w:rsidRPr="00F94551" w:rsidRDefault="00FC56F9" w:rsidP="00FC56F9">
      <w:pPr>
        <w:pStyle w:val="Default"/>
        <w:spacing w:after="27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Demontáže stávajícího horkovodního potrubí v nutném rozsahu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- Úpravy stávajících závěsů potrubí v souvislosti s instalací nového výměníku a nového potrubí v okolí nových OČ HV, KČ, plnícího a doplňovacího čerpadla. A HV rozdělovače a sběrače.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lastRenderedPageBreak/>
        <w:t xml:space="preserve">Popis úprav stávající technologie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Funkční řešení rozšíření HVS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Zásadní funkční a dispoziční řešení zdrojové stanice je patrné ze schématu a dispozice HVS – viz výkresová část dokumentace.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Soupis norem, vyhlášek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9692-1 (050025) Svařování oceli ručně obloukovým svařováním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5817 (050110) Určování stupňů jakosti.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15607 (050311) Stanovení a kvalifikace postupů svařování.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15609-1-2 (050312) Stanovení postupů pro svařování elektrickým obloukem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a plamenem.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050610 Bezpečnostní předpisy pro sváření a řezání plamenem.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050630 Bezpečnostní předpisy pro sváření elektrickým obloukem.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287-1 (050711) Zkoušky svářečů, oceli, tavné svařování.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1435 (051150) Nedestruktivní zkoušení svarů.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970 (051180) Nedestruktivní zkoušení svarů, vizuální metoda.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544 (055001) Přídavné materiály na svařování. Dodávky.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060310 Tepelné soustavy v budovách – projektování a montáž (8/2014)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060830 Tepelné soustavy v budovách-zabezpečovací zařízení (8/2014)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130010 Potrubí. Jmenovité tlaky a teploty.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130020 Návod na využívání postupů schody.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13480 (130020) Kovová průmyslová potrubí.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130072 Označování potrubí dle provozní tekutiny.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130101 Bezpečnostní technika. Potrubí pro páru a horkou vodu.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130104 Potrubí pro páru a horkou vodu. Dokumentace.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130108 Provoz a údržba potrubí. Technické předpisy.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130420 Povrchová ochrana potrubí pro převoz a skladování.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131075 Úprava konců součástí potrubí pro svařování.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131500 Šrouby a matice pro přírubové spoje potrubí.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133041 Určování stavební délky armatur.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133060-1-2-3 Armatury průmyslové, technické předpisy.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1779 (015059) Nedestruktivní zkoušení. Kritéria pro volbu zkoušky těsnosti.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12517 (051178) Radiografické zkoušení svarů, stupně přípustnosti.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10204 Kovové výrobky. Druhy dokumentů kontroly.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ČSN EN 13480-5 Kovová průmyslová potrubí – kontrola a zkoušení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Nařízení vlády 378/2001 Požadavky na bezpečný provoz a používání strojů, technických zařízení, přístrojů a nářadí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Vyhláška 50/1978 Odborná způsobilost v elektrotechnice </w:t>
      </w:r>
    </w:p>
    <w:p w:rsidR="00FC56F9" w:rsidRDefault="00FC56F9" w:rsidP="00FC56F9">
      <w:pPr>
        <w:pStyle w:val="Default"/>
        <w:rPr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Požadavky na ostatní profese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Stavební část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1) Zřízení prostupu cca Ø 110 v podlaze + 6,50 m pro nový výměník (Ø 800 bez izolace). Před prostupem nutno přemístit nebo upravit závěsy a konzoly stávajícího potrubí. Potom nutno doplnit výměnu nosníků I380 pro patky nového výměníku podle skutečně dodaného typu a upevnění podlahy mimo prostup výměníku.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2) Stejným způsobem jako ad1 zřídit prostup cca Ø 500 pro parní potrubí do nového výměníku.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3) Zřízení prostupů pro potrubí vyváděné obvodovým pláštěm do volného prostoru. Přesnou polohu určí pracovník montáže potrubí podle skutečného vedení trubek na stavbě. Po montáži potrubí budou prostupy začištěny. </w:t>
      </w: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Default="00FC56F9" w:rsidP="00FC56F9">
      <w:pPr>
        <w:pStyle w:val="Default"/>
        <w:rPr>
          <w:b/>
          <w:bCs/>
          <w:color w:val="auto"/>
          <w:sz w:val="23"/>
          <w:szCs w:val="23"/>
        </w:rPr>
      </w:pP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lastRenderedPageBreak/>
        <w:t xml:space="preserve">MaR, EI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1) Připojení a ovládání motorů nových plnících a doplňovacích, nových oběhových a kondenzátních čerpadel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2) Regulace výstupní teploty z nového výměníku pára-voda v závislosti na venkovní teplotě (zima 120/60°C, léto 80-75/50°C), křivky sladit s regulací stávajících výměníků (ZO+ŠO). Pro 100 až cca 40 % výkonu – ERV na výstupu kondenzátu, od 40 % níže pak uzavírá přívod páry do výměníku 23 MW.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ERV kondenzát (kv dle MaR)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ERV pára-voda (kv dle MaR)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3) Pro regulaci nového plnicího čerpadla (Q=50m3/h, H=30 m, N=5,5 kW) v největší míře využít stávající regulaci pro řízení původního plnicího čerpadla (N=5,5 kW).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4) Pro regulaci nového doplňovacího čerpadla se zvýšeným výkonem a příkon motoru 5,5 kW se použije stávající řízení, pokud se v provozu ukáže, že stávající ERV DN 25/40 nestačí, počítat s jeho výměnou za DN 32 (40)/40.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5) Řízení nových kondenzátních čerpadel (Q=38 m3/h, H=50 m, N=11 kW 3x412 V (1x100 % rezerva) bude od hladiny ve sběrné KN 6,3 m3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6) Rozběh a řízení nových OČ (Q=631 m3/h, H=60 m, N=160 kW/3x400V) pro zimní provoz se společným frekvenčním měřičem, 1 čerpadlo je 100% záloha. Stávající OČ pro zimní provoz budou ponechána ve funkci pro letní provoz. V přechodné době (I.etapa výstavby HV Východ) budou pokrývat i zimní provoz.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7) Uzemnění nového zařízení.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color w:val="auto"/>
          <w:sz w:val="23"/>
          <w:szCs w:val="23"/>
        </w:rPr>
        <w:t xml:space="preserve">8) Podle potřeby drobné úpravy stáv. zářivkového osvětlení na podlaží ± 0,0 a + 6,5m. </w:t>
      </w:r>
    </w:p>
    <w:p w:rsidR="00FC56F9" w:rsidRPr="00F94551" w:rsidRDefault="00FC56F9" w:rsidP="00FC56F9">
      <w:pPr>
        <w:pStyle w:val="Default"/>
        <w:rPr>
          <w:color w:val="auto"/>
          <w:sz w:val="23"/>
          <w:szCs w:val="23"/>
        </w:rPr>
      </w:pPr>
      <w:r w:rsidRPr="00F94551">
        <w:rPr>
          <w:b/>
          <w:bCs/>
          <w:color w:val="auto"/>
          <w:sz w:val="23"/>
          <w:szCs w:val="23"/>
        </w:rPr>
        <w:t xml:space="preserve">8 ZI </w:t>
      </w:r>
    </w:p>
    <w:p w:rsidR="00FC56F9" w:rsidRPr="00F94551" w:rsidRDefault="00FC56F9" w:rsidP="00FC56F9">
      <w:pPr>
        <w:rPr>
          <w:rFonts w:ascii="Times New Roman" w:hAnsi="Times New Roman"/>
          <w:sz w:val="23"/>
          <w:szCs w:val="23"/>
        </w:rPr>
      </w:pPr>
      <w:r w:rsidRPr="00F94551">
        <w:rPr>
          <w:rFonts w:ascii="Times New Roman" w:hAnsi="Times New Roman"/>
          <w:sz w:val="23"/>
          <w:szCs w:val="23"/>
        </w:rPr>
        <w:t>- Revize, případné vyčištění a zprovoznění kanalizační vpusti.</w:t>
      </w:r>
    </w:p>
    <w:p w:rsidR="005312EA" w:rsidRDefault="005312EA" w:rsidP="00C318BA">
      <w:pPr>
        <w:jc w:val="both"/>
        <w:rPr>
          <w:rFonts w:ascii="Times New Roman" w:hAnsi="Times New Roman"/>
          <w:b/>
          <w:szCs w:val="22"/>
        </w:rPr>
      </w:pPr>
    </w:p>
    <w:p w:rsidR="00EF4682" w:rsidRPr="005312EA" w:rsidRDefault="005312EA" w:rsidP="00C318BA">
      <w:pPr>
        <w:jc w:val="both"/>
        <w:rPr>
          <w:rFonts w:ascii="Times New Roman" w:hAnsi="Times New Roman"/>
          <w:b/>
          <w:sz w:val="28"/>
          <w:szCs w:val="28"/>
        </w:rPr>
      </w:pPr>
      <w:r w:rsidRPr="005312EA">
        <w:rPr>
          <w:rFonts w:ascii="Times New Roman" w:hAnsi="Times New Roman"/>
          <w:b/>
          <w:sz w:val="28"/>
          <w:szCs w:val="28"/>
        </w:rPr>
        <w:t>Předizolované potrubí</w:t>
      </w:r>
    </w:p>
    <w:p w:rsidR="00EF4682" w:rsidRDefault="00EF4682" w:rsidP="00C318BA">
      <w:pPr>
        <w:jc w:val="both"/>
      </w:pPr>
    </w:p>
    <w:p w:rsidR="00EF4682" w:rsidRPr="00B30F74" w:rsidRDefault="00EF4682" w:rsidP="00C318BA">
      <w:pPr>
        <w:pStyle w:val="Zkladntext"/>
        <w:tabs>
          <w:tab w:val="left" w:pos="360"/>
        </w:tabs>
        <w:spacing w:after="16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Ocel uhlíkatá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Provedení systému:</w:t>
      </w:r>
      <w:r w:rsidRPr="00B30F74">
        <w:rPr>
          <w:rFonts w:ascii="Times New Roman" w:hAnsi="Times New Roman"/>
          <w:sz w:val="23"/>
          <w:szCs w:val="23"/>
        </w:rPr>
        <w:tab/>
        <w:t xml:space="preserve">dle EN 253 (trubky), EN 448 (tvarovky), 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EN 488 (armatury), EN 489 (spojky)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ind w:right="1134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Teplonosná trubka: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Materiál trubek, technické dodací podmínky:</w:t>
      </w:r>
      <w:r w:rsidRPr="00B30F74">
        <w:rPr>
          <w:rFonts w:ascii="Times New Roman" w:hAnsi="Times New Roman"/>
          <w:sz w:val="23"/>
          <w:szCs w:val="23"/>
        </w:rPr>
        <w:tab/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ind w:left="3062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standardní trubky: podélně nebo spirálově svařované P235TR1, P235TR2 podle EN 10217-1 nebo P235GH podle EN 10217-2 nebo EN 10217-5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Rozměry a tolerance:</w:t>
      </w:r>
      <w:r w:rsidRPr="00B30F74">
        <w:rPr>
          <w:rFonts w:ascii="Times New Roman" w:hAnsi="Times New Roman"/>
          <w:sz w:val="23"/>
          <w:szCs w:val="23"/>
        </w:rPr>
        <w:tab/>
        <w:t>dle ISO 4200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 xml:space="preserve"> 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Rozměry (vnější ø x tl. stěny v mm):  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  <w:tab w:val="left" w:pos="4500"/>
          <w:tab w:val="left" w:pos="5940"/>
          <w:tab w:val="left" w:pos="7380"/>
          <w:tab w:val="left" w:pos="792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  <w:t xml:space="preserve"> </w:t>
      </w:r>
      <w:r w:rsidRPr="00B30F74">
        <w:rPr>
          <w:rFonts w:ascii="Times New Roman" w:hAnsi="Times New Roman"/>
          <w:sz w:val="23"/>
          <w:szCs w:val="23"/>
        </w:rPr>
        <w:tab/>
        <w:t xml:space="preserve">  26,9 x 2,6</w:t>
      </w:r>
      <w:r w:rsidRPr="00B30F74">
        <w:rPr>
          <w:rFonts w:ascii="Times New Roman" w:hAnsi="Times New Roman"/>
          <w:sz w:val="23"/>
          <w:szCs w:val="23"/>
        </w:rPr>
        <w:tab/>
        <w:t xml:space="preserve">  76,1 x 2,9</w:t>
      </w:r>
      <w:r w:rsidRPr="00B30F74">
        <w:rPr>
          <w:rFonts w:ascii="Times New Roman" w:hAnsi="Times New Roman"/>
          <w:sz w:val="23"/>
          <w:szCs w:val="23"/>
        </w:rPr>
        <w:tab/>
        <w:t>219,1 x 4,5</w:t>
      </w:r>
      <w:r w:rsidRPr="00B30F74">
        <w:rPr>
          <w:rFonts w:ascii="Times New Roman" w:hAnsi="Times New Roman"/>
          <w:sz w:val="23"/>
          <w:szCs w:val="23"/>
        </w:rPr>
        <w:tab/>
        <w:t>457,0 x 6,3</w:t>
      </w:r>
      <w:r w:rsidRPr="00B30F74">
        <w:rPr>
          <w:rFonts w:ascii="Times New Roman" w:hAnsi="Times New Roman"/>
          <w:sz w:val="23"/>
          <w:szCs w:val="23"/>
        </w:rPr>
        <w:tab/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  <w:tab w:val="left" w:pos="4500"/>
          <w:tab w:val="left" w:pos="5940"/>
          <w:tab w:val="left" w:pos="7380"/>
          <w:tab w:val="left" w:pos="792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  33,7 x 2,6</w:t>
      </w:r>
      <w:r w:rsidRPr="00B30F74">
        <w:rPr>
          <w:rFonts w:ascii="Times New Roman" w:hAnsi="Times New Roman"/>
          <w:sz w:val="23"/>
          <w:szCs w:val="23"/>
        </w:rPr>
        <w:tab/>
        <w:t xml:space="preserve">  88,9 x 3,2</w:t>
      </w:r>
      <w:r w:rsidRPr="00B30F74">
        <w:rPr>
          <w:rFonts w:ascii="Times New Roman" w:hAnsi="Times New Roman"/>
          <w:sz w:val="23"/>
          <w:szCs w:val="23"/>
        </w:rPr>
        <w:tab/>
        <w:t>273,0 x 5,0</w:t>
      </w:r>
      <w:r w:rsidRPr="00B30F74">
        <w:rPr>
          <w:rFonts w:ascii="Times New Roman" w:hAnsi="Times New Roman"/>
          <w:sz w:val="23"/>
          <w:szCs w:val="23"/>
        </w:rPr>
        <w:tab/>
        <w:t>508,0 x 6,3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  <w:tab w:val="left" w:pos="4500"/>
          <w:tab w:val="left" w:pos="5940"/>
          <w:tab w:val="left" w:pos="7380"/>
          <w:tab w:val="left" w:pos="792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  42,4 x 2,6</w:t>
      </w:r>
      <w:r w:rsidRPr="00B30F74">
        <w:rPr>
          <w:rFonts w:ascii="Times New Roman" w:hAnsi="Times New Roman"/>
          <w:sz w:val="23"/>
          <w:szCs w:val="23"/>
        </w:rPr>
        <w:tab/>
        <w:t>114,3 x 3,6</w:t>
      </w:r>
      <w:r w:rsidRPr="00B30F74">
        <w:rPr>
          <w:rFonts w:ascii="Times New Roman" w:hAnsi="Times New Roman"/>
          <w:sz w:val="23"/>
          <w:szCs w:val="23"/>
        </w:rPr>
        <w:tab/>
        <w:t>323,9 x 5,6</w:t>
      </w:r>
      <w:r w:rsidRPr="00B30F74">
        <w:rPr>
          <w:rFonts w:ascii="Times New Roman" w:hAnsi="Times New Roman"/>
          <w:sz w:val="23"/>
          <w:szCs w:val="23"/>
        </w:rPr>
        <w:tab/>
        <w:t>610,0 x 7,1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  <w:tab w:val="left" w:pos="4500"/>
          <w:tab w:val="left" w:pos="5940"/>
          <w:tab w:val="left" w:pos="7380"/>
          <w:tab w:val="left" w:pos="792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  48,3 x 2,6</w:t>
      </w:r>
      <w:r w:rsidRPr="00B30F74">
        <w:rPr>
          <w:rFonts w:ascii="Times New Roman" w:hAnsi="Times New Roman"/>
          <w:sz w:val="23"/>
          <w:szCs w:val="23"/>
        </w:rPr>
        <w:tab/>
        <w:t>139,7 x 3,6</w:t>
      </w:r>
      <w:r w:rsidRPr="00B30F74">
        <w:rPr>
          <w:rFonts w:ascii="Times New Roman" w:hAnsi="Times New Roman"/>
          <w:sz w:val="23"/>
          <w:szCs w:val="23"/>
        </w:rPr>
        <w:tab/>
        <w:t>355,6 x 5,6</w:t>
      </w:r>
      <w:r w:rsidRPr="00B30F74">
        <w:rPr>
          <w:rFonts w:ascii="Times New Roman" w:hAnsi="Times New Roman"/>
          <w:sz w:val="23"/>
          <w:szCs w:val="23"/>
        </w:rPr>
        <w:tab/>
        <w:t>711,0 x 8,0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  <w:tab w:val="left" w:pos="4500"/>
          <w:tab w:val="left" w:pos="5940"/>
          <w:tab w:val="left" w:pos="7380"/>
          <w:tab w:val="left" w:pos="792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  60,3 x 2,9</w:t>
      </w:r>
      <w:r w:rsidRPr="00B30F74">
        <w:rPr>
          <w:rFonts w:ascii="Times New Roman" w:hAnsi="Times New Roman"/>
          <w:sz w:val="23"/>
          <w:szCs w:val="23"/>
        </w:rPr>
        <w:tab/>
        <w:t>168,3 x 4,0</w:t>
      </w:r>
      <w:r w:rsidRPr="00B30F74">
        <w:rPr>
          <w:rFonts w:ascii="Times New Roman" w:hAnsi="Times New Roman"/>
          <w:sz w:val="23"/>
          <w:szCs w:val="23"/>
        </w:rPr>
        <w:tab/>
        <w:t>406,4 x 6,3</w:t>
      </w:r>
      <w:r w:rsidRPr="00B30F74">
        <w:rPr>
          <w:rFonts w:ascii="Times New Roman" w:hAnsi="Times New Roman"/>
          <w:sz w:val="23"/>
          <w:szCs w:val="23"/>
        </w:rPr>
        <w:tab/>
        <w:t>813,0 x 8,8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Materiál pláště :</w:t>
      </w:r>
      <w:r w:rsidRPr="00B30F74">
        <w:rPr>
          <w:rFonts w:ascii="Times New Roman" w:hAnsi="Times New Roman"/>
          <w:sz w:val="23"/>
          <w:szCs w:val="23"/>
        </w:rPr>
        <w:tab/>
        <w:t>HDPE (vysokohustotní polyetylen) v souladu s EN 253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Izolace:</w:t>
      </w:r>
      <w:r w:rsidRPr="00B30F74">
        <w:rPr>
          <w:rFonts w:ascii="Times New Roman" w:hAnsi="Times New Roman"/>
          <w:sz w:val="23"/>
          <w:szCs w:val="23"/>
        </w:rPr>
        <w:tab/>
        <w:t>PUR pěna dle EN 253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ind w:left="3062" w:hanging="3062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Signalizace poruch :</w:t>
      </w:r>
      <w:r w:rsidRPr="00B30F74">
        <w:rPr>
          <w:rFonts w:ascii="Times New Roman" w:hAnsi="Times New Roman"/>
          <w:sz w:val="23"/>
          <w:szCs w:val="23"/>
        </w:rPr>
        <w:tab/>
        <w:t>ocelové potrubí je monitorováno systémem dvou neizolovaných měděných vodičů 1,5 mm</w:t>
      </w:r>
      <w:r w:rsidRPr="00B30F74">
        <w:rPr>
          <w:rFonts w:ascii="Times New Roman" w:hAnsi="Times New Roman"/>
          <w:sz w:val="23"/>
          <w:szCs w:val="23"/>
          <w:vertAlign w:val="superscript"/>
        </w:rPr>
        <w:t>2</w:t>
      </w:r>
      <w:r w:rsidRPr="00B30F74">
        <w:rPr>
          <w:rFonts w:ascii="Times New Roman" w:hAnsi="Times New Roman"/>
          <w:sz w:val="23"/>
          <w:szCs w:val="23"/>
        </w:rPr>
        <w:t xml:space="preserve"> (LR/NORDIC) 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Max. teplotní zatížení:</w:t>
      </w:r>
      <w:r w:rsidRPr="00B30F74">
        <w:rPr>
          <w:rFonts w:ascii="Times New Roman" w:hAnsi="Times New Roman"/>
          <w:sz w:val="23"/>
          <w:szCs w:val="23"/>
        </w:rPr>
        <w:tab/>
        <w:t xml:space="preserve">trvale: 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smartTag w:uri="urn:schemas-microsoft-com:office:smarttags" w:element="metricconverter">
        <w:smartTagPr>
          <w:attr w:name="ProductID" w:val="140 °C"/>
        </w:smartTagPr>
        <w:r w:rsidRPr="00B30F74">
          <w:rPr>
            <w:rFonts w:ascii="Times New Roman" w:hAnsi="Times New Roman"/>
            <w:sz w:val="23"/>
            <w:szCs w:val="23"/>
          </w:rPr>
          <w:t>140 °C</w:t>
        </w:r>
      </w:smartTag>
      <w:r w:rsidRPr="00B30F74">
        <w:rPr>
          <w:rFonts w:ascii="Times New Roman" w:hAnsi="Times New Roman"/>
          <w:sz w:val="23"/>
          <w:szCs w:val="23"/>
        </w:rPr>
        <w:t xml:space="preserve"> 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lastRenderedPageBreak/>
        <w:tab/>
      </w:r>
      <w:r w:rsidRPr="00B30F74">
        <w:rPr>
          <w:rFonts w:ascii="Times New Roman" w:hAnsi="Times New Roman"/>
          <w:sz w:val="23"/>
          <w:szCs w:val="23"/>
        </w:rPr>
        <w:tab/>
        <w:t>krátkodobě: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smartTag w:uri="urn:schemas-microsoft-com:office:smarttags" w:element="metricconverter">
        <w:smartTagPr>
          <w:attr w:name="ProductID" w:val="150 °C"/>
        </w:smartTagPr>
        <w:r w:rsidRPr="00B30F74">
          <w:rPr>
            <w:rFonts w:ascii="Times New Roman" w:hAnsi="Times New Roman"/>
            <w:sz w:val="23"/>
            <w:szCs w:val="23"/>
          </w:rPr>
          <w:t>150 °C</w:t>
        </w:r>
      </w:smartTag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max. teplota povrchu pláště:</w:t>
      </w:r>
      <w:r w:rsidRPr="00B30F74">
        <w:rPr>
          <w:rFonts w:ascii="Times New Roman" w:hAnsi="Times New Roman"/>
          <w:sz w:val="23"/>
          <w:szCs w:val="23"/>
        </w:rPr>
        <w:tab/>
        <w:t xml:space="preserve">  </w:t>
      </w:r>
      <w:smartTag w:uri="urn:schemas-microsoft-com:office:smarttags" w:element="metricconverter">
        <w:smartTagPr>
          <w:attr w:name="ProductID" w:val="50 °C"/>
        </w:smartTagPr>
        <w:r w:rsidRPr="00B30F74">
          <w:rPr>
            <w:rFonts w:ascii="Times New Roman" w:hAnsi="Times New Roman"/>
            <w:sz w:val="23"/>
            <w:szCs w:val="23"/>
          </w:rPr>
          <w:t>50 °C</w:t>
        </w:r>
      </w:smartTag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0"/>
        <w:ind w:left="3062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 xml:space="preserve">Při požadavku na vyšší pracovní teploty je nutná konzultace 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ind w:left="3062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s dodavatelem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80"/>
        <w:ind w:left="3062" w:hanging="3062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Max. tlakové zatížení:</w:t>
      </w:r>
      <w:r w:rsidRPr="00B30F74">
        <w:rPr>
          <w:rFonts w:ascii="Times New Roman" w:hAnsi="Times New Roman"/>
          <w:sz w:val="23"/>
          <w:szCs w:val="23"/>
        </w:rPr>
        <w:tab/>
        <w:t>T-kusy 16 / 25 bar dle katalogu Logstor, ostatní komponenty 25 bar</w:t>
      </w:r>
    </w:p>
    <w:p w:rsidR="00EF4682" w:rsidRPr="00B30F74" w:rsidRDefault="00EF4682" w:rsidP="00C318BA">
      <w:pPr>
        <w:pStyle w:val="Zkladntext"/>
        <w:tabs>
          <w:tab w:val="left" w:pos="360"/>
          <w:tab w:val="left" w:pos="3060"/>
        </w:tabs>
        <w:spacing w:after="4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Topná voda:</w:t>
      </w:r>
      <w:r w:rsidRPr="00B30F74">
        <w:rPr>
          <w:rFonts w:ascii="Times New Roman" w:hAnsi="Times New Roman"/>
          <w:sz w:val="23"/>
          <w:szCs w:val="23"/>
        </w:rPr>
        <w:tab/>
        <w:t xml:space="preserve">upravená voda dle ČSN </w:t>
      </w:r>
      <w:smartTag w:uri="urn:schemas-microsoft-com:office:smarttags" w:element="metricconverter">
        <w:smartTagPr>
          <w:attr w:name="ProductID" w:val="077401 a"/>
        </w:smartTagPr>
        <w:r w:rsidRPr="00B30F74">
          <w:rPr>
            <w:rFonts w:ascii="Times New Roman" w:hAnsi="Times New Roman"/>
            <w:sz w:val="23"/>
            <w:szCs w:val="23"/>
          </w:rPr>
          <w:t>077401 a</w:t>
        </w:r>
      </w:smartTag>
      <w:r w:rsidRPr="00B30F74">
        <w:rPr>
          <w:rFonts w:ascii="Times New Roman" w:hAnsi="Times New Roman"/>
          <w:sz w:val="23"/>
          <w:szCs w:val="23"/>
        </w:rPr>
        <w:t xml:space="preserve"> požadavků výrobce potrubí:</w:t>
      </w:r>
    </w:p>
    <w:p w:rsidR="00EF4682" w:rsidRPr="00B30F74" w:rsidRDefault="00EF4682" w:rsidP="00C318BA">
      <w:pPr>
        <w:pStyle w:val="Zkladntext"/>
        <w:numPr>
          <w:ilvl w:val="0"/>
          <w:numId w:val="20"/>
        </w:numPr>
        <w:tabs>
          <w:tab w:val="left" w:pos="360"/>
          <w:tab w:val="left" w:pos="3060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pH 9,5 – 10,0</w:t>
      </w:r>
    </w:p>
    <w:p w:rsidR="00EF4682" w:rsidRPr="00B30F74" w:rsidRDefault="00EF4682" w:rsidP="00C318BA">
      <w:pPr>
        <w:pStyle w:val="Zkladntext"/>
        <w:numPr>
          <w:ilvl w:val="0"/>
          <w:numId w:val="20"/>
        </w:numPr>
        <w:tabs>
          <w:tab w:val="left" w:pos="360"/>
          <w:tab w:val="left" w:pos="3060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obsah soli &lt; 3 000 mg/l</w:t>
      </w:r>
    </w:p>
    <w:p w:rsidR="00EF4682" w:rsidRPr="00B30F74" w:rsidRDefault="00EF4682" w:rsidP="00C318BA">
      <w:pPr>
        <w:pStyle w:val="Zkladntext"/>
        <w:numPr>
          <w:ilvl w:val="0"/>
          <w:numId w:val="20"/>
        </w:numPr>
        <w:tabs>
          <w:tab w:val="left" w:pos="360"/>
          <w:tab w:val="left" w:pos="3060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bez obsahu volného kyslíku</w:t>
      </w: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EF4682" w:rsidRDefault="00304A60" w:rsidP="00304A60">
      <w:p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Katalogové listy jsou k dispozici na :</w:t>
      </w:r>
      <w:r>
        <w:rPr>
          <w:rFonts w:ascii="Times New Roman" w:hAnsi="Times New Roman"/>
          <w:sz w:val="23"/>
          <w:szCs w:val="23"/>
        </w:rPr>
        <w:t xml:space="preserve"> </w:t>
      </w:r>
      <w:hyperlink r:id="rId8" w:history="1">
        <w:r w:rsidR="00E03304" w:rsidRPr="00AC4CC3">
          <w:rPr>
            <w:rStyle w:val="Hypertextovodkaz"/>
            <w:rFonts w:ascii="Times New Roman" w:hAnsi="Times New Roman"/>
            <w:sz w:val="23"/>
            <w:szCs w:val="23"/>
          </w:rPr>
          <w:t>www.logstor.com</w:t>
        </w:r>
      </w:hyperlink>
      <w:r w:rsidR="00E03304">
        <w:rPr>
          <w:rFonts w:ascii="Times New Roman" w:hAnsi="Times New Roman"/>
          <w:sz w:val="23"/>
          <w:szCs w:val="23"/>
        </w:rPr>
        <w:t xml:space="preserve">, </w:t>
      </w:r>
      <w:hyperlink r:id="rId9" w:history="1">
        <w:r w:rsidR="00E03304" w:rsidRPr="00AC4CC3">
          <w:rPr>
            <w:rStyle w:val="Hypertextovodkaz"/>
            <w:rFonts w:ascii="Times New Roman" w:hAnsi="Times New Roman"/>
            <w:sz w:val="23"/>
            <w:szCs w:val="23"/>
          </w:rPr>
          <w:t>www.isoplus.cz</w:t>
        </w:r>
      </w:hyperlink>
    </w:p>
    <w:p w:rsidR="008B10C3" w:rsidRDefault="008B10C3" w:rsidP="00C318BA">
      <w:pPr>
        <w:jc w:val="both"/>
        <w:rPr>
          <w:rFonts w:ascii="Times New Roman" w:hAnsi="Times New Roman"/>
          <w:b/>
          <w:sz w:val="32"/>
          <w:szCs w:val="32"/>
        </w:rPr>
      </w:pPr>
    </w:p>
    <w:p w:rsidR="00160A4C" w:rsidRPr="00B30F74" w:rsidRDefault="00160A4C" w:rsidP="00C318BA">
      <w:pPr>
        <w:jc w:val="both"/>
        <w:rPr>
          <w:rFonts w:ascii="Times New Roman" w:hAnsi="Times New Roman"/>
          <w:b/>
          <w:sz w:val="32"/>
          <w:szCs w:val="32"/>
        </w:rPr>
      </w:pPr>
      <w:r w:rsidRPr="00B30F74">
        <w:rPr>
          <w:rFonts w:ascii="Times New Roman" w:hAnsi="Times New Roman"/>
          <w:b/>
          <w:sz w:val="32"/>
          <w:szCs w:val="32"/>
        </w:rPr>
        <w:t>MaR</w:t>
      </w:r>
    </w:p>
    <w:p w:rsidR="00160A4C" w:rsidRPr="00B30F74" w:rsidRDefault="00160A4C" w:rsidP="00C318BA">
      <w:pPr>
        <w:jc w:val="both"/>
        <w:rPr>
          <w:rFonts w:ascii="Times New Roman" w:hAnsi="Times New Roman"/>
          <w:b/>
          <w:sz w:val="28"/>
          <w:szCs w:val="28"/>
        </w:rPr>
      </w:pPr>
      <w:r w:rsidRPr="00B30F74">
        <w:rPr>
          <w:rFonts w:ascii="Times New Roman" w:hAnsi="Times New Roman"/>
          <w:b/>
          <w:sz w:val="28"/>
          <w:szCs w:val="28"/>
        </w:rPr>
        <w:t>Specifikace zařízení</w:t>
      </w:r>
    </w:p>
    <w:p w:rsidR="00160A4C" w:rsidRPr="00B30F74" w:rsidRDefault="00160A4C" w:rsidP="00C318BA">
      <w:pPr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Řídící podstanice: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EXCEL 50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DDC podstanice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Honeywell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komunikace: C-Bus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Grafická centrála: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EBI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upgrade centrály na aktuální verzi</w:t>
      </w:r>
    </w:p>
    <w:p w:rsidR="00160A4C" w:rsidRPr="00B30F74" w:rsidRDefault="00160A4C" w:rsidP="00C318BA">
      <w:pPr>
        <w:spacing w:after="0"/>
        <w:ind w:left="1416" w:firstLine="708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rozšíření databáze o 5000 datových bodů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Honeywell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komunikace: C-Bus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Měření teploty: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TG8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ponorné čidlo teploty vč. jímky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Sensit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měřící rozsah: -50…+200°C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měřící element: NTC 20kΩ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AF 20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venkovní čidlo teploty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Honeywell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měřící rozsah: -30…+60°C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měřící element: NTC 20kΩ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Měření tlaku, tlakové diference: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DMP 331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snímač tlaku průmyslový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BD Sensors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4-20 mA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DMD 331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snímač tlakové diference průmyslový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BD Sensors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4-20 mA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Termostat, manostat: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RAK…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termostat kapilárový vč. jímky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Siemens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kontakt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 xml:space="preserve">RAM… 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termostat příložný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Siemens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kontakt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T6120...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termostat prostorový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Honeywell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kontakt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KPI...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regulátor tlaku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Danfoss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výstup: kontakt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B30F74">
        <w:rPr>
          <w:rFonts w:ascii="Times New Roman" w:hAnsi="Times New Roman"/>
          <w:b/>
          <w:sz w:val="23"/>
          <w:szCs w:val="23"/>
        </w:rPr>
        <w:t>Rozvaděčové skříně: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WSM…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rozvaděč nástěnný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Schrack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barva: RAL7035 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AS…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rozvaděč řadový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Schrack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 xml:space="preserve">barva: RAL7035 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>KS…</w:t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rozvaděč řadový, kompaktní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výrobce: Schrack</w:t>
      </w:r>
    </w:p>
    <w:p w:rsidR="00160A4C" w:rsidRPr="00B30F74" w:rsidRDefault="00160A4C" w:rsidP="00C318BA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</w:r>
      <w:r w:rsidRPr="00B30F74">
        <w:rPr>
          <w:rFonts w:ascii="Times New Roman" w:hAnsi="Times New Roman"/>
          <w:sz w:val="23"/>
          <w:szCs w:val="23"/>
        </w:rPr>
        <w:tab/>
        <w:t>barva: RAL7035</w:t>
      </w:r>
    </w:p>
    <w:p w:rsidR="00EF4682" w:rsidRDefault="00EF4682" w:rsidP="00C318BA">
      <w:pPr>
        <w:pStyle w:val="Odstavec"/>
        <w:spacing w:before="0" w:after="0"/>
        <w:jc w:val="both"/>
      </w:pPr>
    </w:p>
    <w:p w:rsid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FC56F9" w:rsidRDefault="00FC56F9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</w:p>
    <w:p w:rsidR="00024307" w:rsidRPr="00160A4C" w:rsidRDefault="00160A4C" w:rsidP="00C318BA">
      <w:pPr>
        <w:jc w:val="both"/>
        <w:rPr>
          <w:rFonts w:ascii="Times New Roman" w:hAnsi="Times New Roman"/>
          <w:b/>
          <w:sz w:val="24"/>
          <w:szCs w:val="24"/>
        </w:rPr>
      </w:pPr>
      <w:r w:rsidRPr="00160A4C">
        <w:rPr>
          <w:rFonts w:ascii="Times New Roman" w:hAnsi="Times New Roman"/>
          <w:b/>
          <w:sz w:val="24"/>
          <w:szCs w:val="24"/>
        </w:rPr>
        <w:t>Rozvaděče</w:t>
      </w:r>
    </w:p>
    <w:p w:rsidR="00160A4C" w:rsidRDefault="00160A4C" w:rsidP="00C318BA">
      <w:pPr>
        <w:jc w:val="both"/>
      </w:pPr>
      <w:r>
        <w:rPr>
          <w:noProof/>
        </w:rPr>
        <w:drawing>
          <wp:inline distT="0" distB="0" distL="0" distR="0">
            <wp:extent cx="5805170" cy="8218805"/>
            <wp:effectExtent l="1905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C" w:rsidRDefault="00160A4C" w:rsidP="00C318BA">
      <w:pPr>
        <w:jc w:val="both"/>
      </w:pPr>
    </w:p>
    <w:p w:rsidR="00160A4C" w:rsidRDefault="00160A4C" w:rsidP="00160A4C"/>
    <w:p w:rsidR="00160A4C" w:rsidRDefault="00160A4C" w:rsidP="00160A4C">
      <w:r>
        <w:rPr>
          <w:noProof/>
        </w:rPr>
        <w:drawing>
          <wp:inline distT="0" distB="0" distL="0" distR="0">
            <wp:extent cx="5730875" cy="8187055"/>
            <wp:effectExtent l="1905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C" w:rsidRDefault="00160A4C" w:rsidP="00160A4C">
      <w:r>
        <w:rPr>
          <w:noProof/>
        </w:rPr>
        <w:lastRenderedPageBreak/>
        <w:drawing>
          <wp:inline distT="0" distB="0" distL="0" distR="0">
            <wp:extent cx="5784215" cy="8208645"/>
            <wp:effectExtent l="1905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C" w:rsidRDefault="00160A4C" w:rsidP="00160A4C"/>
    <w:p w:rsidR="00160A4C" w:rsidRDefault="00160A4C" w:rsidP="00160A4C"/>
    <w:p w:rsidR="00160A4C" w:rsidRPr="005312EA" w:rsidRDefault="00160A4C" w:rsidP="00160A4C">
      <w:pPr>
        <w:rPr>
          <w:rFonts w:ascii="Times New Roman" w:hAnsi="Times New Roman"/>
          <w:b/>
          <w:sz w:val="23"/>
          <w:szCs w:val="23"/>
        </w:rPr>
      </w:pPr>
      <w:r w:rsidRPr="005312EA">
        <w:rPr>
          <w:rFonts w:ascii="Times New Roman" w:hAnsi="Times New Roman"/>
          <w:b/>
          <w:sz w:val="23"/>
          <w:szCs w:val="23"/>
        </w:rPr>
        <w:lastRenderedPageBreak/>
        <w:t>Seznam norem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2000-3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předpisy. Elektrická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3: Stanovení základních charakteristik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2000-4-41,ed.2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41: Ochrana před úrazem elektrickým proudem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2000-4-43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předpisy. Elektrická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43: Ochrana proti nadproudům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2000-4-443,ed.2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44: Ochrana před přepětím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Oddíl 443: Ochrana před atmosférickým nebo spínacím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přepětím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2000-4-47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47: Použití ochranných opatření pro zajištění bezpečnosti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Oddíl 470: Všeobecně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 xml:space="preserve">Oddíl 471: Opatření k zajištění ochrany před úrazem 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elektrickým proudem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2000-4-473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47: Použití ochranných opatření pro zajištění bezpečnosti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Oddíl 473: Opatření k ochraně proti nadproudům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2000-4-481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4: Bezpečnost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48: Výběr ochranných opatření podle vnějších vlivů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Oddíl 481: Výběr opatření na ochranu před úrazem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elektrickým proudem podle vnějších vlivů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2000-5-51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5: Výběr a stavba elektrických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51: Všeobecné předpisy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2000-5-52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 - Elektrická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5: Výběr a stavba elektrických zařízení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52: Výběr soustav a stavba vedení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2000-5-523, ed.2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předpisy. Elektrická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5: Výběr a stavba elektrických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52: Výběr soustav a stavba vedení.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Oddíl 523: Dovolené proudy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33 2000-5-54, ed.2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Elektrotechnické předpisy. Elektrická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5: Výběr a stavba elektrických zařízení.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Kapitola 54: Uzemnění a ochranné vodiče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EN 12464-1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Světlo a osvětlení – Osvětlení pracovních prostorů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Část 1: Vnitřní pracovní prostory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Označení normy:</w:t>
      </w:r>
      <w:r w:rsidRPr="005312EA">
        <w:rPr>
          <w:rFonts w:ascii="Times New Roman" w:hAnsi="Times New Roman"/>
          <w:sz w:val="23"/>
          <w:szCs w:val="23"/>
        </w:rPr>
        <w:tab/>
        <w:t>ČSN EN 1838</w:t>
      </w:r>
    </w:p>
    <w:p w:rsidR="00160A4C" w:rsidRPr="005312EA" w:rsidRDefault="00160A4C" w:rsidP="00160A4C">
      <w:pPr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Název normy:</w:t>
      </w:r>
      <w:r w:rsidRPr="005312EA">
        <w:rPr>
          <w:rFonts w:ascii="Times New Roman" w:hAnsi="Times New Roman"/>
          <w:sz w:val="23"/>
          <w:szCs w:val="23"/>
        </w:rPr>
        <w:tab/>
      </w:r>
      <w:r w:rsidRPr="005312EA">
        <w:rPr>
          <w:rFonts w:ascii="Times New Roman" w:hAnsi="Times New Roman"/>
          <w:sz w:val="23"/>
          <w:szCs w:val="23"/>
        </w:rPr>
        <w:tab/>
        <w:t>Světlo a osvětlení – Nouzové osvětlení</w:t>
      </w:r>
    </w:p>
    <w:p w:rsidR="00160A4C" w:rsidRDefault="00160A4C" w:rsidP="00160A4C">
      <w:pPr>
        <w:rPr>
          <w:rFonts w:ascii="Times New Roman" w:hAnsi="Times New Roman"/>
          <w:szCs w:val="22"/>
        </w:rPr>
      </w:pPr>
    </w:p>
    <w:p w:rsidR="00160A4C" w:rsidRPr="00160A4C" w:rsidRDefault="00160A4C" w:rsidP="00160A4C">
      <w:pPr>
        <w:rPr>
          <w:rFonts w:ascii="Times New Roman" w:hAnsi="Times New Roman"/>
          <w:b/>
          <w:sz w:val="28"/>
          <w:szCs w:val="28"/>
        </w:rPr>
      </w:pPr>
      <w:r w:rsidRPr="00160A4C">
        <w:rPr>
          <w:rFonts w:ascii="Times New Roman" w:hAnsi="Times New Roman"/>
          <w:b/>
          <w:sz w:val="28"/>
          <w:szCs w:val="28"/>
        </w:rPr>
        <w:t>Popis regulace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Nabízené technické řešení v části měření a regulace je plně kompatibilní se stávajícím řídícím systémem rozvodů tepla Teplárny Písek a.s. a je založené na volně programovatelných DDC (direct digital control – přímé číslicové řízení) podstanicích s obchodním označením EXCEL z produkce firmy Honeywell. Jedná se o celou  řadu modulárně rozšiřitelných podstanic s komunikačním rozhraním C-Bus vhodných pro řízení energetiky jak jednotlivých objektů (administrativní budovy, školy, nemocnice, apod.), tak i pro celé komplexy budov nebo teplárenské sítě (soustavy centralizovaného zásobování teplem). Díky komunikačním schopnostem jsou uvedené podstanice předurčeny pro použití v soustavách s dispečerským systémem řízení, kde  je možné využít všech jejich funkcí pro automatizaci a optimalizaci provozu.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V každé řídící podstanici bude vytvořen aplikační software pro zcela automatický provoz řízené technologie, který v sobě bude spojovat následující programové části: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•</w:t>
      </w:r>
      <w:r w:rsidRPr="005312EA">
        <w:rPr>
          <w:rFonts w:ascii="Times New Roman" w:hAnsi="Times New Roman"/>
          <w:sz w:val="23"/>
          <w:szCs w:val="23"/>
        </w:rPr>
        <w:tab/>
        <w:t>aplikační program, který poskytuje řídící a monitorovací funkce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•</w:t>
      </w:r>
      <w:r w:rsidRPr="005312EA">
        <w:rPr>
          <w:rFonts w:ascii="Times New Roman" w:hAnsi="Times New Roman"/>
          <w:sz w:val="23"/>
          <w:szCs w:val="23"/>
        </w:rPr>
        <w:tab/>
        <w:t>bodový popis dat, který obsahuje kompletní soubor informací (uživatelské a technické adresy, minimální a maximální hodnoty, stavový popis, atd.) všech datových uzlů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lastRenderedPageBreak/>
        <w:t>•</w:t>
      </w:r>
      <w:r w:rsidRPr="005312EA">
        <w:rPr>
          <w:rFonts w:ascii="Times New Roman" w:hAnsi="Times New Roman"/>
          <w:sz w:val="23"/>
          <w:szCs w:val="23"/>
        </w:rPr>
        <w:tab/>
        <w:t>časové programy, které připojují k datovým uzlům spínací funkci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•</w:t>
      </w:r>
      <w:r w:rsidRPr="005312EA">
        <w:rPr>
          <w:rFonts w:ascii="Times New Roman" w:hAnsi="Times New Roman"/>
          <w:sz w:val="23"/>
          <w:szCs w:val="23"/>
        </w:rPr>
        <w:tab/>
        <w:t>texty, jako jsou uživatelské adresy, stavy a alarmy, které mohou být definovány uživatelem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•</w:t>
      </w:r>
      <w:r w:rsidRPr="005312EA">
        <w:rPr>
          <w:rFonts w:ascii="Times New Roman" w:hAnsi="Times New Roman"/>
          <w:sz w:val="23"/>
          <w:szCs w:val="23"/>
        </w:rPr>
        <w:tab/>
        <w:t>parametry řízení pro optimální přizpůsobení funkce aplikačního SW řízené technologie a použitým prvkům (např. doba přestavení regulačních ventilů, měřící rozsahy, mezní hodnoty apod.)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K nastavení parametrů, časových programů případně k ručnímu (nouzovému) řízení se používá ovládací panýlek se šestiřádkovým displejem. Tento panýlek je možno umístit do dveří rozvaděče nebo používat panýlek přenosný. I když je systém samozřejmě vybaven přístupovými hesly pro různé úrovně přístupu, naše technické řešení počítá s využitím přenosných obslužných panýlků, kdy je lépe (dá se říct že 100%) zabráněno neodborným a neoprávněným zásahům do řízené technologie.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Kapacitně (počet vstupů a výstupů) je ŘS na stanicích navržen v souladu s dokumentací pro výběr zhotovitele stavby a současně na základě osobních prohlídek jednotlivých stanic popř. navržených technologických schémat.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V našem technickém řešení předpokládáme použití čidel teploty s měřícím elementem NTC 20 k</w:t>
      </w:r>
      <w:r w:rsidRPr="005312EA">
        <w:rPr>
          <w:rFonts w:ascii="Times New Roman" w:hAnsi="Times New Roman"/>
          <w:sz w:val="23"/>
          <w:szCs w:val="23"/>
        </w:rPr>
        <w:t>, které splňují požadavky na vysokou přesnost celého měřícího okruhu. Pro měření tlaku příp. tlakové diference budou použity snímače se standardním výstupním signálem 4-20 mA.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Přenos dat z měřičů tepla bude řešen v souladu s dokumenty výběrového řízení, tzn. požadovaná data z těchto přístrojů budou přenášena na stávající dispečerské pracoviště EBI rozvodů tepla Teplárny Písek a.s. prostřednictvím komunikační sběrnice C-Bus.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 xml:space="preserve">Rozvaděčové skříně budou jednotného provedení a jejich konstrukce bude dostatečně robustní a odolná proti působení prostředí ve kterém budou instalovány. Předpokládáme použití skříní ohýbané a svařované konstrukce z ocelového plechu. V domovních předávacích stanicích budou použity skříně nástěnné, ve výměníkových stanicích pak samonosné řadové skříně stojící na podlaze. 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 xml:space="preserve">Kabeláž bude řešena kabely s měděnými jádry a jejich dimenzování bude s ohledem na typ a velikost přenášeného signálu a na konkrétní pracovní podmínky tak, aby byly dodrženy všechny související technické a bezpečnostní předpisy. Pro napájení elektrických technologických prvků (čerpadla, el. pohony apod.) budou použity kabely CYKY popř. JYTY, pro snímače pak kabely typu JYTY. 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Pro přenos dat a komunikaci mezi podstanicemi řídícího systému odběrných míst a příslušnou výměníkovou stanicí bude do společného výkopu s potrubními rozvody tepla položen metalický kabel TCEPKPFLE..., který bude v každém zásobovaném objektu zakončen ve svorkovnicové krabici, kde budou zapojeny všechny jeho vodiče. Z této svorkovnicové skříně bude příslušný počet párů připojen na komunikační rozhraní podstanic příp. měřičů tepla. Ostatní a v tuto chvíli nevyužité páry zde budou ponechány jako rezerva. Přenos dat a komunikace na dispečink rozvodů tepla Teplárny Písek a.s. bude probíhat v rámci stávající bezdrátové sítě Ethernet Teplárny Písek a.s. Na každé výměníkové stanici a na dispečinku budou instalovány potřebné adaptéry a opakovače. Kapacita stávajícího dispečinku bude navýšena o 5 000 datových bodů a pro každou stanici zde bude naprogramována minimálně jedna dynamická obrazovka v provedení odpovídajícím zvyklostem a požadavkům Teplárny Písek a.s. Kromě toho budou naprogramovány další přehledové obrazovky, např. přehled teplot, měřičů tepla, stanic apod.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>Díky použitým podstanicím, které jsou vybaveny komunikačním rozhraním pro obousměrnou on-line komunikaci po systémové sběrnici firmy Honeywell C-Bus, umožní nabízené technické řešení využití všech standardních funkcí používaných v rámci dispečerského systému řízení rozvodů tepla na Teplárně Písek a.s., jako např. trendování vybraných datových bodů, zobrazení všech časových programů a jejich změna z dispečinku bez dodatečného nároku na kapacitu datových bodů centrály, automatická synchronizace času, download aplikačního software, výpis a změna parametrů aplikačního SW, využívání skupinových povelů, globální data, globální povely ad.</w:t>
      </w:r>
    </w:p>
    <w:p w:rsidR="00160A4C" w:rsidRPr="005312EA" w:rsidRDefault="00160A4C" w:rsidP="005312EA">
      <w:pPr>
        <w:jc w:val="both"/>
        <w:rPr>
          <w:rFonts w:ascii="Times New Roman" w:hAnsi="Times New Roman"/>
          <w:sz w:val="23"/>
          <w:szCs w:val="23"/>
        </w:rPr>
      </w:pPr>
      <w:r w:rsidRPr="005312EA">
        <w:rPr>
          <w:rFonts w:ascii="Times New Roman" w:hAnsi="Times New Roman"/>
          <w:sz w:val="23"/>
          <w:szCs w:val="23"/>
        </w:rPr>
        <w:t xml:space="preserve">Závěrem můžeme jednoznačně konstatovat, že námi nabízené technické řešení zcela respektuje zadávací dokumentaci včetně projektové dokumentace pro výběr zhotovitele stavby a je plně </w:t>
      </w:r>
      <w:r w:rsidRPr="005312EA">
        <w:rPr>
          <w:rFonts w:ascii="Times New Roman" w:hAnsi="Times New Roman"/>
          <w:sz w:val="23"/>
          <w:szCs w:val="23"/>
        </w:rPr>
        <w:lastRenderedPageBreak/>
        <w:t>kompatibilní, se stávajícím řídícím systémem rozvodů tepla Teplárny Písek a.s. jehož nedílnou součástí je grafická centrála EBI. Nabízené technické řešení nemá žádné dodatečné nároky na celkový počet komunikačních linek mezi dispečinkem a řídícím systémem stanic ani na celkovou kapacitu datových bodů dispečerského pracoviště EBI.</w:t>
      </w:r>
    </w:p>
    <w:p w:rsidR="00160A4C" w:rsidRDefault="00160A4C" w:rsidP="005312EA">
      <w:pPr>
        <w:pStyle w:val="Odstavec"/>
        <w:spacing w:before="0" w:after="0"/>
        <w:jc w:val="both"/>
        <w:rPr>
          <w:sz w:val="23"/>
          <w:szCs w:val="23"/>
        </w:rPr>
      </w:pPr>
    </w:p>
    <w:p w:rsidR="00304A60" w:rsidRPr="00304A60" w:rsidRDefault="00304A60" w:rsidP="00304A60">
      <w:pPr>
        <w:pStyle w:val="Nadpis1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KOMPAKTNÍ PŘEDÁVACÍ STANICE</w:t>
      </w:r>
    </w:p>
    <w:p w:rsidR="00304A60" w:rsidRDefault="00304A60" w:rsidP="005312EA">
      <w:pPr>
        <w:pStyle w:val="Odstavec"/>
        <w:spacing w:before="0" w:after="0"/>
        <w:jc w:val="both"/>
        <w:rPr>
          <w:sz w:val="23"/>
          <w:szCs w:val="23"/>
        </w:rPr>
      </w:pPr>
    </w:p>
    <w:p w:rsidR="00304A60" w:rsidRPr="00304A60" w:rsidRDefault="00304A60" w:rsidP="00304A60">
      <w:pPr>
        <w:pStyle w:val="Nadpis1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TENZA AQHN – Tlakově nezávislá předávací stanice</w:t>
      </w:r>
    </w:p>
    <w:p w:rsidR="00304A60" w:rsidRPr="00304A60" w:rsidRDefault="00304A60" w:rsidP="00304A60">
      <w:pPr>
        <w:jc w:val="both"/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jc w:val="both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Horkovodní předávací stanice jsou určeny pro systémy s primárním topným médiem o teplotě do </w:t>
      </w: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140 </w:t>
      </w:r>
      <w:r w:rsidRPr="00304A60">
        <w:rPr>
          <w:rFonts w:ascii="Times New Roman" w:hAnsi="Times New Roman"/>
          <w:sz w:val="23"/>
          <w:szCs w:val="23"/>
        </w:rPr>
        <w:sym w:font="Arial" w:char="00B0"/>
      </w:r>
      <w:r w:rsidRPr="00304A60">
        <w:rPr>
          <w:rFonts w:ascii="Times New Roman" w:hAnsi="Times New Roman"/>
          <w:sz w:val="23"/>
          <w:szCs w:val="23"/>
        </w:rPr>
        <w:t xml:space="preserve">C a tlaku do 2.5 MPa. Toto uspořádání umožňuje tlakově oddělit topnou vodu primární a sekundární strany a zajistit nezávislost objektu na rozvodu teplárenské sítě (CZT). </w:t>
      </w: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pStyle w:val="Nadpis3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Funkční popis </w:t>
      </w:r>
    </w:p>
    <w:p w:rsidR="00304A60" w:rsidRPr="00304A60" w:rsidRDefault="00304A60" w:rsidP="00304A60">
      <w:pPr>
        <w:pStyle w:val="Zkladntextodsazen2"/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Primární topné médium vstupuje do předávací stanice a předává teplo v deskových výměnících UT a TV. Osazené regulační ventily zajišťují ekvitermní regulaci teploty UT a regulaci na konstantní teplotu TV. Na výstupu z výměníkové stanice jsou osazeny ultrazvukové měřiče tepla. Pro možnost hydraulického vyvážení soustavy je v KPS osazen vyvažovací ventil a regulátor diferenčního tlaku.</w:t>
      </w:r>
    </w:p>
    <w:p w:rsidR="00304A60" w:rsidRPr="00304A60" w:rsidRDefault="00304A60" w:rsidP="00304A60">
      <w:pPr>
        <w:pStyle w:val="Zkladntextodsazen2"/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Ve výměníku UT se sekundární topná voda ohřeje na požadovanou teplotu (</w:t>
      </w:r>
      <w:smartTag w:uri="urn:schemas-microsoft-com:office:smarttags" w:element="metricconverter">
        <w:smartTagPr>
          <w:attr w:name="ProductID" w:val="80ﾰC"/>
        </w:smartTagPr>
        <w:r w:rsidRPr="00304A60">
          <w:rPr>
            <w:rFonts w:ascii="Times New Roman" w:hAnsi="Times New Roman"/>
            <w:sz w:val="23"/>
            <w:szCs w:val="23"/>
          </w:rPr>
          <w:t>80°C</w:t>
        </w:r>
      </w:smartTag>
      <w:r w:rsidRPr="00304A60">
        <w:rPr>
          <w:rFonts w:ascii="Times New Roman" w:hAnsi="Times New Roman"/>
          <w:sz w:val="23"/>
          <w:szCs w:val="23"/>
        </w:rPr>
        <w:t xml:space="preserve">) a přes uzavírací armaturu vystupuje z předávací stanice. Oběh sekundární topné vody zajišťuje elektronicky řízené oběhové čerpadlo. Systém ÚT je chráněn proti nedovolenému přetlaku pojistným ventilem osazeným v pojistném místě za výměníkem. Doplňování vody do sekundárního systému UT je navrženo z vratného primárního potrubí přes sestavu armatur, včetně měření doplňovaného množství, které je realizováno mechanickým průtokoměrem. Expanze sekundární topné vody je zachycena v expanzní nádobě s vakem. </w:t>
      </w:r>
    </w:p>
    <w:p w:rsidR="00304A60" w:rsidRPr="00304A60" w:rsidRDefault="00304A60" w:rsidP="00304A60">
      <w:pPr>
        <w:pStyle w:val="Zkladntextodsazen2"/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TV je připravována ohřevem cirkulační a studené vody. Cirkulaci TV zajišťuje cirkulační čerpadlo. Ve výměníku TV se studená voda (smíšená cirkulační a studená voda) ohřeje na požadovanou teplotu (</w:t>
      </w:r>
      <w:smartTag w:uri="urn:schemas-microsoft-com:office:smarttags" w:element="metricconverter">
        <w:smartTagPr>
          <w:attr w:name="ProductID" w:val="55ﾰC"/>
        </w:smartTagPr>
        <w:r w:rsidRPr="00304A60">
          <w:rPr>
            <w:rFonts w:ascii="Times New Roman" w:hAnsi="Times New Roman"/>
            <w:sz w:val="23"/>
            <w:szCs w:val="23"/>
          </w:rPr>
          <w:t>55°C</w:t>
        </w:r>
      </w:smartTag>
      <w:r w:rsidRPr="00304A60">
        <w:rPr>
          <w:rFonts w:ascii="Times New Roman" w:hAnsi="Times New Roman"/>
          <w:sz w:val="23"/>
          <w:szCs w:val="23"/>
        </w:rPr>
        <w:t xml:space="preserve">) a přes uzavírací armaturu je hnána do nerezového zásobníku TV. </w:t>
      </w: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pStyle w:val="Nadpis3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Konstrukční řešení</w:t>
      </w: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>Nosnou konstrukci stanice tvoří ocelový rám svařený z tenkostěnných profilů, ve kterém je pevně uchyceno vlastní strojní zařízení. Potrubí primárního rozvodu a potrubí sekce UT je z oceli tř. 11, potrubí sekce TV je z oceli tř. 17. Stanice je navržena a konstrukčně řešena, tak aby byla minimalizovaná hlučnost a provozní chvění.</w:t>
      </w: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pStyle w:val="Nadpis3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Standardní vybavení stanice </w:t>
      </w:r>
    </w:p>
    <w:p w:rsidR="00304A60" w:rsidRPr="00304A60" w:rsidRDefault="00304A60" w:rsidP="00304A60">
      <w:pPr>
        <w:jc w:val="both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 Deskové výměníky:</w:t>
      </w:r>
      <w:r w:rsidRPr="00304A60">
        <w:rPr>
          <w:rFonts w:ascii="Times New Roman" w:hAnsi="Times New Roman"/>
          <w:sz w:val="23"/>
          <w:szCs w:val="23"/>
        </w:rPr>
        <w:tab/>
        <w:t>SWEP, Alfa Laval</w:t>
      </w:r>
    </w:p>
    <w:p w:rsidR="00304A60" w:rsidRPr="00304A60" w:rsidRDefault="00304A60" w:rsidP="00304A60">
      <w:pPr>
        <w:tabs>
          <w:tab w:val="left" w:pos="1800"/>
        </w:tabs>
        <w:jc w:val="both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 Regulační armatury:</w:t>
      </w:r>
      <w:r w:rsidRPr="00304A60">
        <w:rPr>
          <w:rFonts w:ascii="Times New Roman" w:hAnsi="Times New Roman"/>
          <w:sz w:val="23"/>
          <w:szCs w:val="23"/>
        </w:rPr>
        <w:tab/>
        <w:t>LDM, Siemens</w:t>
      </w:r>
    </w:p>
    <w:p w:rsidR="00304A60" w:rsidRPr="00304A60" w:rsidRDefault="00304A60" w:rsidP="00304A60">
      <w:pPr>
        <w:tabs>
          <w:tab w:val="left" w:pos="1620"/>
        </w:tabs>
        <w:jc w:val="both"/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 Uzavírací armatury:</w:t>
      </w:r>
      <w:r w:rsidRPr="00304A60">
        <w:rPr>
          <w:rFonts w:ascii="Times New Roman" w:hAnsi="Times New Roman"/>
          <w:sz w:val="23"/>
          <w:szCs w:val="23"/>
        </w:rPr>
        <w:tab/>
        <w:t>BROEN</w:t>
      </w: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  <w:r w:rsidRPr="00304A60">
        <w:rPr>
          <w:rFonts w:ascii="Times New Roman" w:hAnsi="Times New Roman"/>
          <w:sz w:val="23"/>
          <w:szCs w:val="23"/>
        </w:rPr>
        <w:t xml:space="preserve"> Čerpadla:</w:t>
      </w:r>
      <w:r w:rsidRPr="00304A60">
        <w:rPr>
          <w:rFonts w:ascii="Times New Roman" w:hAnsi="Times New Roman"/>
          <w:sz w:val="23"/>
          <w:szCs w:val="23"/>
        </w:rPr>
        <w:tab/>
      </w:r>
      <w:r w:rsidRPr="00304A60">
        <w:rPr>
          <w:rFonts w:ascii="Times New Roman" w:hAnsi="Times New Roman"/>
          <w:sz w:val="23"/>
          <w:szCs w:val="23"/>
        </w:rPr>
        <w:tab/>
        <w:t>Grundfos, Wilo</w:t>
      </w:r>
    </w:p>
    <w:p w:rsid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Katalogové listy jsou k dispozici na :</w:t>
      </w:r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3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http://www.swep.net/technology/brazed-plate-heat-exchangers/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4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http://www.alfalaval.cz/products/heat-transfer/plate-heat-exchangers/pajene-deskove-vymeniky-tepla/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5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http://www.ldmvalves.com/cz/vyrobky/regulacni-a-uzaviraci-ventily/rv-113.html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6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http://www.broen.us/Natural-Gas/Products/API-BALL-VALVES.aspx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7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http://www.wilo.cz/home/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304A60" w:rsidRDefault="005052F4" w:rsidP="00304A60">
      <w:pPr>
        <w:rPr>
          <w:rFonts w:ascii="Times New Roman" w:hAnsi="Times New Roman"/>
          <w:sz w:val="23"/>
          <w:szCs w:val="23"/>
        </w:rPr>
      </w:pPr>
      <w:hyperlink r:id="rId18" w:history="1">
        <w:r w:rsidR="00304A60" w:rsidRPr="00304A60">
          <w:rPr>
            <w:rStyle w:val="Hypertextovodkaz"/>
            <w:rFonts w:ascii="Times New Roman" w:hAnsi="Times New Roman"/>
            <w:sz w:val="23"/>
            <w:szCs w:val="23"/>
          </w:rPr>
          <w:t>http://cz.grundfos.com/</w:t>
        </w:r>
      </w:hyperlink>
    </w:p>
    <w:p w:rsidR="00304A60" w:rsidRPr="00304A60" w:rsidRDefault="00304A60" w:rsidP="00304A60">
      <w:pPr>
        <w:rPr>
          <w:rFonts w:ascii="Times New Roman" w:hAnsi="Times New Roman"/>
          <w:sz w:val="23"/>
          <w:szCs w:val="23"/>
        </w:rPr>
      </w:pPr>
    </w:p>
    <w:p w:rsidR="00304A60" w:rsidRPr="005312EA" w:rsidRDefault="00304A60" w:rsidP="005312EA">
      <w:pPr>
        <w:pStyle w:val="Odstavec"/>
        <w:spacing w:before="0" w:after="0"/>
        <w:jc w:val="both"/>
        <w:rPr>
          <w:sz w:val="23"/>
          <w:szCs w:val="23"/>
        </w:rPr>
      </w:pPr>
    </w:p>
    <w:sectPr w:rsidR="00304A60" w:rsidRPr="005312EA" w:rsidSect="00F3168E">
      <w:headerReference w:type="default" r:id="rId19"/>
      <w:footerReference w:type="default" r:id="rId20"/>
      <w:pgSz w:w="11907" w:h="16840" w:code="9"/>
      <w:pgMar w:top="1701" w:right="680" w:bottom="1134" w:left="1701" w:header="680" w:footer="68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B54" w:rsidRDefault="00EC7B54">
      <w:r>
        <w:separator/>
      </w:r>
    </w:p>
  </w:endnote>
  <w:endnote w:type="continuationSeparator" w:id="0">
    <w:p w:rsidR="00EC7B54" w:rsidRDefault="00EC7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E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AD4" w:rsidRDefault="004E0408" w:rsidP="004E0408">
    <w:pPr>
      <w:pStyle w:val="Zpat"/>
      <w:tabs>
        <w:tab w:val="clear" w:pos="9781"/>
        <w:tab w:val="right" w:pos="9498"/>
      </w:tabs>
      <w:spacing w:after="0"/>
      <w:jc w:val="center"/>
    </w:pPr>
    <w:r>
      <w:t xml:space="preserve">Strana:  </w:t>
    </w:r>
    <w:r w:rsidR="005052F4">
      <w:rPr>
        <w:rStyle w:val="slostrnky"/>
        <w:b/>
      </w:rPr>
      <w:fldChar w:fldCharType="begin"/>
    </w:r>
    <w:r>
      <w:rPr>
        <w:rStyle w:val="slostrnky"/>
        <w:b/>
      </w:rPr>
      <w:instrText xml:space="preserve"> PAGE </w:instrText>
    </w:r>
    <w:r w:rsidR="005052F4">
      <w:rPr>
        <w:rStyle w:val="slostrnky"/>
        <w:b/>
      </w:rPr>
      <w:fldChar w:fldCharType="separate"/>
    </w:r>
    <w:r w:rsidR="00E66130">
      <w:rPr>
        <w:rStyle w:val="slostrnky"/>
        <w:b/>
        <w:noProof/>
      </w:rPr>
      <w:t>34</w:t>
    </w:r>
    <w:r w:rsidR="005052F4">
      <w:rPr>
        <w:rStyle w:val="slostrnky"/>
        <w:b/>
      </w:rPr>
      <w:fldChar w:fldCharType="end"/>
    </w:r>
    <w:r>
      <w:rPr>
        <w:rStyle w:val="slostrnky"/>
        <w:b/>
      </w:rPr>
      <w:t xml:space="preserve"> </w:t>
    </w:r>
    <w:r>
      <w:rPr>
        <w:rStyle w:val="slostrnky"/>
      </w:rPr>
      <w:t xml:space="preserve">/ </w:t>
    </w:r>
    <w:r>
      <w:rPr>
        <w:rStyle w:val="slostrnky"/>
        <w:noProof/>
      </w:rPr>
      <w:t>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B54" w:rsidRDefault="00EC7B54">
      <w:r>
        <w:separator/>
      </w:r>
    </w:p>
  </w:footnote>
  <w:footnote w:type="continuationSeparator" w:id="0">
    <w:p w:rsidR="00EC7B54" w:rsidRDefault="00EC7B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26" w:type="dxa"/>
      <w:tblInd w:w="43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2296"/>
      <w:gridCol w:w="4820"/>
      <w:gridCol w:w="2410"/>
    </w:tblGrid>
    <w:tr w:rsidR="004C3AD4" w:rsidRPr="00570265" w:rsidTr="005E785B">
      <w:tc>
        <w:tcPr>
          <w:tcW w:w="2296" w:type="dxa"/>
          <w:vAlign w:val="center"/>
        </w:tcPr>
        <w:p w:rsidR="004C3AD4" w:rsidRDefault="004C3AD4" w:rsidP="00392287">
          <w:pPr>
            <w:spacing w:before="40" w:after="40"/>
            <w:jc w:val="center"/>
            <w:rPr>
              <w:rFonts w:cs="Arial"/>
              <w:smallCaps/>
              <w:sz w:val="18"/>
              <w:szCs w:val="18"/>
            </w:rPr>
          </w:pPr>
          <w:r>
            <w:rPr>
              <w:rFonts w:cs="Arial"/>
              <w:smallCaps/>
              <w:sz w:val="18"/>
              <w:szCs w:val="18"/>
            </w:rPr>
            <w:t>objednatel</w:t>
          </w:r>
        </w:p>
        <w:p w:rsidR="004C3AD4" w:rsidRPr="00FD603E" w:rsidRDefault="004C3AD4" w:rsidP="00392287">
          <w:pPr>
            <w:spacing w:before="40" w:after="40"/>
            <w:jc w:val="center"/>
            <w:rPr>
              <w:rFonts w:cs="Arial"/>
              <w:smallCaps/>
              <w:sz w:val="18"/>
              <w:szCs w:val="18"/>
            </w:rPr>
          </w:pPr>
          <w:bookmarkStart w:id="14" w:name="_Ec1B21609F76754158B97A9D82110DE1659"/>
          <w:r w:rsidRPr="00B41D34">
            <w:rPr>
              <w:b/>
              <w:sz w:val="18"/>
              <w:szCs w:val="18"/>
            </w:rPr>
            <w:t>Teplárna Písek, a.s.</w:t>
          </w:r>
          <w:bookmarkEnd w:id="14"/>
        </w:p>
      </w:tc>
      <w:tc>
        <w:tcPr>
          <w:tcW w:w="4820" w:type="dxa"/>
          <w:vMerge w:val="restart"/>
          <w:vAlign w:val="center"/>
        </w:tcPr>
        <w:p w:rsidR="004C3AD4" w:rsidRPr="00FF366D" w:rsidRDefault="004C3AD4" w:rsidP="00392287">
          <w:pPr>
            <w:spacing w:before="40" w:after="40"/>
            <w:jc w:val="center"/>
            <w:rPr>
              <w:rFonts w:cs="Arial"/>
              <w:b/>
              <w:kern w:val="0"/>
              <w:sz w:val="18"/>
              <w:szCs w:val="18"/>
            </w:rPr>
          </w:pPr>
          <w:bookmarkStart w:id="15" w:name="_Ec1B21609F76754158B97A9D82110DE1653"/>
          <w:r w:rsidRPr="00B41D34">
            <w:rPr>
              <w:rFonts w:cs="Arial"/>
              <w:b/>
              <w:kern w:val="0"/>
              <w:sz w:val="18"/>
              <w:szCs w:val="18"/>
            </w:rPr>
            <w:t>Písek – Horkovod Východ</w:t>
          </w:r>
          <w:bookmarkEnd w:id="15"/>
        </w:p>
        <w:p w:rsidR="004C3AD4" w:rsidRPr="00FD603E" w:rsidRDefault="004C3AD4" w:rsidP="00392287">
          <w:pPr>
            <w:spacing w:before="40" w:after="40"/>
            <w:jc w:val="center"/>
            <w:rPr>
              <w:kern w:val="0"/>
              <w:sz w:val="18"/>
              <w:szCs w:val="18"/>
            </w:rPr>
          </w:pPr>
          <w:r w:rsidRPr="00FD603E">
            <w:rPr>
              <w:b/>
              <w:caps/>
              <w:spacing w:val="60"/>
              <w:kern w:val="0"/>
              <w:sz w:val="18"/>
              <w:szCs w:val="18"/>
            </w:rPr>
            <w:t>smlouv</w:t>
          </w:r>
          <w:r w:rsidR="00754BBB">
            <w:rPr>
              <w:b/>
              <w:caps/>
              <w:spacing w:val="60"/>
              <w:kern w:val="0"/>
              <w:sz w:val="18"/>
              <w:szCs w:val="18"/>
            </w:rPr>
            <w:t>A</w:t>
          </w:r>
          <w:r w:rsidRPr="00FD603E">
            <w:rPr>
              <w:kern w:val="0"/>
              <w:sz w:val="18"/>
              <w:szCs w:val="18"/>
            </w:rPr>
            <w:t xml:space="preserve"> </w:t>
          </w:r>
          <w:r w:rsidRPr="00FD603E">
            <w:rPr>
              <w:b/>
              <w:caps/>
              <w:spacing w:val="60"/>
              <w:kern w:val="0"/>
              <w:sz w:val="18"/>
              <w:szCs w:val="18"/>
            </w:rPr>
            <w:t>o</w:t>
          </w:r>
          <w:r w:rsidRPr="00FD603E">
            <w:rPr>
              <w:kern w:val="0"/>
              <w:sz w:val="18"/>
              <w:szCs w:val="18"/>
            </w:rPr>
            <w:t xml:space="preserve"> </w:t>
          </w:r>
          <w:r w:rsidRPr="00FD603E">
            <w:rPr>
              <w:b/>
              <w:caps/>
              <w:spacing w:val="60"/>
              <w:kern w:val="0"/>
              <w:sz w:val="18"/>
              <w:szCs w:val="18"/>
            </w:rPr>
            <w:t>dílo</w:t>
          </w:r>
        </w:p>
        <w:p w:rsidR="004C3AD4" w:rsidRPr="00570265" w:rsidRDefault="004C3AD4" w:rsidP="003444D6">
          <w:pPr>
            <w:spacing w:before="40" w:after="40"/>
            <w:jc w:val="center"/>
            <w:rPr>
              <w:caps/>
              <w:sz w:val="18"/>
              <w:szCs w:val="18"/>
            </w:rPr>
          </w:pPr>
          <w:r>
            <w:rPr>
              <w:sz w:val="18"/>
              <w:szCs w:val="18"/>
            </w:rPr>
            <w:t>Příloha 4 – Technická specifikace</w:t>
          </w:r>
          <w:r w:rsidRPr="00B05A7D">
            <w:rPr>
              <w:smallCaps/>
              <w:sz w:val="18"/>
              <w:szCs w:val="18"/>
            </w:rPr>
            <w:t xml:space="preserve"> zhotovitele</w:t>
          </w:r>
        </w:p>
      </w:tc>
      <w:tc>
        <w:tcPr>
          <w:tcW w:w="2410" w:type="dxa"/>
        </w:tcPr>
        <w:p w:rsidR="004C3AD4" w:rsidRPr="00570265" w:rsidRDefault="004C3AD4" w:rsidP="003444D6">
          <w:pPr>
            <w:spacing w:before="40" w:after="40"/>
            <w:jc w:val="center"/>
            <w:rPr>
              <w:smallCaps/>
              <w:sz w:val="18"/>
              <w:szCs w:val="18"/>
            </w:rPr>
          </w:pPr>
          <w:r w:rsidRPr="00570265">
            <w:rPr>
              <w:smallCaps/>
              <w:sz w:val="18"/>
              <w:szCs w:val="18"/>
            </w:rPr>
            <w:t>zhotovitel</w:t>
          </w:r>
        </w:p>
        <w:p w:rsidR="004C3AD4" w:rsidRPr="00570265" w:rsidRDefault="004C3AD4" w:rsidP="003444D6">
          <w:pPr>
            <w:spacing w:before="40" w:after="4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TENZA, a.s.</w:t>
          </w:r>
        </w:p>
      </w:tc>
    </w:tr>
    <w:tr w:rsidR="004C3AD4" w:rsidRPr="00570265" w:rsidTr="005E785B">
      <w:tc>
        <w:tcPr>
          <w:tcW w:w="2296" w:type="dxa"/>
          <w:vAlign w:val="center"/>
        </w:tcPr>
        <w:p w:rsidR="004C3AD4" w:rsidRPr="00570265" w:rsidRDefault="004C3AD4" w:rsidP="00754BBB">
          <w:pPr>
            <w:tabs>
              <w:tab w:val="center" w:pos="4536"/>
              <w:tab w:val="right" w:pos="9072"/>
            </w:tabs>
            <w:spacing w:before="40" w:after="40"/>
            <w:rPr>
              <w:sz w:val="18"/>
              <w:szCs w:val="18"/>
            </w:rPr>
          </w:pPr>
          <w:r w:rsidRPr="00570265">
            <w:rPr>
              <w:sz w:val="18"/>
              <w:szCs w:val="18"/>
            </w:rPr>
            <w:t xml:space="preserve">Ev. č.: </w:t>
          </w:r>
          <w:r w:rsidR="00754BBB">
            <w:rPr>
              <w:sz w:val="18"/>
              <w:szCs w:val="18"/>
            </w:rPr>
            <w:t>5-2017</w:t>
          </w:r>
        </w:p>
      </w:tc>
      <w:tc>
        <w:tcPr>
          <w:tcW w:w="4820" w:type="dxa"/>
          <w:vMerge/>
          <w:vAlign w:val="center"/>
        </w:tcPr>
        <w:p w:rsidR="004C3AD4" w:rsidRPr="00570265" w:rsidRDefault="004C3AD4" w:rsidP="00392287">
          <w:pPr>
            <w:tabs>
              <w:tab w:val="center" w:pos="4536"/>
              <w:tab w:val="right" w:pos="9072"/>
            </w:tabs>
            <w:spacing w:before="40" w:after="40"/>
            <w:rPr>
              <w:sz w:val="18"/>
              <w:szCs w:val="18"/>
            </w:rPr>
          </w:pPr>
        </w:p>
      </w:tc>
      <w:tc>
        <w:tcPr>
          <w:tcW w:w="2410" w:type="dxa"/>
          <w:vAlign w:val="center"/>
        </w:tcPr>
        <w:p w:rsidR="004C3AD4" w:rsidRPr="00570265" w:rsidRDefault="004C3AD4" w:rsidP="00754BBB">
          <w:pPr>
            <w:tabs>
              <w:tab w:val="center" w:pos="4536"/>
              <w:tab w:val="right" w:pos="9072"/>
            </w:tabs>
            <w:spacing w:before="40" w:after="40"/>
            <w:rPr>
              <w:sz w:val="18"/>
              <w:szCs w:val="18"/>
            </w:rPr>
          </w:pPr>
          <w:r w:rsidRPr="00570265">
            <w:rPr>
              <w:sz w:val="18"/>
              <w:szCs w:val="18"/>
            </w:rPr>
            <w:t>Ev. č.:</w:t>
          </w:r>
          <w:r>
            <w:rPr>
              <w:sz w:val="18"/>
              <w:szCs w:val="18"/>
            </w:rPr>
            <w:t xml:space="preserve"> </w:t>
          </w:r>
          <w:r w:rsidR="00754BBB">
            <w:rPr>
              <w:sz w:val="18"/>
              <w:szCs w:val="18"/>
            </w:rPr>
            <w:t>S170024</w:t>
          </w:r>
        </w:p>
      </w:tc>
    </w:tr>
  </w:tbl>
  <w:p w:rsidR="004C3AD4" w:rsidRDefault="004C3AD4" w:rsidP="003444D6">
    <w:pPr>
      <w:pStyle w:val="Zhlav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4AB6B3"/>
    <w:multiLevelType w:val="hybridMultilevel"/>
    <w:tmpl w:val="32294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B"/>
    <w:multiLevelType w:val="multilevel"/>
    <w:tmpl w:val="4B50AE30"/>
    <w:lvl w:ilvl="0">
      <w:start w:val="1"/>
      <w:numFmt w:val="decimal"/>
      <w:pStyle w:val="Nadpis1"/>
      <w:lvlText w:val="%1."/>
      <w:legacy w:legacy="1" w:legacySpace="0" w:legacyIndent="1134"/>
      <w:lvlJc w:val="left"/>
      <w:pPr>
        <w:ind w:left="0" w:hanging="1134"/>
      </w:pPr>
    </w:lvl>
    <w:lvl w:ilvl="1">
      <w:start w:val="1"/>
      <w:numFmt w:val="decimal"/>
      <w:pStyle w:val="Nadpis2"/>
      <w:lvlText w:val="%1.%2"/>
      <w:legacy w:legacy="1" w:legacySpace="0" w:legacyIndent="1134"/>
      <w:lvlJc w:val="left"/>
      <w:pPr>
        <w:ind w:left="0" w:hanging="1134"/>
      </w:pPr>
    </w:lvl>
    <w:lvl w:ilvl="2">
      <w:start w:val="1"/>
      <w:numFmt w:val="decimal"/>
      <w:pStyle w:val="Nadpis3"/>
      <w:lvlText w:val="%1.%2.%3"/>
      <w:legacy w:legacy="1" w:legacySpace="0" w:legacyIndent="1134"/>
      <w:lvlJc w:val="left"/>
      <w:pPr>
        <w:ind w:left="0" w:hanging="1134"/>
      </w:pPr>
    </w:lvl>
    <w:lvl w:ilvl="3">
      <w:start w:val="1"/>
      <w:numFmt w:val="decimal"/>
      <w:pStyle w:val="Nadpis4"/>
      <w:lvlText w:val="%1.%2.%3.%4"/>
      <w:legacy w:legacy="1" w:legacySpace="0" w:legacyIndent="1134"/>
      <w:lvlJc w:val="left"/>
      <w:pPr>
        <w:ind w:left="0" w:hanging="1134"/>
      </w:pPr>
    </w:lvl>
    <w:lvl w:ilvl="4">
      <w:start w:val="1"/>
      <w:numFmt w:val="decimal"/>
      <w:pStyle w:val="Nadpis5"/>
      <w:lvlText w:val="%1.%2.%3.%4.%5"/>
      <w:legacy w:legacy="1" w:legacySpace="0" w:legacyIndent="0"/>
      <w:lvlJc w:val="left"/>
    </w:lvl>
    <w:lvl w:ilvl="5">
      <w:start w:val="1"/>
      <w:numFmt w:val="decimal"/>
      <w:pStyle w:val="Nadpis6"/>
      <w:lvlText w:val="%1.%2.%3.%4.%5.%6"/>
      <w:legacy w:legacy="1" w:legacySpace="0" w:legacyIndent="0"/>
      <w:lvlJc w:val="left"/>
    </w:lvl>
    <w:lvl w:ilvl="6">
      <w:start w:val="1"/>
      <w:numFmt w:val="decimal"/>
      <w:pStyle w:val="Nadpis7"/>
      <w:lvlText w:val="%1.%2.%3.%4.%5.%6.%7"/>
      <w:legacy w:legacy="1" w:legacySpace="0" w:legacyIndent="0"/>
      <w:lvlJc w:val="left"/>
    </w:lvl>
    <w:lvl w:ilvl="7">
      <w:start w:val="1"/>
      <w:numFmt w:val="decimal"/>
      <w:pStyle w:val="Nadpis8"/>
      <w:lvlText w:val="%1.%2.%3.%4.%5.%6.%7.%8"/>
      <w:legacy w:legacy="1" w:legacySpace="0" w:legacyIndent="0"/>
      <w:lvlJc w:val="left"/>
    </w:lvl>
    <w:lvl w:ilvl="8">
      <w:start w:val="1"/>
      <w:numFmt w:val="decimal"/>
      <w:pStyle w:val="Nadpis9"/>
      <w:lvlText w:val="%1.%2.%3.%4.%5.%6.%7.%8.%9"/>
      <w:legacy w:legacy="1" w:legacySpace="0" w:legacyIndent="0"/>
      <w:lvlJc w:val="left"/>
    </w:lvl>
  </w:abstractNum>
  <w:abstractNum w:abstractNumId="2">
    <w:nsid w:val="01FE12BC"/>
    <w:multiLevelType w:val="singleLevel"/>
    <w:tmpl w:val="E35AB07E"/>
    <w:lvl w:ilvl="0">
      <w:start w:val="1"/>
      <w:numFmt w:val="bullet"/>
      <w:pStyle w:val="Odrk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510B83"/>
    <w:multiLevelType w:val="hybridMultilevel"/>
    <w:tmpl w:val="F71F77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01940E3"/>
    <w:multiLevelType w:val="hybridMultilevel"/>
    <w:tmpl w:val="0CC5DA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2DC3FDA"/>
    <w:multiLevelType w:val="hybridMultilevel"/>
    <w:tmpl w:val="80B29E3E"/>
    <w:lvl w:ilvl="0" w:tplc="CDF6CCFC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6">
    <w:nsid w:val="49573D25"/>
    <w:multiLevelType w:val="hybridMultilevel"/>
    <w:tmpl w:val="284855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26D6955"/>
    <w:multiLevelType w:val="singleLevel"/>
    <w:tmpl w:val="46E672B4"/>
    <w:lvl w:ilvl="0">
      <w:start w:val="1"/>
      <w:numFmt w:val="bullet"/>
      <w:pStyle w:val="Bod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hint="default"/>
      </w:rPr>
    </w:lvl>
  </w:abstractNum>
  <w:abstractNum w:abstractNumId="8">
    <w:nsid w:val="58AF8814"/>
    <w:multiLevelType w:val="hybridMultilevel"/>
    <w:tmpl w:val="1A106E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E0C3210"/>
    <w:multiLevelType w:val="hybridMultilevel"/>
    <w:tmpl w:val="BAE6A522"/>
    <w:lvl w:ilvl="0" w:tplc="3418C710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2D1249"/>
    <w:multiLevelType w:val="hybridMultilevel"/>
    <w:tmpl w:val="88AFB1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6A47D4C"/>
    <w:multiLevelType w:val="hybridMultilevel"/>
    <w:tmpl w:val="9AD45850"/>
    <w:lvl w:ilvl="0" w:tplc="9400495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7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6"/>
  </w:num>
  <w:num w:numId="15">
    <w:abstractNumId w:val="10"/>
  </w:num>
  <w:num w:numId="16">
    <w:abstractNumId w:val="4"/>
  </w:num>
  <w:num w:numId="17">
    <w:abstractNumId w:val="8"/>
  </w:num>
  <w:num w:numId="18">
    <w:abstractNumId w:val="0"/>
  </w:num>
  <w:num w:numId="19">
    <w:abstractNumId w:val="5"/>
  </w:num>
  <w:num w:numId="20">
    <w:abstractNumId w:val="9"/>
  </w:num>
  <w:num w:numId="21">
    <w:abstractNumId w:val="3"/>
  </w:num>
  <w:num w:numId="22">
    <w:abstractNumId w:val="1"/>
  </w:num>
  <w:num w:numId="23">
    <w:abstractNumId w:val="1"/>
  </w:num>
  <w:num w:numId="24">
    <w:abstractNumId w:val="1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PůvodníDatumPosledníModifikace" w:val="10. 3. 2011 10:54:00"/>
    <w:docVar w:name="PůvodníNázevSouboru" w:val="D3_Příloha 04-Tech.spec.zhotovitele.doc"/>
    <w:docVar w:name="PůvodníVelikostSouboru" w:val="39424"/>
  </w:docVars>
  <w:rsids>
    <w:rsidRoot w:val="00065547"/>
    <w:rsid w:val="000168FC"/>
    <w:rsid w:val="00024307"/>
    <w:rsid w:val="00044BA2"/>
    <w:rsid w:val="00054334"/>
    <w:rsid w:val="00065547"/>
    <w:rsid w:val="00071C17"/>
    <w:rsid w:val="00072D84"/>
    <w:rsid w:val="00083BDA"/>
    <w:rsid w:val="00086C34"/>
    <w:rsid w:val="000A107B"/>
    <w:rsid w:val="000B6388"/>
    <w:rsid w:val="000C1460"/>
    <w:rsid w:val="000D3AC7"/>
    <w:rsid w:val="000E6863"/>
    <w:rsid w:val="000F0C96"/>
    <w:rsid w:val="000F38A6"/>
    <w:rsid w:val="00101DA8"/>
    <w:rsid w:val="00115B31"/>
    <w:rsid w:val="00144D09"/>
    <w:rsid w:val="0014583B"/>
    <w:rsid w:val="00150551"/>
    <w:rsid w:val="00160A4C"/>
    <w:rsid w:val="001743FC"/>
    <w:rsid w:val="001761C2"/>
    <w:rsid w:val="001A7914"/>
    <w:rsid w:val="001B3324"/>
    <w:rsid w:val="001E2CDA"/>
    <w:rsid w:val="00203E40"/>
    <w:rsid w:val="0020416B"/>
    <w:rsid w:val="0020626F"/>
    <w:rsid w:val="00207A70"/>
    <w:rsid w:val="00234C60"/>
    <w:rsid w:val="00275A72"/>
    <w:rsid w:val="0029767A"/>
    <w:rsid w:val="002B0F12"/>
    <w:rsid w:val="002B49D4"/>
    <w:rsid w:val="002D2A2B"/>
    <w:rsid w:val="002D2A9C"/>
    <w:rsid w:val="002D319B"/>
    <w:rsid w:val="003034EF"/>
    <w:rsid w:val="00304A60"/>
    <w:rsid w:val="00307F96"/>
    <w:rsid w:val="0031609F"/>
    <w:rsid w:val="003444D6"/>
    <w:rsid w:val="00392287"/>
    <w:rsid w:val="003B3509"/>
    <w:rsid w:val="003B533D"/>
    <w:rsid w:val="003C1795"/>
    <w:rsid w:val="003C181E"/>
    <w:rsid w:val="003D19E2"/>
    <w:rsid w:val="003F56D9"/>
    <w:rsid w:val="003F7741"/>
    <w:rsid w:val="00403F74"/>
    <w:rsid w:val="0041410D"/>
    <w:rsid w:val="0041794A"/>
    <w:rsid w:val="004478B8"/>
    <w:rsid w:val="004718D6"/>
    <w:rsid w:val="004737BF"/>
    <w:rsid w:val="0048525B"/>
    <w:rsid w:val="0048557A"/>
    <w:rsid w:val="004A0D86"/>
    <w:rsid w:val="004B363D"/>
    <w:rsid w:val="004C3AD4"/>
    <w:rsid w:val="004D6357"/>
    <w:rsid w:val="004D6C9E"/>
    <w:rsid w:val="004E0408"/>
    <w:rsid w:val="004E79F7"/>
    <w:rsid w:val="004F27C7"/>
    <w:rsid w:val="004F37CE"/>
    <w:rsid w:val="00504F70"/>
    <w:rsid w:val="005052F4"/>
    <w:rsid w:val="00510029"/>
    <w:rsid w:val="005302D8"/>
    <w:rsid w:val="005312EA"/>
    <w:rsid w:val="005360CD"/>
    <w:rsid w:val="005374C2"/>
    <w:rsid w:val="00545740"/>
    <w:rsid w:val="005543E1"/>
    <w:rsid w:val="00562FC9"/>
    <w:rsid w:val="0059341D"/>
    <w:rsid w:val="00593CD2"/>
    <w:rsid w:val="005A38CB"/>
    <w:rsid w:val="005A7802"/>
    <w:rsid w:val="005B519B"/>
    <w:rsid w:val="005D093E"/>
    <w:rsid w:val="005D41E5"/>
    <w:rsid w:val="005E785B"/>
    <w:rsid w:val="005F3FCC"/>
    <w:rsid w:val="00607505"/>
    <w:rsid w:val="00664CE2"/>
    <w:rsid w:val="00683878"/>
    <w:rsid w:val="006A3B54"/>
    <w:rsid w:val="006C3127"/>
    <w:rsid w:val="006F36B7"/>
    <w:rsid w:val="00701DBC"/>
    <w:rsid w:val="007242F9"/>
    <w:rsid w:val="007355C6"/>
    <w:rsid w:val="00740A92"/>
    <w:rsid w:val="00751A1E"/>
    <w:rsid w:val="00754BBB"/>
    <w:rsid w:val="007557A1"/>
    <w:rsid w:val="00756A9F"/>
    <w:rsid w:val="007772E5"/>
    <w:rsid w:val="00784F69"/>
    <w:rsid w:val="007B0417"/>
    <w:rsid w:val="007B6B83"/>
    <w:rsid w:val="007D6429"/>
    <w:rsid w:val="007E473E"/>
    <w:rsid w:val="008136E9"/>
    <w:rsid w:val="00814F31"/>
    <w:rsid w:val="0085253B"/>
    <w:rsid w:val="008727C2"/>
    <w:rsid w:val="00872BC1"/>
    <w:rsid w:val="00880797"/>
    <w:rsid w:val="008812DB"/>
    <w:rsid w:val="00882F43"/>
    <w:rsid w:val="008963F6"/>
    <w:rsid w:val="00897656"/>
    <w:rsid w:val="008A1DEA"/>
    <w:rsid w:val="008B10C3"/>
    <w:rsid w:val="008C4946"/>
    <w:rsid w:val="008D62EB"/>
    <w:rsid w:val="008F40B7"/>
    <w:rsid w:val="00900980"/>
    <w:rsid w:val="009249C0"/>
    <w:rsid w:val="009258FB"/>
    <w:rsid w:val="00937D77"/>
    <w:rsid w:val="00942B78"/>
    <w:rsid w:val="00967481"/>
    <w:rsid w:val="00994402"/>
    <w:rsid w:val="00997E87"/>
    <w:rsid w:val="009B35E5"/>
    <w:rsid w:val="009C456B"/>
    <w:rsid w:val="009D2350"/>
    <w:rsid w:val="009E418E"/>
    <w:rsid w:val="009E5915"/>
    <w:rsid w:val="00A00C39"/>
    <w:rsid w:val="00A00FA5"/>
    <w:rsid w:val="00A119A1"/>
    <w:rsid w:val="00A421DF"/>
    <w:rsid w:val="00A51B60"/>
    <w:rsid w:val="00A523DC"/>
    <w:rsid w:val="00A55ADB"/>
    <w:rsid w:val="00A57F61"/>
    <w:rsid w:val="00A66289"/>
    <w:rsid w:val="00A70D9C"/>
    <w:rsid w:val="00A801ED"/>
    <w:rsid w:val="00A8582C"/>
    <w:rsid w:val="00A97576"/>
    <w:rsid w:val="00A97C6F"/>
    <w:rsid w:val="00AB4534"/>
    <w:rsid w:val="00AC6725"/>
    <w:rsid w:val="00AE488F"/>
    <w:rsid w:val="00B05A7D"/>
    <w:rsid w:val="00B06530"/>
    <w:rsid w:val="00B259F4"/>
    <w:rsid w:val="00B30F74"/>
    <w:rsid w:val="00B41D34"/>
    <w:rsid w:val="00B42C8C"/>
    <w:rsid w:val="00B60056"/>
    <w:rsid w:val="00BA0B8C"/>
    <w:rsid w:val="00BA23DA"/>
    <w:rsid w:val="00BB44DB"/>
    <w:rsid w:val="00BD7D36"/>
    <w:rsid w:val="00C114C0"/>
    <w:rsid w:val="00C3180E"/>
    <w:rsid w:val="00C318BA"/>
    <w:rsid w:val="00C36F9A"/>
    <w:rsid w:val="00C873A2"/>
    <w:rsid w:val="00C916BD"/>
    <w:rsid w:val="00CB5855"/>
    <w:rsid w:val="00CC68BE"/>
    <w:rsid w:val="00CC6AC3"/>
    <w:rsid w:val="00CD58E4"/>
    <w:rsid w:val="00CF1053"/>
    <w:rsid w:val="00D07E1C"/>
    <w:rsid w:val="00D16E09"/>
    <w:rsid w:val="00D412E8"/>
    <w:rsid w:val="00D54205"/>
    <w:rsid w:val="00D60F77"/>
    <w:rsid w:val="00D614FA"/>
    <w:rsid w:val="00D7006A"/>
    <w:rsid w:val="00D750E3"/>
    <w:rsid w:val="00D8101D"/>
    <w:rsid w:val="00D92817"/>
    <w:rsid w:val="00D97716"/>
    <w:rsid w:val="00DA517C"/>
    <w:rsid w:val="00DA5435"/>
    <w:rsid w:val="00DB254C"/>
    <w:rsid w:val="00DC1316"/>
    <w:rsid w:val="00DC4ED0"/>
    <w:rsid w:val="00E03304"/>
    <w:rsid w:val="00E14CB0"/>
    <w:rsid w:val="00E16083"/>
    <w:rsid w:val="00E16324"/>
    <w:rsid w:val="00E40E1B"/>
    <w:rsid w:val="00E5069C"/>
    <w:rsid w:val="00E66130"/>
    <w:rsid w:val="00E721CF"/>
    <w:rsid w:val="00EC7B54"/>
    <w:rsid w:val="00EE0606"/>
    <w:rsid w:val="00EE230B"/>
    <w:rsid w:val="00EE3420"/>
    <w:rsid w:val="00EF1AA3"/>
    <w:rsid w:val="00EF4682"/>
    <w:rsid w:val="00EF610E"/>
    <w:rsid w:val="00F1049A"/>
    <w:rsid w:val="00F11EF5"/>
    <w:rsid w:val="00F1253D"/>
    <w:rsid w:val="00F14B80"/>
    <w:rsid w:val="00F3168E"/>
    <w:rsid w:val="00F35B05"/>
    <w:rsid w:val="00F372C5"/>
    <w:rsid w:val="00F444FD"/>
    <w:rsid w:val="00F6123A"/>
    <w:rsid w:val="00F7674A"/>
    <w:rsid w:val="00F8700A"/>
    <w:rsid w:val="00FC56F9"/>
    <w:rsid w:val="00FC5D29"/>
    <w:rsid w:val="00FE134D"/>
    <w:rsid w:val="00FE23E8"/>
    <w:rsid w:val="00FF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0D9C"/>
    <w:pPr>
      <w:spacing w:after="120"/>
    </w:pPr>
    <w:rPr>
      <w:rFonts w:ascii="Arial" w:hAnsi="Arial"/>
      <w:kern w:val="28"/>
      <w:sz w:val="22"/>
    </w:rPr>
  </w:style>
  <w:style w:type="paragraph" w:styleId="Nadpis1">
    <w:name w:val="heading 1"/>
    <w:basedOn w:val="Normln"/>
    <w:next w:val="Normln"/>
    <w:qFormat/>
    <w:rsid w:val="00A70D9C"/>
    <w:pPr>
      <w:keepNext/>
      <w:numPr>
        <w:numId w:val="12"/>
      </w:numPr>
      <w:spacing w:before="360" w:after="240"/>
      <w:outlineLvl w:val="0"/>
    </w:pPr>
    <w:rPr>
      <w:b/>
      <w:caps/>
      <w:sz w:val="28"/>
    </w:rPr>
  </w:style>
  <w:style w:type="paragraph" w:styleId="Nadpis2">
    <w:name w:val="heading 2"/>
    <w:basedOn w:val="Normln"/>
    <w:next w:val="Normln"/>
    <w:qFormat/>
    <w:rsid w:val="00A70D9C"/>
    <w:pPr>
      <w:keepNext/>
      <w:numPr>
        <w:ilvl w:val="1"/>
        <w:numId w:val="12"/>
      </w:numPr>
      <w:spacing w:before="320" w:after="200"/>
      <w:outlineLvl w:val="1"/>
    </w:pPr>
    <w:rPr>
      <w:b/>
      <w:caps/>
      <w:sz w:val="26"/>
    </w:rPr>
  </w:style>
  <w:style w:type="paragraph" w:styleId="Nadpis3">
    <w:name w:val="heading 3"/>
    <w:basedOn w:val="Normln"/>
    <w:next w:val="Normln"/>
    <w:qFormat/>
    <w:rsid w:val="00A70D9C"/>
    <w:pPr>
      <w:keepNext/>
      <w:numPr>
        <w:ilvl w:val="2"/>
        <w:numId w:val="12"/>
      </w:numPr>
      <w:spacing w:before="280" w:after="160"/>
      <w:outlineLvl w:val="2"/>
    </w:pPr>
    <w:rPr>
      <w:b/>
      <w:caps/>
      <w:sz w:val="24"/>
    </w:rPr>
  </w:style>
  <w:style w:type="paragraph" w:styleId="Nadpis4">
    <w:name w:val="heading 4"/>
    <w:basedOn w:val="Normln"/>
    <w:next w:val="Normln"/>
    <w:qFormat/>
    <w:rsid w:val="00A70D9C"/>
    <w:pPr>
      <w:keepNext/>
      <w:numPr>
        <w:ilvl w:val="3"/>
        <w:numId w:val="12"/>
      </w:numPr>
      <w:spacing w:before="240"/>
      <w:outlineLvl w:val="3"/>
    </w:pPr>
    <w:rPr>
      <w:b/>
      <w:caps/>
    </w:rPr>
  </w:style>
  <w:style w:type="paragraph" w:styleId="Nadpis5">
    <w:name w:val="heading 5"/>
    <w:basedOn w:val="Normln"/>
    <w:next w:val="Normln"/>
    <w:qFormat/>
    <w:rsid w:val="00A70D9C"/>
    <w:pPr>
      <w:numPr>
        <w:ilvl w:val="4"/>
        <w:numId w:val="12"/>
      </w:numPr>
      <w:spacing w:before="240" w:after="60"/>
      <w:outlineLvl w:val="4"/>
    </w:pPr>
    <w:rPr>
      <w:rFonts w:ascii="Arial (WE)" w:hAnsi="Arial (WE)"/>
    </w:rPr>
  </w:style>
  <w:style w:type="paragraph" w:styleId="Nadpis6">
    <w:name w:val="heading 6"/>
    <w:basedOn w:val="Normln"/>
    <w:next w:val="Normln"/>
    <w:qFormat/>
    <w:rsid w:val="00A70D9C"/>
    <w:pPr>
      <w:numPr>
        <w:ilvl w:val="5"/>
        <w:numId w:val="12"/>
      </w:numPr>
      <w:spacing w:before="240" w:after="60"/>
      <w:outlineLvl w:val="5"/>
    </w:pPr>
    <w:rPr>
      <w:rFonts w:ascii="Arial (WE)" w:hAnsi="Arial (WE)"/>
      <w:i/>
    </w:rPr>
  </w:style>
  <w:style w:type="paragraph" w:styleId="Nadpis7">
    <w:name w:val="heading 7"/>
    <w:basedOn w:val="Normln"/>
    <w:next w:val="Normln"/>
    <w:qFormat/>
    <w:rsid w:val="00A70D9C"/>
    <w:pPr>
      <w:numPr>
        <w:ilvl w:val="6"/>
        <w:numId w:val="12"/>
      </w:numPr>
      <w:spacing w:before="240" w:after="60"/>
      <w:outlineLvl w:val="6"/>
    </w:pPr>
    <w:rPr>
      <w:rFonts w:ascii="Arial (WE)" w:hAnsi="Arial (WE)"/>
      <w:sz w:val="20"/>
    </w:rPr>
  </w:style>
  <w:style w:type="paragraph" w:styleId="Nadpis8">
    <w:name w:val="heading 8"/>
    <w:basedOn w:val="Normln"/>
    <w:next w:val="Normln"/>
    <w:qFormat/>
    <w:rsid w:val="00A70D9C"/>
    <w:pPr>
      <w:numPr>
        <w:ilvl w:val="7"/>
        <w:numId w:val="12"/>
      </w:numPr>
      <w:spacing w:before="240" w:after="60"/>
      <w:outlineLvl w:val="7"/>
    </w:pPr>
    <w:rPr>
      <w:rFonts w:ascii="Arial (WE)" w:hAnsi="Arial (WE)"/>
      <w:i/>
      <w:sz w:val="20"/>
    </w:rPr>
  </w:style>
  <w:style w:type="paragraph" w:styleId="Nadpis9">
    <w:name w:val="heading 9"/>
    <w:basedOn w:val="Normln"/>
    <w:next w:val="Normln"/>
    <w:qFormat/>
    <w:rsid w:val="00A70D9C"/>
    <w:pPr>
      <w:numPr>
        <w:ilvl w:val="8"/>
        <w:numId w:val="12"/>
      </w:numPr>
      <w:spacing w:before="240" w:after="60"/>
      <w:outlineLvl w:val="8"/>
    </w:pPr>
    <w:rPr>
      <w:rFonts w:ascii="Arial (WE)" w:hAnsi="Arial (WE)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1. Zeile"/>
    <w:basedOn w:val="Normln"/>
    <w:link w:val="ZhlavChar"/>
    <w:rsid w:val="00A70D9C"/>
    <w:pPr>
      <w:pBdr>
        <w:bottom w:val="single" w:sz="6" w:space="6" w:color="auto"/>
      </w:pBdr>
      <w:spacing w:after="60"/>
      <w:jc w:val="center"/>
    </w:pPr>
    <w:rPr>
      <w:sz w:val="18"/>
    </w:rPr>
  </w:style>
  <w:style w:type="paragraph" w:styleId="Zpat">
    <w:name w:val="footer"/>
    <w:basedOn w:val="Normln"/>
    <w:link w:val="ZpatChar"/>
    <w:rsid w:val="00A70D9C"/>
    <w:pPr>
      <w:pBdr>
        <w:top w:val="single" w:sz="6" w:space="4" w:color="auto"/>
      </w:pBdr>
      <w:tabs>
        <w:tab w:val="center" w:pos="4820"/>
        <w:tab w:val="right" w:pos="9781"/>
      </w:tabs>
      <w:spacing w:after="60"/>
    </w:pPr>
    <w:rPr>
      <w:sz w:val="18"/>
    </w:rPr>
  </w:style>
  <w:style w:type="character" w:styleId="slostrnky">
    <w:name w:val="page number"/>
    <w:basedOn w:val="Standardnpsmoodstavce"/>
    <w:rsid w:val="00A70D9C"/>
  </w:style>
  <w:style w:type="paragraph" w:customStyle="1" w:styleId="Odstavec">
    <w:name w:val="Odstavec"/>
    <w:basedOn w:val="Normln"/>
    <w:rsid w:val="00A70D9C"/>
    <w:pPr>
      <w:spacing w:before="120"/>
    </w:pPr>
  </w:style>
  <w:style w:type="paragraph" w:customStyle="1" w:styleId="Bod">
    <w:name w:val="Bod"/>
    <w:basedOn w:val="Normln"/>
    <w:rsid w:val="00A70D9C"/>
    <w:pPr>
      <w:numPr>
        <w:numId w:val="3"/>
      </w:numPr>
      <w:tabs>
        <w:tab w:val="clear" w:pos="0"/>
        <w:tab w:val="num" w:pos="360"/>
      </w:tabs>
      <w:ind w:left="0" w:firstLine="0"/>
    </w:pPr>
  </w:style>
  <w:style w:type="paragraph" w:customStyle="1" w:styleId="Odrka">
    <w:name w:val="Odrážka"/>
    <w:basedOn w:val="Normln"/>
    <w:rsid w:val="00A70D9C"/>
    <w:pPr>
      <w:numPr>
        <w:numId w:val="13"/>
      </w:numPr>
    </w:pPr>
  </w:style>
  <w:style w:type="paragraph" w:customStyle="1" w:styleId="odstavec0">
    <w:name w:val="odstavec0"/>
    <w:basedOn w:val="Normln"/>
    <w:rsid w:val="00937D77"/>
    <w:pPr>
      <w:keepLines/>
      <w:spacing w:before="120"/>
      <w:ind w:left="709" w:hanging="709"/>
      <w:jc w:val="both"/>
    </w:pPr>
  </w:style>
  <w:style w:type="paragraph" w:styleId="Nzev">
    <w:name w:val="Title"/>
    <w:basedOn w:val="Normln"/>
    <w:qFormat/>
    <w:rsid w:val="00937D77"/>
    <w:pPr>
      <w:shd w:val="pct10" w:color="auto" w:fill="auto"/>
      <w:spacing w:before="3240"/>
    </w:pPr>
    <w:rPr>
      <w:b/>
      <w:caps/>
      <w:sz w:val="52"/>
    </w:rPr>
  </w:style>
  <w:style w:type="paragraph" w:styleId="Obsah1">
    <w:name w:val="toc 1"/>
    <w:basedOn w:val="Normln"/>
    <w:next w:val="Normln"/>
    <w:semiHidden/>
    <w:rsid w:val="00A70D9C"/>
    <w:pPr>
      <w:tabs>
        <w:tab w:val="right" w:leader="dot" w:pos="8788"/>
      </w:tabs>
      <w:spacing w:before="240"/>
    </w:pPr>
    <w:rPr>
      <w:b/>
    </w:rPr>
  </w:style>
  <w:style w:type="paragraph" w:styleId="Obsah2">
    <w:name w:val="toc 2"/>
    <w:basedOn w:val="Normln"/>
    <w:next w:val="Normln"/>
    <w:semiHidden/>
    <w:rsid w:val="00A70D9C"/>
    <w:pPr>
      <w:tabs>
        <w:tab w:val="right" w:leader="dot" w:pos="8788"/>
      </w:tabs>
      <w:ind w:left="240"/>
    </w:pPr>
  </w:style>
  <w:style w:type="paragraph" w:styleId="Obsah3">
    <w:name w:val="toc 3"/>
    <w:basedOn w:val="Normln"/>
    <w:next w:val="Normln"/>
    <w:semiHidden/>
    <w:rsid w:val="00A70D9C"/>
    <w:pPr>
      <w:tabs>
        <w:tab w:val="right" w:leader="dot" w:pos="8788"/>
      </w:tabs>
      <w:ind w:left="480"/>
    </w:pPr>
  </w:style>
  <w:style w:type="paragraph" w:styleId="Obsah4">
    <w:name w:val="toc 4"/>
    <w:basedOn w:val="Normln"/>
    <w:next w:val="Normln"/>
    <w:semiHidden/>
    <w:rsid w:val="00A70D9C"/>
    <w:pPr>
      <w:tabs>
        <w:tab w:val="right" w:leader="dot" w:pos="8788"/>
      </w:tabs>
      <w:ind w:left="720"/>
    </w:pPr>
  </w:style>
  <w:style w:type="paragraph" w:customStyle="1" w:styleId="Podnadpis">
    <w:name w:val="Podnadpis"/>
    <w:basedOn w:val="Normln"/>
    <w:rsid w:val="00A70D9C"/>
    <w:pPr>
      <w:keepNext/>
      <w:spacing w:before="120"/>
    </w:pPr>
    <w:rPr>
      <w:b/>
    </w:rPr>
  </w:style>
  <w:style w:type="paragraph" w:styleId="Textbubliny">
    <w:name w:val="Balloon Text"/>
    <w:basedOn w:val="Normln"/>
    <w:semiHidden/>
    <w:rsid w:val="004E79F7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D7D36"/>
    <w:rPr>
      <w:color w:val="808080"/>
    </w:rPr>
  </w:style>
  <w:style w:type="character" w:customStyle="1" w:styleId="ZhlavChar">
    <w:name w:val="Záhlaví Char"/>
    <w:aliases w:val="1. Zeile Char"/>
    <w:basedOn w:val="Standardnpsmoodstavce"/>
    <w:link w:val="Zhlav"/>
    <w:rsid w:val="00392287"/>
    <w:rPr>
      <w:rFonts w:ascii="Arial" w:hAnsi="Arial"/>
      <w:kern w:val="28"/>
      <w:sz w:val="18"/>
    </w:rPr>
  </w:style>
  <w:style w:type="paragraph" w:customStyle="1" w:styleId="NormlnSoD">
    <w:name w:val="Normální SoD"/>
    <w:basedOn w:val="Normln"/>
    <w:rsid w:val="00392287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cs="Arial"/>
      <w:sz w:val="20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392287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392287"/>
    <w:rPr>
      <w:rFonts w:ascii="Arial" w:hAnsi="Arial"/>
      <w:kern w:val="28"/>
      <w:sz w:val="22"/>
    </w:rPr>
  </w:style>
  <w:style w:type="table" w:styleId="Jednoduchtabulka2">
    <w:name w:val="Table Simple 2"/>
    <w:basedOn w:val="Normlntabulka"/>
    <w:rsid w:val="00392287"/>
    <w:pPr>
      <w:spacing w:after="120"/>
    </w:pPr>
    <w:rPr>
      <w:rFonts w:ascii="Courier" w:hAnsi="Courie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DC4ED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Zkladntext">
    <w:name w:val="Body Text"/>
    <w:basedOn w:val="Normln"/>
    <w:link w:val="ZkladntextChar"/>
    <w:rsid w:val="00DC4ED0"/>
  </w:style>
  <w:style w:type="character" w:customStyle="1" w:styleId="ZkladntextChar">
    <w:name w:val="Základní text Char"/>
    <w:basedOn w:val="Standardnpsmoodstavce"/>
    <w:link w:val="Zkladntext"/>
    <w:rsid w:val="00DC4ED0"/>
    <w:rPr>
      <w:rFonts w:ascii="Arial" w:hAnsi="Arial"/>
      <w:kern w:val="28"/>
      <w:sz w:val="22"/>
    </w:rPr>
  </w:style>
  <w:style w:type="paragraph" w:customStyle="1" w:styleId="text">
    <w:name w:val="text"/>
    <w:basedOn w:val="Normln"/>
    <w:rsid w:val="00DC4ED0"/>
    <w:pPr>
      <w:spacing w:before="60" w:after="0"/>
      <w:ind w:firstLine="567"/>
      <w:jc w:val="both"/>
    </w:pPr>
    <w:rPr>
      <w:rFonts w:cs="Arial"/>
      <w:kern w:val="0"/>
      <w:szCs w:val="22"/>
    </w:rPr>
  </w:style>
  <w:style w:type="paragraph" w:styleId="Zkladntext2">
    <w:name w:val="Body Text 2"/>
    <w:basedOn w:val="Normln"/>
    <w:link w:val="Zkladntext2Char"/>
    <w:rsid w:val="00304A60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304A60"/>
    <w:rPr>
      <w:rFonts w:ascii="Arial" w:hAnsi="Arial"/>
      <w:kern w:val="28"/>
      <w:sz w:val="22"/>
    </w:rPr>
  </w:style>
  <w:style w:type="paragraph" w:styleId="Zkladntextodsazen2">
    <w:name w:val="Body Text Indent 2"/>
    <w:basedOn w:val="Normln"/>
    <w:link w:val="Zkladntextodsazen2Char"/>
    <w:rsid w:val="00304A60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304A60"/>
    <w:rPr>
      <w:rFonts w:ascii="Arial" w:hAnsi="Arial"/>
      <w:kern w:val="28"/>
      <w:sz w:val="22"/>
    </w:rPr>
  </w:style>
  <w:style w:type="character" w:styleId="Hypertextovodkaz">
    <w:name w:val="Hyperlink"/>
    <w:basedOn w:val="Standardnpsmoodstavce"/>
    <w:uiPriority w:val="99"/>
    <w:unhideWhenUsed/>
    <w:rsid w:val="00304A6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04A60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unhideWhenUsed/>
    <w:rsid w:val="004E0408"/>
    <w:rPr>
      <w:color w:val="800080" w:themeColor="followedHyperlink"/>
      <w:u w:val="single"/>
    </w:rPr>
  </w:style>
  <w:style w:type="character" w:customStyle="1" w:styleId="ZpatChar">
    <w:name w:val="Zápatí Char"/>
    <w:basedOn w:val="Standardnpsmoodstavce"/>
    <w:link w:val="Zpat"/>
    <w:rsid w:val="004E0408"/>
    <w:rPr>
      <w:rFonts w:ascii="Arial" w:hAnsi="Arial"/>
      <w:kern w:val="28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0D9C"/>
    <w:pPr>
      <w:spacing w:after="120"/>
    </w:pPr>
    <w:rPr>
      <w:rFonts w:ascii="Arial" w:hAnsi="Arial"/>
      <w:kern w:val="28"/>
      <w:sz w:val="22"/>
    </w:rPr>
  </w:style>
  <w:style w:type="paragraph" w:styleId="Nadpis1">
    <w:name w:val="heading 1"/>
    <w:basedOn w:val="Normln"/>
    <w:next w:val="Normln"/>
    <w:qFormat/>
    <w:rsid w:val="00A70D9C"/>
    <w:pPr>
      <w:keepNext/>
      <w:numPr>
        <w:numId w:val="12"/>
      </w:numPr>
      <w:spacing w:before="360" w:after="240"/>
      <w:outlineLvl w:val="0"/>
    </w:pPr>
    <w:rPr>
      <w:b/>
      <w:caps/>
      <w:sz w:val="28"/>
    </w:rPr>
  </w:style>
  <w:style w:type="paragraph" w:styleId="Nadpis2">
    <w:name w:val="heading 2"/>
    <w:basedOn w:val="Normln"/>
    <w:next w:val="Normln"/>
    <w:qFormat/>
    <w:rsid w:val="00A70D9C"/>
    <w:pPr>
      <w:keepNext/>
      <w:numPr>
        <w:ilvl w:val="1"/>
        <w:numId w:val="12"/>
      </w:numPr>
      <w:spacing w:before="320" w:after="200"/>
      <w:outlineLvl w:val="1"/>
    </w:pPr>
    <w:rPr>
      <w:b/>
      <w:caps/>
      <w:sz w:val="26"/>
    </w:rPr>
  </w:style>
  <w:style w:type="paragraph" w:styleId="Nadpis3">
    <w:name w:val="heading 3"/>
    <w:basedOn w:val="Normln"/>
    <w:next w:val="Normln"/>
    <w:qFormat/>
    <w:rsid w:val="00A70D9C"/>
    <w:pPr>
      <w:keepNext/>
      <w:numPr>
        <w:ilvl w:val="2"/>
        <w:numId w:val="12"/>
      </w:numPr>
      <w:spacing w:before="280" w:after="160"/>
      <w:outlineLvl w:val="2"/>
    </w:pPr>
    <w:rPr>
      <w:b/>
      <w:caps/>
      <w:sz w:val="24"/>
    </w:rPr>
  </w:style>
  <w:style w:type="paragraph" w:styleId="Nadpis4">
    <w:name w:val="heading 4"/>
    <w:basedOn w:val="Normln"/>
    <w:next w:val="Normln"/>
    <w:qFormat/>
    <w:rsid w:val="00A70D9C"/>
    <w:pPr>
      <w:keepNext/>
      <w:numPr>
        <w:ilvl w:val="3"/>
        <w:numId w:val="12"/>
      </w:numPr>
      <w:spacing w:before="240"/>
      <w:outlineLvl w:val="3"/>
    </w:pPr>
    <w:rPr>
      <w:b/>
      <w:caps/>
    </w:rPr>
  </w:style>
  <w:style w:type="paragraph" w:styleId="Nadpis5">
    <w:name w:val="heading 5"/>
    <w:basedOn w:val="Normln"/>
    <w:next w:val="Normln"/>
    <w:qFormat/>
    <w:rsid w:val="00A70D9C"/>
    <w:pPr>
      <w:numPr>
        <w:ilvl w:val="4"/>
        <w:numId w:val="12"/>
      </w:numPr>
      <w:spacing w:before="240" w:after="60"/>
      <w:outlineLvl w:val="4"/>
    </w:pPr>
    <w:rPr>
      <w:rFonts w:ascii="Arial (WE)" w:hAnsi="Arial (WE)"/>
    </w:rPr>
  </w:style>
  <w:style w:type="paragraph" w:styleId="Nadpis6">
    <w:name w:val="heading 6"/>
    <w:basedOn w:val="Normln"/>
    <w:next w:val="Normln"/>
    <w:qFormat/>
    <w:rsid w:val="00A70D9C"/>
    <w:pPr>
      <w:numPr>
        <w:ilvl w:val="5"/>
        <w:numId w:val="12"/>
      </w:numPr>
      <w:spacing w:before="240" w:after="60"/>
      <w:outlineLvl w:val="5"/>
    </w:pPr>
    <w:rPr>
      <w:rFonts w:ascii="Arial (WE)" w:hAnsi="Arial (WE)"/>
      <w:i/>
    </w:rPr>
  </w:style>
  <w:style w:type="paragraph" w:styleId="Nadpis7">
    <w:name w:val="heading 7"/>
    <w:basedOn w:val="Normln"/>
    <w:next w:val="Normln"/>
    <w:qFormat/>
    <w:rsid w:val="00A70D9C"/>
    <w:pPr>
      <w:numPr>
        <w:ilvl w:val="6"/>
        <w:numId w:val="12"/>
      </w:numPr>
      <w:spacing w:before="240" w:after="60"/>
      <w:outlineLvl w:val="6"/>
    </w:pPr>
    <w:rPr>
      <w:rFonts w:ascii="Arial (WE)" w:hAnsi="Arial (WE)"/>
      <w:sz w:val="20"/>
    </w:rPr>
  </w:style>
  <w:style w:type="paragraph" w:styleId="Nadpis8">
    <w:name w:val="heading 8"/>
    <w:basedOn w:val="Normln"/>
    <w:next w:val="Normln"/>
    <w:qFormat/>
    <w:rsid w:val="00A70D9C"/>
    <w:pPr>
      <w:numPr>
        <w:ilvl w:val="7"/>
        <w:numId w:val="12"/>
      </w:numPr>
      <w:spacing w:before="240" w:after="60"/>
      <w:outlineLvl w:val="7"/>
    </w:pPr>
    <w:rPr>
      <w:rFonts w:ascii="Arial (WE)" w:hAnsi="Arial (WE)"/>
      <w:i/>
      <w:sz w:val="20"/>
    </w:rPr>
  </w:style>
  <w:style w:type="paragraph" w:styleId="Nadpis9">
    <w:name w:val="heading 9"/>
    <w:basedOn w:val="Normln"/>
    <w:next w:val="Normln"/>
    <w:qFormat/>
    <w:rsid w:val="00A70D9C"/>
    <w:pPr>
      <w:numPr>
        <w:ilvl w:val="8"/>
        <w:numId w:val="12"/>
      </w:numPr>
      <w:spacing w:before="240" w:after="60"/>
      <w:outlineLvl w:val="8"/>
    </w:pPr>
    <w:rPr>
      <w:rFonts w:ascii="Arial (WE)" w:hAnsi="Arial (WE)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70D9C"/>
    <w:pPr>
      <w:pBdr>
        <w:bottom w:val="single" w:sz="6" w:space="6" w:color="auto"/>
      </w:pBdr>
      <w:spacing w:after="60"/>
      <w:jc w:val="center"/>
    </w:pPr>
    <w:rPr>
      <w:sz w:val="18"/>
    </w:rPr>
  </w:style>
  <w:style w:type="paragraph" w:styleId="Zpat">
    <w:name w:val="footer"/>
    <w:basedOn w:val="Normln"/>
    <w:rsid w:val="00A70D9C"/>
    <w:pPr>
      <w:pBdr>
        <w:top w:val="single" w:sz="6" w:space="4" w:color="auto"/>
      </w:pBdr>
      <w:tabs>
        <w:tab w:val="center" w:pos="4820"/>
        <w:tab w:val="right" w:pos="9781"/>
      </w:tabs>
      <w:spacing w:after="60"/>
    </w:pPr>
    <w:rPr>
      <w:sz w:val="18"/>
    </w:rPr>
  </w:style>
  <w:style w:type="character" w:styleId="slostrnky">
    <w:name w:val="page number"/>
    <w:basedOn w:val="Standardnpsmoodstavce"/>
    <w:rsid w:val="00A70D9C"/>
  </w:style>
  <w:style w:type="paragraph" w:customStyle="1" w:styleId="Odstavec">
    <w:name w:val="Odstavec"/>
    <w:basedOn w:val="Normln"/>
    <w:rsid w:val="00A70D9C"/>
    <w:pPr>
      <w:spacing w:before="120"/>
    </w:pPr>
  </w:style>
  <w:style w:type="paragraph" w:customStyle="1" w:styleId="Bod">
    <w:name w:val="Bod"/>
    <w:basedOn w:val="Normln"/>
    <w:rsid w:val="00A70D9C"/>
    <w:pPr>
      <w:numPr>
        <w:numId w:val="3"/>
      </w:numPr>
    </w:pPr>
  </w:style>
  <w:style w:type="paragraph" w:customStyle="1" w:styleId="Odrka">
    <w:name w:val="Odrážka"/>
    <w:basedOn w:val="Normln"/>
    <w:rsid w:val="00A70D9C"/>
    <w:pPr>
      <w:numPr>
        <w:numId w:val="13"/>
      </w:numPr>
    </w:pPr>
  </w:style>
  <w:style w:type="paragraph" w:customStyle="1" w:styleId="odstavec0">
    <w:name w:val="odstavec0"/>
    <w:basedOn w:val="Normln"/>
    <w:pPr>
      <w:keepLines/>
      <w:spacing w:before="120"/>
      <w:ind w:left="709" w:hanging="709"/>
      <w:jc w:val="both"/>
    </w:pPr>
  </w:style>
  <w:style w:type="paragraph" w:styleId="Nzev">
    <w:name w:val="Title"/>
    <w:basedOn w:val="Normln"/>
    <w:qFormat/>
    <w:pPr>
      <w:shd w:val="pct10" w:color="auto" w:fill="auto"/>
      <w:spacing w:before="3240"/>
    </w:pPr>
    <w:rPr>
      <w:b/>
      <w:caps/>
      <w:sz w:val="52"/>
    </w:rPr>
  </w:style>
  <w:style w:type="paragraph" w:styleId="Obsah1">
    <w:name w:val="toc 1"/>
    <w:basedOn w:val="Normln"/>
    <w:next w:val="Normln"/>
    <w:semiHidden/>
    <w:rsid w:val="00A70D9C"/>
    <w:pPr>
      <w:tabs>
        <w:tab w:val="right" w:leader="dot" w:pos="8788"/>
      </w:tabs>
      <w:spacing w:before="240"/>
    </w:pPr>
    <w:rPr>
      <w:b/>
    </w:rPr>
  </w:style>
  <w:style w:type="paragraph" w:styleId="Obsah2">
    <w:name w:val="toc 2"/>
    <w:basedOn w:val="Normln"/>
    <w:next w:val="Normln"/>
    <w:semiHidden/>
    <w:rsid w:val="00A70D9C"/>
    <w:pPr>
      <w:tabs>
        <w:tab w:val="right" w:leader="dot" w:pos="8788"/>
      </w:tabs>
      <w:ind w:left="240"/>
    </w:pPr>
  </w:style>
  <w:style w:type="paragraph" w:styleId="Obsah3">
    <w:name w:val="toc 3"/>
    <w:basedOn w:val="Normln"/>
    <w:next w:val="Normln"/>
    <w:semiHidden/>
    <w:rsid w:val="00A70D9C"/>
    <w:pPr>
      <w:tabs>
        <w:tab w:val="right" w:leader="dot" w:pos="8788"/>
      </w:tabs>
      <w:ind w:left="480"/>
    </w:pPr>
  </w:style>
  <w:style w:type="paragraph" w:styleId="Obsah4">
    <w:name w:val="toc 4"/>
    <w:basedOn w:val="Normln"/>
    <w:next w:val="Normln"/>
    <w:semiHidden/>
    <w:rsid w:val="00A70D9C"/>
    <w:pPr>
      <w:tabs>
        <w:tab w:val="right" w:leader="dot" w:pos="8788"/>
      </w:tabs>
      <w:ind w:left="720"/>
    </w:pPr>
  </w:style>
  <w:style w:type="paragraph" w:customStyle="1" w:styleId="Podnadpis">
    <w:name w:val="Podnadpis"/>
    <w:basedOn w:val="Normln"/>
    <w:rsid w:val="00A70D9C"/>
    <w:pPr>
      <w:keepNext/>
      <w:spacing w:before="120"/>
    </w:pPr>
    <w:rPr>
      <w:b/>
    </w:rPr>
  </w:style>
  <w:style w:type="paragraph" w:styleId="Textbubliny">
    <w:name w:val="Balloon Text"/>
    <w:basedOn w:val="Normln"/>
    <w:semiHidden/>
    <w:rsid w:val="004E79F7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D7D3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9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stor.com" TargetMode="External"/><Relationship Id="rId13" Type="http://schemas.openxmlformats.org/officeDocument/2006/relationships/hyperlink" Target="http://www.swep.net/technology/brazed-plate-heat-exchangers/" TargetMode="External"/><Relationship Id="rId18" Type="http://schemas.openxmlformats.org/officeDocument/2006/relationships/hyperlink" Target="http://cz.grundfos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wilo.cz/hom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oen.us/Natural-Gas/Products/API-BALL-VALVES.asp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ldmvalves.com/cz/vyrobky/regulacni-a-uzaviraci-ventily/rv-113.htm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soplus.cz" TargetMode="External"/><Relationship Id="rId14" Type="http://schemas.openxmlformats.org/officeDocument/2006/relationships/hyperlink" Target="http://www.alfalaval.cz/products/heat-transfer/plate-heat-exchangers/pajene-deskove-vymeniky-tepl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0271A-35DC-4731-A5A7-3A765E2D0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9994</Words>
  <Characters>58971</Characters>
  <Application>Microsoft Office Word</Application>
  <DocSecurity>0</DocSecurity>
  <Lines>491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ZD Východ V1-2</vt:lpstr>
    </vt:vector>
  </TitlesOfParts>
  <Company>E-Consult</Company>
  <LinksUpToDate>false</LinksUpToDate>
  <CharactersWithSpaces>68828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 Východ V1-2</dc:title>
  <dc:creator>E-Consult, s.r.o.</dc:creator>
  <cp:lastModifiedBy>User</cp:lastModifiedBy>
  <cp:revision>2</cp:revision>
  <cp:lastPrinted>2017-01-20T15:48:00Z</cp:lastPrinted>
  <dcterms:created xsi:type="dcterms:W3CDTF">2017-09-22T10:37:00Z</dcterms:created>
  <dcterms:modified xsi:type="dcterms:W3CDTF">2017-09-22T10:37:00Z</dcterms:modified>
</cp:coreProperties>
</file>