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B78" w:rsidRDefault="00C331FC">
      <w:pPr>
        <w:pStyle w:val="Bodytext40"/>
        <w:framePr w:w="1901" w:h="1258" w:wrap="none" w:hAnchor="page" w:x="6479" w:y="774"/>
      </w:pPr>
      <w:r>
        <w:rPr>
          <w:rStyle w:val="Bodytext4"/>
          <w:lang w:val="en-US" w:eastAsia="en-US" w:bidi="en-US"/>
        </w:rPr>
        <w:t xml:space="preserve">Generali </w:t>
      </w:r>
      <w:r>
        <w:rPr>
          <w:rStyle w:val="Bodytext4"/>
        </w:rPr>
        <w:t xml:space="preserve">Pojišťovna </w:t>
      </w:r>
      <w:proofErr w:type="gramStart"/>
      <w:r>
        <w:rPr>
          <w:rStyle w:val="Bodytext4"/>
        </w:rPr>
        <w:t>a.s</w:t>
      </w:r>
      <w:proofErr w:type="gramEnd"/>
      <w:r>
        <w:rPr>
          <w:rStyle w:val="Bodytext4"/>
        </w:rPr>
        <w:t>. generální ředitelství Bělehradská 132 120 84 Praha 2</w:t>
      </w:r>
    </w:p>
    <w:p w:rsidR="00424B78" w:rsidRDefault="00C331FC">
      <w:pPr>
        <w:pStyle w:val="Bodytext40"/>
        <w:framePr w:w="1901" w:h="1258" w:wrap="none" w:hAnchor="page" w:x="6479" w:y="774"/>
      </w:pPr>
      <w:r>
        <w:rPr>
          <w:rStyle w:val="Bodytext4"/>
        </w:rPr>
        <w:t>Česká republika</w:t>
      </w:r>
    </w:p>
    <w:p w:rsidR="00424B78" w:rsidRDefault="00C331FC">
      <w:pPr>
        <w:spacing w:line="360" w:lineRule="exact"/>
      </w:pPr>
      <w:r>
        <w:rPr>
          <w:noProof/>
          <w:lang w:bidi="ar-SA"/>
        </w:rPr>
        <w:lastRenderedPageBreak/>
        <w:drawing>
          <wp:anchor distT="0" distB="0" distL="0" distR="0" simplePos="0" relativeHeight="62914690" behindDoc="1" locked="0" layoutInCell="1" allowOverlap="1">
            <wp:simplePos x="0" y="0"/>
            <wp:positionH relativeFrom="page">
              <wp:posOffset>3369945</wp:posOffset>
            </wp:positionH>
            <wp:positionV relativeFrom="margin">
              <wp:posOffset>0</wp:posOffset>
            </wp:positionV>
            <wp:extent cx="585470" cy="688975"/>
            <wp:effectExtent l="0" t="0" r="0" b="0"/>
            <wp:wrapNone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585470" cy="688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24B78" w:rsidRDefault="00424B78">
      <w:pPr>
        <w:spacing w:line="360" w:lineRule="exact"/>
      </w:pPr>
    </w:p>
    <w:p w:rsidR="00424B78" w:rsidRDefault="00424B78">
      <w:pPr>
        <w:spacing w:line="360" w:lineRule="exact"/>
      </w:pPr>
    </w:p>
    <w:p w:rsidR="00424B78" w:rsidRDefault="00424B78">
      <w:pPr>
        <w:spacing w:line="360" w:lineRule="exact"/>
      </w:pPr>
    </w:p>
    <w:p w:rsidR="00424B78" w:rsidRDefault="00424B78">
      <w:pPr>
        <w:spacing w:after="589" w:line="1" w:lineRule="exact"/>
      </w:pPr>
    </w:p>
    <w:p w:rsidR="00424B78" w:rsidRDefault="00424B78">
      <w:pPr>
        <w:spacing w:line="1" w:lineRule="exact"/>
        <w:sectPr w:rsidR="00424B78">
          <w:pgSz w:w="11900" w:h="16840"/>
          <w:pgMar w:top="1415" w:right="1049" w:bottom="810" w:left="377" w:header="987" w:footer="382" w:gutter="0"/>
          <w:pgNumType w:start="1"/>
          <w:cols w:space="720"/>
          <w:noEndnote/>
          <w:docGrid w:linePitch="360"/>
        </w:sectPr>
      </w:pPr>
    </w:p>
    <w:p w:rsidR="00424B78" w:rsidRDefault="00C331FC">
      <w:pPr>
        <w:pStyle w:val="Heading110"/>
        <w:keepNext/>
        <w:keepLines/>
      </w:pPr>
      <w:bookmarkStart w:id="0" w:name="bookmark0"/>
      <w:r>
        <w:rPr>
          <w:rStyle w:val="Heading11"/>
        </w:rPr>
        <w:lastRenderedPageBreak/>
        <w:t>Pojistná smlouva Č. 0329707905</w:t>
      </w:r>
      <w:bookmarkEnd w:id="0"/>
    </w:p>
    <w:p w:rsidR="00424B78" w:rsidRDefault="00C331FC">
      <w:pPr>
        <w:pStyle w:val="Bodytext10"/>
        <w:spacing w:after="220"/>
        <w:ind w:firstLine="180"/>
      </w:pPr>
      <w:r>
        <w:rPr>
          <w:rStyle w:val="Bodytext1"/>
          <w:b/>
          <w:bCs/>
        </w:rPr>
        <w:t>Číslo klienta: 12165347</w:t>
      </w:r>
    </w:p>
    <w:p w:rsidR="00424B78" w:rsidRDefault="00C331FC">
      <w:pPr>
        <w:pStyle w:val="Bodytext10"/>
        <w:ind w:firstLine="180"/>
      </w:pPr>
      <w:proofErr w:type="gramStart"/>
      <w:r>
        <w:rPr>
          <w:rStyle w:val="Bodytext1"/>
          <w:b/>
          <w:bCs/>
          <w:lang w:val="en-US" w:eastAsia="en-US" w:bidi="en-US"/>
        </w:rPr>
        <w:t xml:space="preserve">Generali </w:t>
      </w:r>
      <w:r>
        <w:rPr>
          <w:rStyle w:val="Bodytext1"/>
          <w:b/>
          <w:bCs/>
        </w:rPr>
        <w:t>Pojišťovna a.s.</w:t>
      </w:r>
      <w:proofErr w:type="gramEnd"/>
    </w:p>
    <w:p w:rsidR="00424B78" w:rsidRDefault="00C331FC">
      <w:pPr>
        <w:pStyle w:val="Bodytext10"/>
        <w:ind w:firstLine="180"/>
      </w:pPr>
      <w:r>
        <w:rPr>
          <w:rStyle w:val="Bodytext1"/>
        </w:rPr>
        <w:t>Bělehradská 132, 120 84 Praha 2, IC: 61859869</w:t>
      </w:r>
    </w:p>
    <w:p w:rsidR="00424B78" w:rsidRDefault="00C331FC">
      <w:pPr>
        <w:pStyle w:val="Bodytext10"/>
        <w:spacing w:after="40"/>
        <w:ind w:left="180" w:firstLine="40"/>
      </w:pPr>
      <w:r>
        <w:rPr>
          <w:rStyle w:val="Bodytext1"/>
        </w:rPr>
        <w:t>zapsaná v obchodním rejstříku vedeném Městským soudem v Praze, oddíl B, vložka 2866 zastoupená Ing. Petrem Kopeckým, členem představenstva a generálním ředitelem a Mgr. Romanem Kochem, členem představenstva a</w:t>
      </w:r>
      <w:r w:rsidR="00AF3D25">
        <w:rPr>
          <w:rStyle w:val="Bodytext1"/>
        </w:rPr>
        <w:t xml:space="preserve"> vrchním ředitelem úseku financí</w:t>
      </w:r>
      <w:bookmarkStart w:id="1" w:name="_GoBack"/>
      <w:bookmarkEnd w:id="1"/>
    </w:p>
    <w:p w:rsidR="00424B78" w:rsidRDefault="00C331FC">
      <w:pPr>
        <w:pStyle w:val="Bodytext30"/>
        <w:spacing w:after="0" w:line="295" w:lineRule="auto"/>
        <w:ind w:left="0" w:firstLine="180"/>
      </w:pPr>
      <w:r>
        <w:rPr>
          <w:rStyle w:val="Bodytext3"/>
          <w:lang w:val="en-US" w:eastAsia="en-US" w:bidi="en-US"/>
        </w:rPr>
        <w:t xml:space="preserve">Generali </w:t>
      </w:r>
      <w:r>
        <w:rPr>
          <w:rStyle w:val="Bodytext3"/>
        </w:rPr>
        <w:t xml:space="preserve">Pojišťovna </w:t>
      </w:r>
      <w:proofErr w:type="gramStart"/>
      <w:r>
        <w:rPr>
          <w:rStyle w:val="Bodytext3"/>
        </w:rPr>
        <w:t>a.s</w:t>
      </w:r>
      <w:proofErr w:type="gramEnd"/>
      <w:r>
        <w:rPr>
          <w:rStyle w:val="Bodytext3"/>
        </w:rPr>
        <w:t>. je zapsána v obchodním rejstříku vedeném Městským soudem v Praze, oddíl B, vložka 2866</w:t>
      </w:r>
    </w:p>
    <w:p w:rsidR="00424B78" w:rsidRDefault="00C331FC">
      <w:pPr>
        <w:pStyle w:val="Bodytext30"/>
        <w:spacing w:line="269" w:lineRule="auto"/>
        <w:ind w:firstLine="40"/>
        <w:rPr>
          <w:sz w:val="18"/>
          <w:szCs w:val="18"/>
        </w:rPr>
      </w:pPr>
      <w:r>
        <w:rPr>
          <w:rStyle w:val="Bodytext3"/>
        </w:rPr>
        <w:t xml:space="preserve">Společnost je členem Skupiny </w:t>
      </w:r>
      <w:r>
        <w:rPr>
          <w:rStyle w:val="Bodytext3"/>
          <w:lang w:val="en-US" w:eastAsia="en-US" w:bidi="en-US"/>
        </w:rPr>
        <w:t xml:space="preserve">Generali, </w:t>
      </w:r>
      <w:r>
        <w:rPr>
          <w:rStyle w:val="Bodytext3"/>
        </w:rPr>
        <w:t xml:space="preserve">zapsané v italském registru pojišťovacích skupin, vedeném </w:t>
      </w:r>
      <w:proofErr w:type="spellStart"/>
      <w:r>
        <w:rPr>
          <w:rStyle w:val="Bodytext3"/>
        </w:rPr>
        <w:t>ISVAPem</w:t>
      </w:r>
      <w:proofErr w:type="spellEnd"/>
      <w:r>
        <w:rPr>
          <w:rStyle w:val="Bodytext3"/>
        </w:rPr>
        <w:t xml:space="preserve">, pod číslem 26. </w:t>
      </w:r>
      <w:r>
        <w:rPr>
          <w:rStyle w:val="Bodytext3"/>
          <w:sz w:val="18"/>
          <w:szCs w:val="18"/>
        </w:rPr>
        <w:t>(dále jen "pojistitel”)</w:t>
      </w:r>
    </w:p>
    <w:p w:rsidR="00424B78" w:rsidRDefault="00C331FC">
      <w:pPr>
        <w:pStyle w:val="Bodytext10"/>
        <w:spacing w:after="220"/>
        <w:ind w:firstLine="180"/>
      </w:pPr>
      <w:r>
        <w:rPr>
          <w:rStyle w:val="Bodytext1"/>
        </w:rPr>
        <w:t>a</w:t>
      </w:r>
    </w:p>
    <w:p w:rsidR="00424B78" w:rsidRDefault="00C331FC">
      <w:pPr>
        <w:pStyle w:val="Bodytext10"/>
        <w:spacing w:after="220" w:line="254" w:lineRule="auto"/>
        <w:ind w:left="180" w:firstLine="40"/>
      </w:pPr>
      <w:r>
        <w:rPr>
          <w:rStyle w:val="Bodytext1"/>
          <w:b/>
          <w:bCs/>
        </w:rPr>
        <w:t xml:space="preserve">Národní divadlo, </w:t>
      </w:r>
      <w:r>
        <w:rPr>
          <w:rStyle w:val="Bodytext1"/>
        </w:rPr>
        <w:t>se sídlem Ostrovní 1, 112 30 Praha 1, IČ 00023337 zastoupený PhDr. Ondřejem Černým, ředitelem (dále jen pojistník / pojištěný)</w:t>
      </w:r>
    </w:p>
    <w:p w:rsidR="00424B78" w:rsidRDefault="00C331FC">
      <w:pPr>
        <w:pStyle w:val="Heading210"/>
        <w:keepNext/>
        <w:keepLines/>
        <w:ind w:firstLine="180"/>
      </w:pPr>
      <w:bookmarkStart w:id="2" w:name="bookmark2"/>
      <w:r>
        <w:rPr>
          <w:rStyle w:val="Heading21"/>
          <w:b/>
          <w:bCs/>
        </w:rPr>
        <w:t>Makléřská doložka:</w:t>
      </w:r>
      <w:bookmarkEnd w:id="2"/>
    </w:p>
    <w:p w:rsidR="00424B78" w:rsidRDefault="00C331FC">
      <w:pPr>
        <w:pStyle w:val="Bodytext10"/>
        <w:spacing w:after="220"/>
        <w:ind w:left="180" w:firstLine="40"/>
      </w:pPr>
      <w:r>
        <w:rPr>
          <w:rStyle w:val="Bodytext1"/>
        </w:rPr>
        <w:t xml:space="preserve">Pojištění je sjednáno prostřednictvím zplnomocněného makléře </w:t>
      </w:r>
      <w:proofErr w:type="gramStart"/>
      <w:r>
        <w:rPr>
          <w:rStyle w:val="Bodytext1"/>
        </w:rPr>
        <w:t>C.E.B., a.</w:t>
      </w:r>
      <w:proofErr w:type="gramEnd"/>
      <w:r>
        <w:rPr>
          <w:rStyle w:val="Bodytext1"/>
        </w:rPr>
        <w:t>s., který je pověřen vedením a zpracováním pojistného zájmu pojištěného. Obchodní styk, který se týká této pojistné smlouvy, bude prováděn výlučně jeho prostřednictvím. Zplnomocněný makléř je oprávněn přijímat smluvně závazná oznámení, prohlášení a rozhodnutí smluvních stran.</w:t>
      </w:r>
    </w:p>
    <w:p w:rsidR="00424B78" w:rsidRDefault="00C331FC">
      <w:pPr>
        <w:pStyle w:val="Bodytext10"/>
        <w:spacing w:after="220"/>
        <w:ind w:firstLine="180"/>
      </w:pPr>
      <w:r>
        <w:rPr>
          <w:rStyle w:val="Bodytext1"/>
          <w:b/>
          <w:bCs/>
        </w:rPr>
        <w:t xml:space="preserve">korespondenční adresa pojistníka: </w:t>
      </w:r>
      <w:proofErr w:type="gramStart"/>
      <w:r>
        <w:rPr>
          <w:rStyle w:val="Bodytext1"/>
        </w:rPr>
        <w:t>C.E.B, a.</w:t>
      </w:r>
      <w:proofErr w:type="gramEnd"/>
      <w:r>
        <w:rPr>
          <w:rStyle w:val="Bodytext1"/>
        </w:rPr>
        <w:t>s., Lublaňská 57, 120 00 Praha 2</w:t>
      </w:r>
    </w:p>
    <w:p w:rsidR="00424B78" w:rsidRDefault="00C331FC">
      <w:pPr>
        <w:pStyle w:val="Bodytext10"/>
        <w:spacing w:after="220"/>
        <w:ind w:firstLine="180"/>
      </w:pPr>
      <w:r>
        <w:rPr>
          <w:rStyle w:val="Bodytext1"/>
        </w:rPr>
        <w:t xml:space="preserve">uzavírají tuto pojistnou smlouvu o škodovém </w:t>
      </w:r>
      <w:r>
        <w:rPr>
          <w:rStyle w:val="Bodytext1"/>
          <w:b/>
          <w:bCs/>
        </w:rPr>
        <w:t>pojištění během přepravy</w:t>
      </w:r>
    </w:p>
    <w:p w:rsidR="00424B78" w:rsidRDefault="00C331FC">
      <w:pPr>
        <w:pStyle w:val="Heading210"/>
        <w:keepNext/>
        <w:keepLines/>
        <w:numPr>
          <w:ilvl w:val="0"/>
          <w:numId w:val="1"/>
        </w:numPr>
        <w:tabs>
          <w:tab w:val="left" w:pos="610"/>
        </w:tabs>
        <w:spacing w:line="252" w:lineRule="auto"/>
        <w:ind w:firstLine="180"/>
      </w:pPr>
      <w:bookmarkStart w:id="3" w:name="bookmark4"/>
      <w:r>
        <w:rPr>
          <w:rStyle w:val="Heading21"/>
          <w:b/>
          <w:bCs/>
        </w:rPr>
        <w:t>Všeobecná ustanovení</w:t>
      </w:r>
      <w:bookmarkEnd w:id="3"/>
    </w:p>
    <w:p w:rsidR="00424B78" w:rsidRDefault="00C331FC">
      <w:pPr>
        <w:pStyle w:val="Bodytext10"/>
        <w:numPr>
          <w:ilvl w:val="1"/>
          <w:numId w:val="1"/>
        </w:numPr>
        <w:tabs>
          <w:tab w:val="left" w:pos="790"/>
        </w:tabs>
        <w:spacing w:line="252" w:lineRule="auto"/>
        <w:ind w:left="760" w:hanging="540"/>
        <w:jc w:val="both"/>
      </w:pPr>
      <w:r>
        <w:rPr>
          <w:rStyle w:val="Bodytext1"/>
        </w:rPr>
        <w:t>Pojistná smlouva se uzavírá na základě Všeobecných pojistných podmínek pro pojištění přepravovaného zboží (dále jen VPP PZ 2005/01).</w:t>
      </w:r>
    </w:p>
    <w:p w:rsidR="00424B78" w:rsidRDefault="00C331FC">
      <w:pPr>
        <w:pStyle w:val="Bodytext10"/>
        <w:numPr>
          <w:ilvl w:val="1"/>
          <w:numId w:val="1"/>
        </w:numPr>
        <w:tabs>
          <w:tab w:val="left" w:pos="790"/>
        </w:tabs>
        <w:spacing w:after="220" w:line="252" w:lineRule="auto"/>
        <w:ind w:left="760" w:hanging="540"/>
        <w:jc w:val="both"/>
      </w:pPr>
      <w:r>
        <w:rPr>
          <w:rStyle w:val="Bodytext1"/>
        </w:rPr>
        <w:t>Pojistné podmínky a smluvní ujednání, na která se smlouva odvolává a která jsou součástí pojistné smlouvy, jsou uvedeny jako příloha. Odlišná ujednání pojistné smlouvy mají před tištěnými podmínkami přednost.</w:t>
      </w:r>
    </w:p>
    <w:p w:rsidR="00424B78" w:rsidRDefault="00C331FC">
      <w:pPr>
        <w:pStyle w:val="Heading210"/>
        <w:keepNext/>
        <w:keepLines/>
        <w:numPr>
          <w:ilvl w:val="0"/>
          <w:numId w:val="1"/>
        </w:numPr>
        <w:tabs>
          <w:tab w:val="left" w:pos="610"/>
        </w:tabs>
        <w:ind w:firstLine="180"/>
      </w:pPr>
      <w:bookmarkStart w:id="4" w:name="bookmark6"/>
      <w:r>
        <w:rPr>
          <w:rStyle w:val="Heading21"/>
          <w:b/>
          <w:bCs/>
        </w:rPr>
        <w:t>Předmět pojištění</w:t>
      </w:r>
      <w:bookmarkEnd w:id="4"/>
    </w:p>
    <w:p w:rsidR="00424B78" w:rsidRDefault="00C331FC">
      <w:pPr>
        <w:pStyle w:val="Bodytext10"/>
        <w:numPr>
          <w:ilvl w:val="1"/>
          <w:numId w:val="1"/>
        </w:numPr>
        <w:tabs>
          <w:tab w:val="left" w:pos="790"/>
        </w:tabs>
        <w:ind w:left="760" w:hanging="540"/>
        <w:jc w:val="both"/>
      </w:pPr>
      <w:r>
        <w:rPr>
          <w:rStyle w:val="Bodytext1"/>
        </w:rPr>
        <w:t xml:space="preserve">Pojištění se vztahuje na řádně naložené a v dopravním prostředku zajištěné zásilky během přeprav (včetně nakládky / vykládky) realizovaných v souvislosti se zájezdy kteréhokoliv souboru </w:t>
      </w:r>
      <w:r>
        <w:rPr>
          <w:rStyle w:val="Bodytext1"/>
          <w:lang w:val="en-US" w:eastAsia="en-US" w:bidi="en-US"/>
        </w:rPr>
        <w:t xml:space="preserve">ND </w:t>
      </w:r>
      <w:r>
        <w:rPr>
          <w:rStyle w:val="Bodytext1"/>
        </w:rPr>
        <w:t>za účelem použití na vystoupeních nebo zkouškách:</w:t>
      </w:r>
    </w:p>
    <w:p w:rsidR="00424B78" w:rsidRDefault="00C331FC">
      <w:pPr>
        <w:pStyle w:val="Bodytext10"/>
        <w:numPr>
          <w:ilvl w:val="2"/>
          <w:numId w:val="1"/>
        </w:numPr>
        <w:tabs>
          <w:tab w:val="left" w:pos="815"/>
        </w:tabs>
        <w:ind w:left="760" w:hanging="540"/>
        <w:jc w:val="both"/>
      </w:pPr>
      <w:r>
        <w:rPr>
          <w:rStyle w:val="Bodytext1"/>
          <w:b/>
          <w:bCs/>
        </w:rPr>
        <w:t xml:space="preserve">technické příslušenství, kostýmy, dekorace včetně scénických maket a rekvizity, </w:t>
      </w:r>
      <w:r>
        <w:rPr>
          <w:rStyle w:val="Bodytext1"/>
        </w:rPr>
        <w:t>na kterých má pojistný zájem pojistník (vlastní věci evidované v jeho účetnictví nebo věci cizí oprávněně užívané pojistníkem na základě smluvního vztahu)</w:t>
      </w:r>
    </w:p>
    <w:p w:rsidR="00424B78" w:rsidRDefault="00C331FC">
      <w:pPr>
        <w:pStyle w:val="Bodytext10"/>
        <w:numPr>
          <w:ilvl w:val="2"/>
          <w:numId w:val="1"/>
        </w:numPr>
        <w:tabs>
          <w:tab w:val="left" w:pos="815"/>
        </w:tabs>
        <w:ind w:left="760" w:hanging="540"/>
        <w:jc w:val="both"/>
      </w:pPr>
      <w:r>
        <w:rPr>
          <w:rStyle w:val="Bodytext1"/>
          <w:b/>
          <w:bCs/>
        </w:rPr>
        <w:t xml:space="preserve">svršky vč. obuvi, hudební nástroje s jejich příslušenstvím včetně notového archivu </w:t>
      </w:r>
      <w:r>
        <w:rPr>
          <w:rStyle w:val="Bodytext1"/>
        </w:rPr>
        <w:t xml:space="preserve">ve vlastnictví pojistníka (evidované v účetnictví) nebo ve vlastnictví členů kteréhokoliv souboru </w:t>
      </w:r>
      <w:r>
        <w:rPr>
          <w:rStyle w:val="Bodytext1"/>
          <w:lang w:val="en-US" w:eastAsia="en-US" w:bidi="en-US"/>
        </w:rPr>
        <w:t>ND</w:t>
      </w:r>
    </w:p>
    <w:p w:rsidR="00424B78" w:rsidRDefault="00C331FC">
      <w:pPr>
        <w:pStyle w:val="Bodytext10"/>
        <w:numPr>
          <w:ilvl w:val="1"/>
          <w:numId w:val="1"/>
        </w:numPr>
        <w:tabs>
          <w:tab w:val="left" w:pos="790"/>
        </w:tabs>
        <w:spacing w:after="220"/>
        <w:ind w:left="760" w:hanging="540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239395</wp:posOffset>
                </wp:positionH>
                <wp:positionV relativeFrom="paragraph">
                  <wp:posOffset>406400</wp:posOffset>
                </wp:positionV>
                <wp:extent cx="91440" cy="96329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" cy="963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24B78" w:rsidRDefault="00C331FC">
                            <w:pPr>
                              <w:pStyle w:val="Bodytext20"/>
                              <w:spacing w:line="240" w:lineRule="auto"/>
                            </w:pPr>
                            <w:r>
                              <w:rPr>
                                <w:rStyle w:val="Bodytext2"/>
                              </w:rPr>
                              <w:t>10.01.02 08.2009 verze 02</w:t>
                            </w:r>
                          </w:p>
                        </w:txbxContent>
                      </wps:txbx>
                      <wps:bodyPr vert="vert270" lIns="0" tIns="0" rIns="0" bIns="0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18.850000000000001pt;margin-top:32.pt;width:7.2000000000000002pt;height:75.850000000000009pt;z-index:-125829375;mso-wrap-distance-left:9.pt;mso-wrap-distance-right:9.pt;mso-position-horizontal-relative:page" filled="f" stroked="f">
                <v:textbox style="layout-flow:vertical;mso-layout-flow-alt:bottom-to-top" inset="0,0,0,0">
                  <w:txbxContent>
                    <w:p>
                      <w:pPr>
                        <w:pStyle w:val="Style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5"/>
                        </w:rPr>
                        <w:t>10.01.02 08.2009 verze 02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rStyle w:val="Bodytext1"/>
        </w:rPr>
        <w:t>Obal a/nebo způsob balení a ložení musí poskytovat dostatečnou ochranu proti běžným rizikům přepravy a manipulace s pojištěnými věcmi během nakládky a vykládky s přihlédnutím k charakteru pojištěných věcí a použitému dopravnímu prostředku.</w:t>
      </w:r>
    </w:p>
    <w:p w:rsidR="00424B78" w:rsidRDefault="00C331FC">
      <w:pPr>
        <w:pStyle w:val="Heading210"/>
        <w:keepNext/>
        <w:keepLines/>
        <w:numPr>
          <w:ilvl w:val="0"/>
          <w:numId w:val="1"/>
        </w:numPr>
        <w:tabs>
          <w:tab w:val="left" w:pos="610"/>
        </w:tabs>
        <w:ind w:firstLine="180"/>
      </w:pPr>
      <w:bookmarkStart w:id="5" w:name="bookmark8"/>
      <w:r>
        <w:rPr>
          <w:rStyle w:val="Heading21"/>
          <w:b/>
          <w:bCs/>
        </w:rPr>
        <w:t>Pojištěné přepravy</w:t>
      </w:r>
      <w:bookmarkEnd w:id="5"/>
    </w:p>
    <w:p w:rsidR="00424B78" w:rsidRDefault="00511902">
      <w:pPr>
        <w:pStyle w:val="Bodytext10"/>
        <w:numPr>
          <w:ilvl w:val="1"/>
          <w:numId w:val="1"/>
        </w:numPr>
        <w:tabs>
          <w:tab w:val="left" w:pos="790"/>
        </w:tabs>
        <w:spacing w:after="220"/>
        <w:ind w:left="760" w:hanging="540"/>
      </w:pPr>
      <w:r>
        <w:rPr>
          <w:rStyle w:val="Bodytext1"/>
        </w:rPr>
        <w:t>Pojištění</w:t>
      </w:r>
      <w:r w:rsidR="00C331FC">
        <w:rPr>
          <w:rStyle w:val="Bodytext1"/>
        </w:rPr>
        <w:t xml:space="preserve"> se vztahuje na přepravy silničními motorovými vozidly, příp. autobusy a na leteckou přepravu.</w:t>
      </w:r>
    </w:p>
    <w:p w:rsidR="00424B78" w:rsidRDefault="00C331FC">
      <w:pPr>
        <w:pStyle w:val="Bodytext10"/>
        <w:spacing w:after="340"/>
        <w:ind w:right="700"/>
        <w:jc w:val="right"/>
        <w:rPr>
          <w:sz w:val="17"/>
          <w:szCs w:val="17"/>
        </w:rPr>
      </w:pPr>
      <w:r>
        <w:rPr>
          <w:rStyle w:val="Bodytext1"/>
          <w:sz w:val="17"/>
          <w:szCs w:val="17"/>
        </w:rPr>
        <w:t>strana 1/3</w:t>
      </w:r>
    </w:p>
    <w:p w:rsidR="00424B78" w:rsidRDefault="00C331FC">
      <w:pPr>
        <w:pStyle w:val="Bodytext20"/>
        <w:sectPr w:rsidR="00424B78">
          <w:type w:val="continuous"/>
          <w:pgSz w:w="11900" w:h="16840"/>
          <w:pgMar w:top="1415" w:right="1049" w:bottom="810" w:left="1255" w:header="0" w:footer="3" w:gutter="0"/>
          <w:cols w:space="720"/>
          <w:noEndnote/>
          <w:docGrid w:linePitch="360"/>
        </w:sectPr>
      </w:pPr>
      <w:r>
        <w:rPr>
          <w:rStyle w:val="Bodytext2"/>
          <w:lang w:val="en-US" w:eastAsia="en-US" w:bidi="en-US"/>
        </w:rPr>
        <w:t xml:space="preserve">Generali </w:t>
      </w:r>
      <w:proofErr w:type="spellStart"/>
      <w:r>
        <w:rPr>
          <w:rStyle w:val="Bodytext2"/>
        </w:rPr>
        <w:t>Pojištovna</w:t>
      </w:r>
      <w:proofErr w:type="spellEnd"/>
      <w:r>
        <w:rPr>
          <w:rStyle w:val="Bodytext2"/>
        </w:rPr>
        <w:t xml:space="preserve"> </w:t>
      </w:r>
      <w:proofErr w:type="gramStart"/>
      <w:r>
        <w:rPr>
          <w:rStyle w:val="Bodytext2"/>
        </w:rPr>
        <w:t>a.s</w:t>
      </w:r>
      <w:proofErr w:type="gramEnd"/>
      <w:r>
        <w:rPr>
          <w:rStyle w:val="Bodytext2"/>
        </w:rPr>
        <w:t xml:space="preserve">., se </w:t>
      </w:r>
      <w:proofErr w:type="spellStart"/>
      <w:r>
        <w:rPr>
          <w:rStyle w:val="Bodytext2"/>
        </w:rPr>
        <w:t>sidlem</w:t>
      </w:r>
      <w:proofErr w:type="spellEnd"/>
      <w:r>
        <w:rPr>
          <w:rStyle w:val="Bodytext2"/>
        </w:rPr>
        <w:t xml:space="preserve"> Bělehradská 132, 120 84 Praha 2. zapsaná v </w:t>
      </w:r>
      <w:proofErr w:type="spellStart"/>
      <w:r>
        <w:rPr>
          <w:rStyle w:val="Bodytext2"/>
        </w:rPr>
        <w:t>obchodnim</w:t>
      </w:r>
      <w:proofErr w:type="spellEnd"/>
      <w:r>
        <w:rPr>
          <w:rStyle w:val="Bodytext2"/>
        </w:rPr>
        <w:t xml:space="preserve"> </w:t>
      </w:r>
      <w:proofErr w:type="spellStart"/>
      <w:r>
        <w:rPr>
          <w:rStyle w:val="Bodytext2"/>
        </w:rPr>
        <w:t>rejstřiku</w:t>
      </w:r>
      <w:proofErr w:type="spellEnd"/>
      <w:r>
        <w:rPr>
          <w:rStyle w:val="Bodytext2"/>
        </w:rPr>
        <w:t xml:space="preserve"> vedeném Městským soudem v Praze, </w:t>
      </w:r>
      <w:proofErr w:type="spellStart"/>
      <w:r>
        <w:rPr>
          <w:rStyle w:val="Bodytext2"/>
        </w:rPr>
        <w:t>oddil</w:t>
      </w:r>
      <w:proofErr w:type="spellEnd"/>
      <w:r>
        <w:rPr>
          <w:rStyle w:val="Bodytext2"/>
        </w:rPr>
        <w:t xml:space="preserve"> B. </w:t>
      </w:r>
      <w:proofErr w:type="gramStart"/>
      <w:r>
        <w:rPr>
          <w:rStyle w:val="Bodytext2"/>
        </w:rPr>
        <w:t>vložka</w:t>
      </w:r>
      <w:proofErr w:type="gramEnd"/>
      <w:r>
        <w:rPr>
          <w:rStyle w:val="Bodytext2"/>
        </w:rPr>
        <w:t xml:space="preserve"> 2866. IČ: 61859869, DIČ: CZ699001273, klientský servis: 844 188 188, </w:t>
      </w:r>
      <w:hyperlink r:id="rId9" w:history="1">
        <w:r>
          <w:rPr>
            <w:rStyle w:val="Bodytext2"/>
            <w:lang w:val="en-US" w:eastAsia="en-US" w:bidi="en-US"/>
          </w:rPr>
          <w:t>www.generali.cz</w:t>
        </w:r>
      </w:hyperlink>
      <w:r>
        <w:rPr>
          <w:rStyle w:val="Bodytext2"/>
          <w:lang w:val="en-US" w:eastAsia="en-US" w:bidi="en-US"/>
        </w:rPr>
        <w:t xml:space="preserve">, </w:t>
      </w:r>
      <w:r>
        <w:rPr>
          <w:rStyle w:val="Bodytext2"/>
        </w:rPr>
        <w:t xml:space="preserve">e-mail: </w:t>
      </w:r>
      <w:hyperlink r:id="rId10" w:history="1">
        <w:r>
          <w:rPr>
            <w:rStyle w:val="Bodytext2"/>
            <w:lang w:val="en-US" w:eastAsia="en-US" w:bidi="en-US"/>
          </w:rPr>
          <w:t>servis@generali.cz</w:t>
        </w:r>
      </w:hyperlink>
      <w:r>
        <w:rPr>
          <w:rStyle w:val="Bodytext2"/>
          <w:lang w:val="en-US" w:eastAsia="en-US" w:bidi="en-US"/>
        </w:rPr>
        <w:t xml:space="preserve">. </w:t>
      </w:r>
      <w:r>
        <w:rPr>
          <w:rStyle w:val="Bodytext2"/>
        </w:rPr>
        <w:t xml:space="preserve">Společnost je členem skupiny </w:t>
      </w:r>
      <w:r>
        <w:rPr>
          <w:rStyle w:val="Bodytext2"/>
          <w:lang w:val="en-US" w:eastAsia="en-US" w:bidi="en-US"/>
        </w:rPr>
        <w:t xml:space="preserve">Generali, </w:t>
      </w:r>
      <w:r>
        <w:rPr>
          <w:rStyle w:val="Bodytext2"/>
        </w:rPr>
        <w:t>zapsané v Registru pojišťovacích skupin vedeném ISVAP.</w:t>
      </w:r>
    </w:p>
    <w:p w:rsidR="00424B78" w:rsidRDefault="00C331FC">
      <w:pPr>
        <w:pStyle w:val="Bodytext10"/>
        <w:numPr>
          <w:ilvl w:val="1"/>
          <w:numId w:val="1"/>
        </w:numPr>
        <w:tabs>
          <w:tab w:val="left" w:pos="791"/>
        </w:tabs>
        <w:ind w:left="740" w:hanging="480"/>
        <w:jc w:val="both"/>
      </w:pPr>
      <w:r>
        <w:rPr>
          <w:rStyle w:val="Bodytext1"/>
        </w:rPr>
        <w:lastRenderedPageBreak/>
        <w:t>Pojištěnými přepravami se rozumí přepravy z místa uložení pojištěných věcí v České republice do místa konání představení nebo vystoupení a/nebo místa zkoušky v zahraničí (dále jen „akce“) po celém světě a zpětné přepravy z místa konání akce do místa uložení věcí v České republice, jakož i tuzemské přepravy s místem odeslání a místem dodání v České republice.</w:t>
      </w:r>
    </w:p>
    <w:p w:rsidR="00424B78" w:rsidRDefault="00C331FC">
      <w:pPr>
        <w:pStyle w:val="Bodytext10"/>
        <w:numPr>
          <w:ilvl w:val="1"/>
          <w:numId w:val="1"/>
        </w:numPr>
        <w:tabs>
          <w:tab w:val="left" w:pos="791"/>
        </w:tabs>
        <w:spacing w:after="220"/>
        <w:ind w:left="740" w:hanging="480"/>
        <w:jc w:val="both"/>
      </w:pPr>
      <w:r>
        <w:rPr>
          <w:rStyle w:val="Bodytext1"/>
        </w:rPr>
        <w:t xml:space="preserve">Není-li výslovně ujednáno jinak, nevztahuje se pojistné krytí na škody vzniklé na území Iránu, Iráku, Afghánistánu, Čečenska, Abcházie, Sierra </w:t>
      </w:r>
      <w:r>
        <w:rPr>
          <w:rStyle w:val="Bodytext1"/>
          <w:lang w:val="en-US" w:eastAsia="en-US" w:bidi="en-US"/>
        </w:rPr>
        <w:t xml:space="preserve">Leone </w:t>
      </w:r>
      <w:r>
        <w:rPr>
          <w:rStyle w:val="Bodytext1"/>
        </w:rPr>
        <w:t xml:space="preserve">a </w:t>
      </w:r>
      <w:proofErr w:type="spellStart"/>
      <w:r>
        <w:rPr>
          <w:rStyle w:val="Bodytext1"/>
        </w:rPr>
        <w:t>Eritreje</w:t>
      </w:r>
      <w:proofErr w:type="spellEnd"/>
      <w:r>
        <w:rPr>
          <w:rStyle w:val="Bodytext1"/>
        </w:rPr>
        <w:t>.</w:t>
      </w:r>
    </w:p>
    <w:p w:rsidR="00424B78" w:rsidRDefault="00C331FC">
      <w:pPr>
        <w:pStyle w:val="Heading210"/>
        <w:keepNext/>
        <w:keepLines/>
        <w:numPr>
          <w:ilvl w:val="0"/>
          <w:numId w:val="1"/>
        </w:numPr>
        <w:tabs>
          <w:tab w:val="left" w:pos="766"/>
        </w:tabs>
        <w:spacing w:line="252" w:lineRule="auto"/>
      </w:pPr>
      <w:bookmarkStart w:id="6" w:name="bookmark10"/>
      <w:r>
        <w:rPr>
          <w:rStyle w:val="Heading21"/>
          <w:b/>
          <w:bCs/>
        </w:rPr>
        <w:t>Rozsah pojištění / pojistná nebezpečí</w:t>
      </w:r>
      <w:bookmarkEnd w:id="6"/>
    </w:p>
    <w:p w:rsidR="00424B78" w:rsidRDefault="00C331FC">
      <w:pPr>
        <w:pStyle w:val="Bodytext10"/>
        <w:numPr>
          <w:ilvl w:val="1"/>
          <w:numId w:val="1"/>
        </w:numPr>
        <w:tabs>
          <w:tab w:val="left" w:pos="766"/>
        </w:tabs>
        <w:spacing w:line="252" w:lineRule="auto"/>
        <w:ind w:firstLine="220"/>
        <w:jc w:val="both"/>
      </w:pPr>
      <w:r>
        <w:rPr>
          <w:rStyle w:val="Bodytext1"/>
        </w:rPr>
        <w:t>Pojištění se sjednává v rozsahu proti všem rizikům podle čl. 20 odst.</w:t>
      </w:r>
      <w:r w:rsidR="00511902">
        <w:rPr>
          <w:rStyle w:val="Bodytext1"/>
        </w:rPr>
        <w:t xml:space="preserve"> </w:t>
      </w:r>
      <w:r>
        <w:rPr>
          <w:rStyle w:val="Bodytext1"/>
        </w:rPr>
        <w:t>2 VPP PZ 2005/01.</w:t>
      </w:r>
    </w:p>
    <w:p w:rsidR="00424B78" w:rsidRDefault="00C331FC">
      <w:pPr>
        <w:pStyle w:val="Bodytext10"/>
        <w:numPr>
          <w:ilvl w:val="1"/>
          <w:numId w:val="1"/>
        </w:numPr>
        <w:tabs>
          <w:tab w:val="left" w:pos="791"/>
        </w:tabs>
        <w:spacing w:line="252" w:lineRule="auto"/>
        <w:ind w:left="740" w:hanging="480"/>
        <w:jc w:val="both"/>
      </w:pPr>
      <w:r>
        <w:rPr>
          <w:rStyle w:val="Bodytext1"/>
        </w:rPr>
        <w:t>Není-li pojištění v příslušné územní relaci v době zahájení přepravy vyloučeno oficiálním londýnským pojišťovacím trhem, jsou na rozdíl od VPP PZ 2005/01 pojištěna válečná rizika u letecké přepravy a politická rizika během jakékoliv přepravy v rozsahu a podle podmínek příslušných doložek- viz příloha.</w:t>
      </w:r>
    </w:p>
    <w:p w:rsidR="00424B78" w:rsidRDefault="00C331FC">
      <w:pPr>
        <w:pStyle w:val="Bodytext10"/>
        <w:numPr>
          <w:ilvl w:val="1"/>
          <w:numId w:val="1"/>
        </w:numPr>
        <w:tabs>
          <w:tab w:val="left" w:pos="791"/>
        </w:tabs>
        <w:spacing w:line="252" w:lineRule="auto"/>
        <w:ind w:left="740" w:hanging="480"/>
        <w:jc w:val="both"/>
      </w:pPr>
      <w:r>
        <w:rPr>
          <w:rStyle w:val="Bodytext1"/>
        </w:rPr>
        <w:t>Pojistitel uhradí v mezích sjednaných podmínek věcnou škodu na pojištěném zboží následkem pojištěných nebezpečí.</w:t>
      </w:r>
    </w:p>
    <w:p w:rsidR="00424B78" w:rsidRDefault="00C331FC">
      <w:pPr>
        <w:pStyle w:val="Bodytext10"/>
        <w:numPr>
          <w:ilvl w:val="1"/>
          <w:numId w:val="1"/>
        </w:numPr>
        <w:tabs>
          <w:tab w:val="left" w:pos="791"/>
        </w:tabs>
        <w:spacing w:line="252" w:lineRule="auto"/>
        <w:ind w:left="740" w:hanging="480"/>
        <w:jc w:val="both"/>
      </w:pPr>
      <w:r>
        <w:rPr>
          <w:rStyle w:val="Bodytext1"/>
        </w:rPr>
        <w:t>Nelze-li v případě škody uplatněné z titulu tohoto pojištění prokázat hodnověrným způsobem stav pojištěné věci před počátkem pojištění, bude vzniklá škoda posuzována, jakoby věc byla pojištěna v omezeném rozsahu podle čl. 20 odst.</w:t>
      </w:r>
      <w:r w:rsidR="00511902">
        <w:rPr>
          <w:rStyle w:val="Bodytext1"/>
        </w:rPr>
        <w:t xml:space="preserve"> </w:t>
      </w:r>
      <w:r>
        <w:rPr>
          <w:rStyle w:val="Bodytext1"/>
        </w:rPr>
        <w:t>1 VPP PZ 2005/01 včetně krádeže a nedodání manipulační jednotky smluvním dopravcem.</w:t>
      </w:r>
    </w:p>
    <w:p w:rsidR="00424B78" w:rsidRDefault="00C331FC">
      <w:pPr>
        <w:pStyle w:val="Bodytext10"/>
        <w:numPr>
          <w:ilvl w:val="1"/>
          <w:numId w:val="1"/>
        </w:numPr>
        <w:tabs>
          <w:tab w:val="left" w:pos="766"/>
        </w:tabs>
        <w:spacing w:line="252" w:lineRule="auto"/>
        <w:ind w:firstLine="220"/>
        <w:jc w:val="both"/>
      </w:pPr>
      <w:r>
        <w:rPr>
          <w:rStyle w:val="Bodytext1"/>
        </w:rPr>
        <w:t>Nezávisle na ujednáních pojistné smlouvy jsou z pojištění vyloučeny škody:</w:t>
      </w:r>
    </w:p>
    <w:p w:rsidR="00424B78" w:rsidRDefault="00C331FC">
      <w:pPr>
        <w:pStyle w:val="Bodytext10"/>
        <w:numPr>
          <w:ilvl w:val="0"/>
          <w:numId w:val="2"/>
        </w:numPr>
        <w:tabs>
          <w:tab w:val="left" w:pos="1054"/>
        </w:tabs>
        <w:spacing w:line="252" w:lineRule="auto"/>
        <w:ind w:firstLine="740"/>
      </w:pPr>
      <w:r>
        <w:rPr>
          <w:rStyle w:val="Bodytext1"/>
        </w:rPr>
        <w:t>nepřesahující u jedné a každé sjednanou spoluúčast ve výši K</w:t>
      </w:r>
      <w:r w:rsidR="00B65CE2">
        <w:rPr>
          <w:rStyle w:val="Bodytext1"/>
        </w:rPr>
        <w:t xml:space="preserve">č </w:t>
      </w:r>
      <w:proofErr w:type="spellStart"/>
      <w:r w:rsidR="00B65CE2">
        <w:rPr>
          <w:rStyle w:val="Bodytext1"/>
        </w:rPr>
        <w:t>xxxx</w:t>
      </w:r>
      <w:proofErr w:type="spellEnd"/>
      <w:r w:rsidR="00B65CE2">
        <w:rPr>
          <w:rStyle w:val="Bodytext1"/>
        </w:rPr>
        <w:t xml:space="preserve"> </w:t>
      </w:r>
    </w:p>
    <w:p w:rsidR="00424B78" w:rsidRDefault="00C331FC">
      <w:pPr>
        <w:pStyle w:val="Bodytext10"/>
        <w:numPr>
          <w:ilvl w:val="0"/>
          <w:numId w:val="2"/>
        </w:numPr>
        <w:tabs>
          <w:tab w:val="left" w:pos="1089"/>
        </w:tabs>
        <w:spacing w:line="252" w:lineRule="auto"/>
        <w:ind w:left="1040" w:hanging="260"/>
        <w:jc w:val="both"/>
      </w:pPr>
      <w:r>
        <w:rPr>
          <w:rStyle w:val="Bodytext1"/>
        </w:rPr>
        <w:t>vzniklé zmizením věci, tj. bez prokázaného odcizení věci třetí osobou s překonáním překážky, nejedná-li se o nedodání manipulační jednotky smluvním dopravcem</w:t>
      </w:r>
    </w:p>
    <w:p w:rsidR="00424B78" w:rsidRDefault="00C331FC">
      <w:pPr>
        <w:pStyle w:val="Bodytext10"/>
        <w:numPr>
          <w:ilvl w:val="0"/>
          <w:numId w:val="2"/>
        </w:numPr>
        <w:tabs>
          <w:tab w:val="left" w:pos="1084"/>
        </w:tabs>
        <w:spacing w:line="252" w:lineRule="auto"/>
        <w:ind w:left="1040" w:hanging="260"/>
        <w:jc w:val="both"/>
      </w:pPr>
      <w:r>
        <w:rPr>
          <w:rStyle w:val="Bodytext1"/>
        </w:rPr>
        <w:t>způsobené běžným opotřebením, zestárnutím a v důsledku vad a/nebo nedostatků, které existovaly v okamžiku zahájení pojištěné přepravy</w:t>
      </w:r>
    </w:p>
    <w:p w:rsidR="00424B78" w:rsidRDefault="00C331FC">
      <w:pPr>
        <w:pStyle w:val="Bodytext10"/>
        <w:numPr>
          <w:ilvl w:val="0"/>
          <w:numId w:val="2"/>
        </w:numPr>
        <w:tabs>
          <w:tab w:val="left" w:pos="1054"/>
        </w:tabs>
        <w:spacing w:line="252" w:lineRule="auto"/>
        <w:ind w:firstLine="740"/>
      </w:pPr>
      <w:r>
        <w:rPr>
          <w:rStyle w:val="Bodytext1"/>
        </w:rPr>
        <w:t>způsobené hmyzem, plísní, vlivy teploty</w:t>
      </w:r>
    </w:p>
    <w:p w:rsidR="00424B78" w:rsidRDefault="00C331FC">
      <w:pPr>
        <w:pStyle w:val="Bodytext10"/>
        <w:numPr>
          <w:ilvl w:val="0"/>
          <w:numId w:val="2"/>
        </w:numPr>
        <w:tabs>
          <w:tab w:val="left" w:pos="1094"/>
        </w:tabs>
        <w:spacing w:line="252" w:lineRule="auto"/>
        <w:ind w:left="1040" w:hanging="260"/>
        <w:jc w:val="both"/>
      </w:pPr>
      <w:r>
        <w:rPr>
          <w:rStyle w:val="Bodytext1"/>
        </w:rPr>
        <w:t>vzniklé v důsledku vnitřní vady, chybné konstrukce či chybného sestavení a/nebo montáže pojištěné věci</w:t>
      </w:r>
    </w:p>
    <w:p w:rsidR="00424B78" w:rsidRDefault="00C331FC">
      <w:pPr>
        <w:pStyle w:val="Bodytext10"/>
        <w:numPr>
          <w:ilvl w:val="0"/>
          <w:numId w:val="2"/>
        </w:numPr>
        <w:tabs>
          <w:tab w:val="left" w:pos="1014"/>
        </w:tabs>
        <w:spacing w:line="252" w:lineRule="auto"/>
        <w:ind w:firstLine="740"/>
      </w:pPr>
      <w:r>
        <w:rPr>
          <w:rStyle w:val="Bodytext1"/>
        </w:rPr>
        <w:t>které jsou následkem manipulace s pojištěnými věcmi při jejich používání</w:t>
      </w:r>
    </w:p>
    <w:p w:rsidR="00424B78" w:rsidRDefault="00C331FC">
      <w:pPr>
        <w:pStyle w:val="Bodytext10"/>
        <w:numPr>
          <w:ilvl w:val="1"/>
          <w:numId w:val="1"/>
        </w:numPr>
        <w:tabs>
          <w:tab w:val="left" w:pos="766"/>
        </w:tabs>
        <w:spacing w:after="220" w:line="252" w:lineRule="auto"/>
        <w:ind w:firstLine="220"/>
      </w:pPr>
      <w:r>
        <w:rPr>
          <w:rStyle w:val="Bodytext1"/>
        </w:rPr>
        <w:t>Ostatní výluky a omezení podle VPP PZ 2005/01 nejsou dotčena.</w:t>
      </w:r>
    </w:p>
    <w:p w:rsidR="00424B78" w:rsidRDefault="00C331FC">
      <w:pPr>
        <w:pStyle w:val="Heading210"/>
        <w:keepNext/>
        <w:keepLines/>
        <w:numPr>
          <w:ilvl w:val="0"/>
          <w:numId w:val="1"/>
        </w:numPr>
        <w:tabs>
          <w:tab w:val="left" w:pos="766"/>
        </w:tabs>
        <w:spacing w:line="254" w:lineRule="auto"/>
      </w:pPr>
      <w:bookmarkStart w:id="7" w:name="bookmark12"/>
      <w:r>
        <w:rPr>
          <w:rStyle w:val="Heading21"/>
          <w:b/>
          <w:bCs/>
        </w:rPr>
        <w:t>Pojistná částka / limit plnění</w:t>
      </w:r>
      <w:bookmarkEnd w:id="7"/>
    </w:p>
    <w:p w:rsidR="00424B78" w:rsidRDefault="00C331FC">
      <w:pPr>
        <w:pStyle w:val="Bodytext10"/>
        <w:numPr>
          <w:ilvl w:val="1"/>
          <w:numId w:val="1"/>
        </w:numPr>
        <w:tabs>
          <w:tab w:val="left" w:pos="791"/>
        </w:tabs>
        <w:spacing w:line="254" w:lineRule="auto"/>
        <w:ind w:left="740" w:hanging="480"/>
        <w:jc w:val="both"/>
      </w:pPr>
      <w:r>
        <w:rPr>
          <w:rStyle w:val="Bodytext1"/>
        </w:rPr>
        <w:t>Pojištění se sjednává pro pojistnou částku ve výši</w:t>
      </w:r>
      <w:r w:rsidR="00B65CE2">
        <w:rPr>
          <w:rStyle w:val="Bodytext1"/>
        </w:rPr>
        <w:t xml:space="preserve"> </w:t>
      </w:r>
      <w:proofErr w:type="spellStart"/>
      <w:r w:rsidR="00B65CE2">
        <w:rPr>
          <w:rStyle w:val="Bodytext1"/>
        </w:rPr>
        <w:t>xxx</w:t>
      </w:r>
      <w:proofErr w:type="spellEnd"/>
      <w:r w:rsidR="00B65CE2">
        <w:rPr>
          <w:rStyle w:val="Bodytext1"/>
        </w:rPr>
        <w:t xml:space="preserve"> </w:t>
      </w:r>
      <w:r>
        <w:rPr>
          <w:rStyle w:val="Bodytext1"/>
        </w:rPr>
        <w:t>dopravní prostředek, která představuje limit plnění pojistitele z jedné a všech pojistných událostí v ročním pojistném období.</w:t>
      </w:r>
    </w:p>
    <w:p w:rsidR="00424B78" w:rsidRDefault="00C331FC">
      <w:pPr>
        <w:pStyle w:val="Bodytext10"/>
        <w:numPr>
          <w:ilvl w:val="1"/>
          <w:numId w:val="1"/>
        </w:numPr>
        <w:tabs>
          <w:tab w:val="left" w:pos="791"/>
        </w:tabs>
        <w:spacing w:line="254" w:lineRule="auto"/>
        <w:ind w:left="740" w:hanging="480"/>
        <w:jc w:val="both"/>
      </w:pPr>
      <w:r>
        <w:rPr>
          <w:rStyle w:val="Bodytext1"/>
        </w:rPr>
        <w:t>Zásilky o vyšší hodnotě mohou být do pojištění podle této smlouvy zahrnuty, avšak jen na základě předchozího souhlasu pojistitele.</w:t>
      </w:r>
    </w:p>
    <w:p w:rsidR="00424B78" w:rsidRDefault="00C331FC">
      <w:pPr>
        <w:pStyle w:val="Bodytext10"/>
        <w:numPr>
          <w:ilvl w:val="1"/>
          <w:numId w:val="1"/>
        </w:numPr>
        <w:tabs>
          <w:tab w:val="left" w:pos="791"/>
        </w:tabs>
        <w:spacing w:after="220" w:line="254" w:lineRule="auto"/>
        <w:ind w:left="740" w:hanging="480"/>
        <w:jc w:val="both"/>
      </w:pPr>
      <w:r>
        <w:rPr>
          <w:rStyle w:val="Bodytext1"/>
        </w:rPr>
        <w:t>Odchylně od pojistných podmínek se pojistitel zavazuje, že nebude v žádném</w:t>
      </w:r>
      <w:r w:rsidR="00511902">
        <w:rPr>
          <w:rStyle w:val="Bodytext1"/>
        </w:rPr>
        <w:t xml:space="preserve"> případě uplatňovat podpojištění</w:t>
      </w:r>
      <w:r>
        <w:rPr>
          <w:rStyle w:val="Bodytext1"/>
        </w:rPr>
        <w:t>.</w:t>
      </w:r>
    </w:p>
    <w:p w:rsidR="00424B78" w:rsidRDefault="00C331FC">
      <w:pPr>
        <w:pStyle w:val="Heading210"/>
        <w:keepNext/>
        <w:keepLines/>
        <w:numPr>
          <w:ilvl w:val="0"/>
          <w:numId w:val="1"/>
        </w:numPr>
        <w:tabs>
          <w:tab w:val="left" w:pos="766"/>
        </w:tabs>
        <w:jc w:val="both"/>
      </w:pPr>
      <w:bookmarkStart w:id="8" w:name="bookmark14"/>
      <w:r>
        <w:rPr>
          <w:rStyle w:val="Heading21"/>
          <w:b/>
          <w:bCs/>
        </w:rPr>
        <w:t>Sazba pojistného a pojistné</w:t>
      </w:r>
      <w:bookmarkEnd w:id="8"/>
    </w:p>
    <w:p w:rsidR="00424B78" w:rsidRDefault="00C331FC">
      <w:pPr>
        <w:pStyle w:val="Bodytext10"/>
        <w:numPr>
          <w:ilvl w:val="1"/>
          <w:numId w:val="1"/>
        </w:numPr>
        <w:tabs>
          <w:tab w:val="left" w:pos="766"/>
        </w:tabs>
        <w:ind w:firstLine="220"/>
        <w:jc w:val="both"/>
      </w:pPr>
      <w:r>
        <w:rPr>
          <w:rStyle w:val="Bodytext1"/>
        </w:rPr>
        <w:t xml:space="preserve">Pojištění se sjednává se sazbou </w:t>
      </w:r>
      <w:proofErr w:type="spellStart"/>
      <w:r w:rsidR="008C3602">
        <w:rPr>
          <w:rStyle w:val="Bodytext1"/>
        </w:rPr>
        <w:t>xxx</w:t>
      </w:r>
      <w:proofErr w:type="spellEnd"/>
      <w:r w:rsidR="008C3602">
        <w:rPr>
          <w:rStyle w:val="Bodytext1"/>
        </w:rPr>
        <w:t xml:space="preserve"> ze</w:t>
      </w:r>
      <w:r>
        <w:rPr>
          <w:rStyle w:val="Bodytext1"/>
        </w:rPr>
        <w:t xml:space="preserve"> sjednané pojistné částky.</w:t>
      </w:r>
    </w:p>
    <w:p w:rsidR="00424B78" w:rsidRDefault="00C331FC">
      <w:pPr>
        <w:pStyle w:val="Bodytext10"/>
        <w:numPr>
          <w:ilvl w:val="1"/>
          <w:numId w:val="1"/>
        </w:numPr>
        <w:tabs>
          <w:tab w:val="left" w:pos="766"/>
        </w:tabs>
        <w:ind w:firstLine="220"/>
        <w:jc w:val="both"/>
      </w:pPr>
      <w:r>
        <w:rPr>
          <w:rStyle w:val="Bodytext1"/>
        </w:rPr>
        <w:t>Roční pojistné činí Kč 70.000,- a je běžným pojistným.</w:t>
      </w:r>
    </w:p>
    <w:p w:rsidR="00424B78" w:rsidRDefault="00C331FC">
      <w:pPr>
        <w:pStyle w:val="Bodytext10"/>
        <w:numPr>
          <w:ilvl w:val="1"/>
          <w:numId w:val="1"/>
        </w:numPr>
        <w:tabs>
          <w:tab w:val="left" w:pos="791"/>
        </w:tabs>
        <w:spacing w:after="220"/>
        <w:ind w:left="220" w:firstLine="40"/>
        <w:jc w:val="both"/>
      </w:pPr>
      <w:r>
        <w:rPr>
          <w:rStyle w:val="Bodytext1"/>
        </w:rPr>
        <w:t>Pojistné, resp. pojistná sazba je pevně stanovena a může být měněna pouze v souvislosti se změnou právních předpisů nebo dohodou smluvních stran v závislosti na změně objektivních podmínek, které mají vliv na výši pojistného. Pro případné rozšíření rozsahu pojištění bude použita výše zmíněná pevně stanovená sazba pojistného.</w:t>
      </w:r>
    </w:p>
    <w:p w:rsidR="00424B78" w:rsidRDefault="00C331FC">
      <w:pPr>
        <w:pStyle w:val="Heading210"/>
        <w:keepNext/>
        <w:keepLines/>
        <w:numPr>
          <w:ilvl w:val="0"/>
          <w:numId w:val="1"/>
        </w:numPr>
        <w:tabs>
          <w:tab w:val="left" w:pos="766"/>
        </w:tabs>
        <w:spacing w:line="254" w:lineRule="auto"/>
      </w:pPr>
      <w:bookmarkStart w:id="9" w:name="bookmark16"/>
      <w:r>
        <w:rPr>
          <w:rStyle w:val="Heading21"/>
          <w:b/>
          <w:bCs/>
        </w:rPr>
        <w:t>Splatnost pojistného</w:t>
      </w:r>
      <w:bookmarkEnd w:id="9"/>
    </w:p>
    <w:p w:rsidR="00424B78" w:rsidRDefault="00C331FC">
      <w:pPr>
        <w:pStyle w:val="Bodytext10"/>
        <w:numPr>
          <w:ilvl w:val="1"/>
          <w:numId w:val="1"/>
        </w:numPr>
        <w:tabs>
          <w:tab w:val="left" w:pos="791"/>
        </w:tabs>
        <w:spacing w:line="254" w:lineRule="auto"/>
        <w:ind w:left="840" w:hanging="580"/>
        <w:jc w:val="both"/>
      </w:pPr>
      <w:r>
        <w:rPr>
          <w:rStyle w:val="Bodytext1"/>
        </w:rPr>
        <w:t>Roční</w:t>
      </w:r>
      <w:r w:rsidR="008C3602">
        <w:rPr>
          <w:rStyle w:val="Bodytext1"/>
        </w:rPr>
        <w:t xml:space="preserve"> pojistné</w:t>
      </w:r>
      <w:r>
        <w:rPr>
          <w:rStyle w:val="Bodytext1"/>
        </w:rPr>
        <w:t xml:space="preserve"> je splatné v tuzemské měně, a to ve dvou pololetních splátkách ve výši </w:t>
      </w:r>
      <w:r w:rsidRPr="008C3602">
        <w:rPr>
          <w:rStyle w:val="Bodytext1"/>
        </w:rPr>
        <w:t>Kč</w:t>
      </w:r>
      <w:r w:rsidR="008C3602">
        <w:rPr>
          <w:rStyle w:val="Bodytext1"/>
        </w:rPr>
        <w:t xml:space="preserve"> 35 000,-  vždy</w:t>
      </w:r>
      <w:r>
        <w:rPr>
          <w:rStyle w:val="Bodytext1"/>
        </w:rPr>
        <w:t xml:space="preserve"> nejpozději do 31. 1. a 31. 7. každého pojistného roku.</w:t>
      </w:r>
    </w:p>
    <w:p w:rsidR="00424B78" w:rsidRDefault="00C331FC">
      <w:pPr>
        <w:pStyle w:val="Bodytext10"/>
        <w:numPr>
          <w:ilvl w:val="1"/>
          <w:numId w:val="1"/>
        </w:numPr>
        <w:tabs>
          <w:tab w:val="left" w:pos="791"/>
        </w:tabs>
        <w:spacing w:after="220" w:line="254" w:lineRule="auto"/>
        <w:ind w:left="840" w:hanging="580"/>
        <w:jc w:val="both"/>
      </w:pPr>
      <w:r>
        <w:rPr>
          <w:rStyle w:val="Bodytext1"/>
        </w:rPr>
        <w:t>Pojistné je splatné na účet zplnomocněného makléře a je považováno za uhrazené dnem připsání částky na jeho účet.</w:t>
      </w:r>
    </w:p>
    <w:p w:rsidR="00424B78" w:rsidRDefault="00C331FC">
      <w:pPr>
        <w:pStyle w:val="Heading210"/>
        <w:keepNext/>
        <w:keepLines/>
        <w:numPr>
          <w:ilvl w:val="0"/>
          <w:numId w:val="1"/>
        </w:numPr>
        <w:tabs>
          <w:tab w:val="left" w:pos="766"/>
        </w:tabs>
        <w:spacing w:line="262" w:lineRule="auto"/>
      </w:pPr>
      <w:bookmarkStart w:id="10" w:name="bookmark18"/>
      <w:r>
        <w:rPr>
          <w:rStyle w:val="Heading21"/>
          <w:b/>
          <w:bCs/>
        </w:rPr>
        <w:t>Spoluúčast</w:t>
      </w:r>
      <w:bookmarkEnd w:id="10"/>
    </w:p>
    <w:p w:rsidR="00424B78" w:rsidRDefault="00C331FC">
      <w:pPr>
        <w:pStyle w:val="Bodytext10"/>
        <w:spacing w:after="220" w:line="262" w:lineRule="auto"/>
        <w:ind w:left="840"/>
      </w:pPr>
      <w:r>
        <w:rPr>
          <w:rStyle w:val="Bodytext1"/>
        </w:rPr>
        <w:t>Pojištění se sjednává se spoluúčastí pojištěného ve</w:t>
      </w:r>
      <w:r w:rsidR="005A281F">
        <w:rPr>
          <w:rStyle w:val="Bodytext1"/>
        </w:rPr>
        <w:t xml:space="preserve"> výši </w:t>
      </w:r>
      <w:proofErr w:type="spellStart"/>
      <w:r w:rsidR="005A281F">
        <w:rPr>
          <w:rStyle w:val="Bodytext1"/>
        </w:rPr>
        <w:t>xxx</w:t>
      </w:r>
      <w:proofErr w:type="spellEnd"/>
      <w:r>
        <w:rPr>
          <w:rStyle w:val="Bodytext1"/>
        </w:rPr>
        <w:t xml:space="preserve"> na každé jedné pojistné události.</w:t>
      </w:r>
    </w:p>
    <w:p w:rsidR="00424B78" w:rsidRDefault="00C331FC">
      <w:pPr>
        <w:pStyle w:val="Heading210"/>
        <w:keepNext/>
        <w:keepLines/>
        <w:numPr>
          <w:ilvl w:val="0"/>
          <w:numId w:val="1"/>
        </w:numPr>
        <w:tabs>
          <w:tab w:val="left" w:pos="766"/>
        </w:tabs>
      </w:pPr>
      <w:bookmarkStart w:id="11" w:name="bookmark20"/>
      <w:r>
        <w:rPr>
          <w:rStyle w:val="Heading21"/>
          <w:b/>
          <w:bCs/>
        </w:rPr>
        <w:t>Pojistná doba a platnost pojistné smlouvy</w:t>
      </w:r>
      <w:bookmarkEnd w:id="11"/>
    </w:p>
    <w:p w:rsidR="00424B78" w:rsidRDefault="00C331FC">
      <w:pPr>
        <w:pStyle w:val="Bodytext10"/>
        <w:numPr>
          <w:ilvl w:val="1"/>
          <w:numId w:val="1"/>
        </w:numPr>
        <w:tabs>
          <w:tab w:val="left" w:pos="766"/>
        </w:tabs>
        <w:ind w:firstLine="220"/>
      </w:pPr>
      <w:r>
        <w:rPr>
          <w:rStyle w:val="Bodytext1"/>
        </w:rPr>
        <w:t>Pojištění se sjednává na dobu neurčitou s pojistným obdobím jeden rok a s počátkem dne</w:t>
      </w:r>
    </w:p>
    <w:p w:rsidR="00424B78" w:rsidRDefault="00C331FC">
      <w:pPr>
        <w:pStyle w:val="Bodytext10"/>
        <w:numPr>
          <w:ilvl w:val="1"/>
          <w:numId w:val="3"/>
        </w:numPr>
        <w:tabs>
          <w:tab w:val="left" w:pos="1346"/>
        </w:tabs>
        <w:ind w:left="840"/>
      </w:pPr>
      <w:r>
        <w:rPr>
          <w:rStyle w:val="Bodytext1"/>
        </w:rPr>
        <w:t>2010 (00,oo hod.). Po uplynutí pojistného období je smlouva automaticky prodloužena na další pojistné období, není-li nejpozději šest týdnů před koncem pojistného období některou ze smluvních stran vypovězena. Nebyla-li přeprava na akci zahájena v době platnosti, avšak zpětná přeprava již spadá do období platnosti této smlouvy, pojištění se na zpětnou přepravu nevztahuje.</w:t>
      </w:r>
    </w:p>
    <w:p w:rsidR="00424B78" w:rsidRDefault="00C331FC">
      <w:pPr>
        <w:pStyle w:val="Bodytext10"/>
        <w:numPr>
          <w:ilvl w:val="1"/>
          <w:numId w:val="1"/>
        </w:numPr>
        <w:tabs>
          <w:tab w:val="left" w:pos="772"/>
        </w:tabs>
        <w:spacing w:after="220"/>
        <w:ind w:left="760" w:hanging="500"/>
      </w:pPr>
      <w:r>
        <w:rPr>
          <w:rStyle w:val="Bodytext1"/>
        </w:rPr>
        <w:t>Každá ze smluvních stran může pojistnou smlouvu vypovědět, a to výpovědí doručenou druhé smluvní straně nejméně 6 týdnů před uplynutím pojistného období. Pojištění zanikne uplynutím pojistného období, ve kterém byla výpověď podána.</w:t>
      </w:r>
    </w:p>
    <w:p w:rsidR="00424B78" w:rsidRDefault="00C331FC">
      <w:pPr>
        <w:pStyle w:val="Heading210"/>
        <w:keepNext/>
        <w:keepLines/>
        <w:numPr>
          <w:ilvl w:val="0"/>
          <w:numId w:val="1"/>
        </w:numPr>
        <w:tabs>
          <w:tab w:val="left" w:pos="763"/>
        </w:tabs>
        <w:ind w:firstLine="240"/>
      </w:pPr>
      <w:bookmarkStart w:id="12" w:name="bookmark22"/>
      <w:r>
        <w:rPr>
          <w:rStyle w:val="Heading21"/>
          <w:b/>
          <w:bCs/>
        </w:rPr>
        <w:lastRenderedPageBreak/>
        <w:t>Pokyny pro případ škody</w:t>
      </w:r>
      <w:bookmarkEnd w:id="12"/>
    </w:p>
    <w:p w:rsidR="00424B78" w:rsidRDefault="00C331FC">
      <w:pPr>
        <w:pStyle w:val="Bodytext10"/>
        <w:numPr>
          <w:ilvl w:val="1"/>
          <w:numId w:val="1"/>
        </w:numPr>
        <w:tabs>
          <w:tab w:val="left" w:pos="772"/>
        </w:tabs>
        <w:ind w:left="760" w:hanging="500"/>
        <w:jc w:val="both"/>
      </w:pPr>
      <w:r>
        <w:rPr>
          <w:rStyle w:val="Bodytext1"/>
        </w:rPr>
        <w:t>Obecně závazné povinnosti uložené pojištěnému (jakož i jeho zmocněncům a zástupcům) jsou uvedeny v čl. 12 VPP PZ 2005/01 a v Pokynech pro případ škody.</w:t>
      </w:r>
    </w:p>
    <w:p w:rsidR="00424B78" w:rsidRDefault="00C331FC">
      <w:pPr>
        <w:pStyle w:val="Bodytext10"/>
        <w:numPr>
          <w:ilvl w:val="1"/>
          <w:numId w:val="1"/>
        </w:numPr>
        <w:tabs>
          <w:tab w:val="left" w:pos="772"/>
        </w:tabs>
        <w:ind w:left="760" w:hanging="500"/>
        <w:jc w:val="both"/>
      </w:pPr>
      <w:r>
        <w:rPr>
          <w:rStyle w:val="Bodytext1"/>
        </w:rPr>
        <w:t>Každá nehoda dopravního prostředku a událost mající znaky trestného činu musí být vyšetřena a doložena policejním protokolem. V případě krádeže nebo nedodání zboží nebo jeho části je navíc nutno škodu doložit obvyklým protokolem sepsaným s odpovědnou stranou.</w:t>
      </w:r>
    </w:p>
    <w:p w:rsidR="00424B78" w:rsidRDefault="00C331FC">
      <w:pPr>
        <w:pStyle w:val="Bodytext10"/>
        <w:numPr>
          <w:ilvl w:val="1"/>
          <w:numId w:val="1"/>
        </w:numPr>
        <w:tabs>
          <w:tab w:val="left" w:pos="772"/>
        </w:tabs>
        <w:spacing w:after="220"/>
        <w:ind w:left="760" w:hanging="500"/>
        <w:jc w:val="both"/>
      </w:pPr>
      <w:r>
        <w:rPr>
          <w:rStyle w:val="Bodytext1"/>
        </w:rPr>
        <w:t>Při uplatnění pojistné události je pojištěný povinen doložit hodnotu všech věcí, které se v době vzniku škody nacházely v jednom dopravním prostředku a skutečnou výši vzniklé škody na základě účetních dokladů nebo nestranného ohodnocení.</w:t>
      </w:r>
    </w:p>
    <w:p w:rsidR="00424B78" w:rsidRDefault="00C331FC">
      <w:pPr>
        <w:pStyle w:val="Heading210"/>
        <w:keepNext/>
        <w:keepLines/>
        <w:numPr>
          <w:ilvl w:val="0"/>
          <w:numId w:val="1"/>
        </w:numPr>
        <w:tabs>
          <w:tab w:val="left" w:pos="763"/>
        </w:tabs>
        <w:ind w:firstLine="240"/>
      </w:pPr>
      <w:bookmarkStart w:id="13" w:name="bookmark24"/>
      <w:r>
        <w:rPr>
          <w:rStyle w:val="Heading21"/>
          <w:b/>
          <w:bCs/>
        </w:rPr>
        <w:t>Řešení sporů</w:t>
      </w:r>
      <w:bookmarkEnd w:id="13"/>
    </w:p>
    <w:p w:rsidR="00424B78" w:rsidRDefault="00C331FC">
      <w:pPr>
        <w:pStyle w:val="Bodytext10"/>
        <w:spacing w:after="220"/>
        <w:ind w:left="760" w:firstLine="20"/>
        <w:jc w:val="both"/>
      </w:pPr>
      <w:r>
        <w:rPr>
          <w:rStyle w:val="Bodytext1"/>
        </w:rPr>
        <w:t>Pro právní vztahy z této pojistné smlouvy je rozhodné české právo. Případné spory vzniklé z pojištění podle této smlouvy budou řešeny obecným soudem místně příslušným podle sídla pojistitele, pokud se strany nedohodnou na řešení podle zákona č. 216/94 Sb. o rozhodčím řízení a výkonu rozhodčích nálezů.</w:t>
      </w:r>
    </w:p>
    <w:p w:rsidR="00424B78" w:rsidRDefault="00C331FC">
      <w:pPr>
        <w:pStyle w:val="Heading210"/>
        <w:keepNext/>
        <w:keepLines/>
        <w:numPr>
          <w:ilvl w:val="0"/>
          <w:numId w:val="1"/>
        </w:numPr>
        <w:tabs>
          <w:tab w:val="left" w:pos="763"/>
        </w:tabs>
        <w:ind w:firstLine="240"/>
      </w:pPr>
      <w:bookmarkStart w:id="14" w:name="bookmark26"/>
      <w:r>
        <w:rPr>
          <w:rStyle w:val="Heading21"/>
          <w:b/>
          <w:bCs/>
        </w:rPr>
        <w:t>Závěrečná ustanovení</w:t>
      </w:r>
      <w:bookmarkEnd w:id="14"/>
    </w:p>
    <w:p w:rsidR="00424B78" w:rsidRDefault="00C331FC">
      <w:pPr>
        <w:pStyle w:val="Bodytext10"/>
        <w:numPr>
          <w:ilvl w:val="1"/>
          <w:numId w:val="1"/>
        </w:numPr>
        <w:tabs>
          <w:tab w:val="left" w:pos="774"/>
        </w:tabs>
        <w:ind w:left="760" w:hanging="500"/>
        <w:jc w:val="both"/>
      </w:pPr>
      <w:r>
        <w:rPr>
          <w:rStyle w:val="Bodytext1"/>
        </w:rPr>
        <w:t xml:space="preserve">Pojistník podpisem smlouvy potvrzuje, že byl seznámen se Všeobecnými pojistnými podmínkami pro pojištění přepravovaného zboží společnosti </w:t>
      </w:r>
      <w:r>
        <w:rPr>
          <w:rStyle w:val="Bodytext1"/>
          <w:lang w:val="en-US" w:eastAsia="en-US" w:bidi="en-US"/>
        </w:rPr>
        <w:t xml:space="preserve">Generali </w:t>
      </w:r>
      <w:r>
        <w:rPr>
          <w:rStyle w:val="Bodytext1"/>
        </w:rPr>
        <w:t>Pojišťovna a.s. a s Obecnými ustanoveními k rámcové pojistné smlouvě a zavazuje se, že případné změny a odchylky od údajů poskytnutých pojistiteli před uzavřením pojistné smlouvy případně v doplňujících písemných prohlášeních nahlásí nejpozději do 15 dnů od jejich vzniku. Na ústní ujednání nemůže být brán zřetel.</w:t>
      </w:r>
    </w:p>
    <w:p w:rsidR="00424B78" w:rsidRDefault="00C331FC">
      <w:pPr>
        <w:pStyle w:val="Bodytext10"/>
        <w:numPr>
          <w:ilvl w:val="1"/>
          <w:numId w:val="1"/>
        </w:numPr>
        <w:tabs>
          <w:tab w:val="left" w:pos="772"/>
        </w:tabs>
        <w:ind w:left="760" w:hanging="500"/>
        <w:jc w:val="both"/>
      </w:pPr>
      <w:r>
        <w:rPr>
          <w:rStyle w:val="Bodytext1"/>
        </w:rPr>
        <w:t>Pojistník bere na vědomí, že pojistitel v souladu a v rozsahu platných právních předpisů zpracovává a uchovává osobní údaje fyzických osob a údaje o pojištění, jakož i údaje o škodách uplatněných z titulu uzavřeného pojištění. Uzavřením pojistné smlouvy zprošťuje pojistník pojistitele mlčenlivosti ve vztahu k</w:t>
      </w:r>
      <w:r w:rsidR="00511902">
        <w:rPr>
          <w:rStyle w:val="Bodytext1"/>
        </w:rPr>
        <w:t xml:space="preserve"> </w:t>
      </w:r>
      <w:r>
        <w:rPr>
          <w:rStyle w:val="Bodytext1"/>
        </w:rPr>
        <w:t>jeho zajistiteli. V případě uplatnění nároku na pojistné plnění ve výši</w:t>
      </w:r>
      <w:r w:rsidR="00C2364B">
        <w:rPr>
          <w:rStyle w:val="Bodytext1"/>
        </w:rPr>
        <w:t xml:space="preserve"> </w:t>
      </w:r>
      <w:r>
        <w:rPr>
          <w:rStyle w:val="Bodytext1"/>
        </w:rPr>
        <w:t>od</w:t>
      </w:r>
      <w:r w:rsidR="00C2364B">
        <w:rPr>
          <w:rStyle w:val="Bodytext1"/>
        </w:rPr>
        <w:t xml:space="preserve"> </w:t>
      </w:r>
      <w:proofErr w:type="spellStart"/>
      <w:r w:rsidR="00C2364B">
        <w:rPr>
          <w:rStyle w:val="Bodytext1"/>
        </w:rPr>
        <w:t>xxx</w:t>
      </w:r>
      <w:proofErr w:type="spellEnd"/>
      <w:r w:rsidR="00C2364B">
        <w:rPr>
          <w:rStyle w:val="Bodytext1"/>
        </w:rPr>
        <w:t xml:space="preserve"> je </w:t>
      </w:r>
      <w:r>
        <w:rPr>
          <w:rStyle w:val="Bodytext1"/>
        </w:rPr>
        <w:t>pojistitel povinen provést v souladu splatnými právními předpisy identifikaci účastníka obchodu.</w:t>
      </w:r>
    </w:p>
    <w:p w:rsidR="00424B78" w:rsidRDefault="00C331FC">
      <w:pPr>
        <w:pStyle w:val="Bodytext10"/>
        <w:numPr>
          <w:ilvl w:val="1"/>
          <w:numId w:val="1"/>
        </w:numPr>
        <w:tabs>
          <w:tab w:val="left" w:pos="772"/>
        </w:tabs>
        <w:spacing w:after="220"/>
        <w:ind w:left="760" w:hanging="500"/>
        <w:jc w:val="both"/>
      </w:pPr>
      <w:r>
        <w:rPr>
          <w:rStyle w:val="Bodytext1"/>
        </w:rPr>
        <w:t>Pojistná smlouva je vystavena ve dvou originálech, z nichž po jednom obdrží pojistník a pojistitel.</w:t>
      </w:r>
    </w:p>
    <w:p w:rsidR="00424B78" w:rsidRDefault="00C331FC">
      <w:pPr>
        <w:pStyle w:val="Bodytext10"/>
        <w:tabs>
          <w:tab w:val="left" w:pos="1541"/>
        </w:tabs>
        <w:ind w:firstLine="240"/>
      </w:pPr>
      <w:r>
        <w:rPr>
          <w:rStyle w:val="Bodytext1"/>
        </w:rPr>
        <w:t>Přílohy:</w:t>
      </w:r>
      <w:r>
        <w:rPr>
          <w:rStyle w:val="Bodytext1"/>
        </w:rPr>
        <w:tab/>
        <w:t>Všeobecné pojistné podmínky pro pojištění přepravovaného zboží</w:t>
      </w:r>
    </w:p>
    <w:p w:rsidR="00424B78" w:rsidRDefault="00C331FC">
      <w:pPr>
        <w:pStyle w:val="Bodytext10"/>
        <w:ind w:left="1600"/>
      </w:pPr>
      <w:r>
        <w:rPr>
          <w:rStyle w:val="Bodytext1"/>
        </w:rPr>
        <w:t xml:space="preserve">Doložka pro pojištění válečných rizik během letecké přepravy (Air </w:t>
      </w:r>
      <w:r>
        <w:rPr>
          <w:rStyle w:val="Bodytext1"/>
          <w:lang w:val="en-US" w:eastAsia="en-US" w:bidi="en-US"/>
        </w:rPr>
        <w:t xml:space="preserve">Cargo) </w:t>
      </w:r>
      <w:r>
        <w:rPr>
          <w:rStyle w:val="Bodytext1"/>
        </w:rPr>
        <w:t xml:space="preserve">Doložka pro pojištění politických rizik během letecké přepravy (Air </w:t>
      </w:r>
      <w:r>
        <w:rPr>
          <w:rStyle w:val="Bodytext1"/>
          <w:lang w:val="en-US" w:eastAsia="en-US" w:bidi="en-US"/>
        </w:rPr>
        <w:t xml:space="preserve">Cargo) </w:t>
      </w:r>
      <w:r>
        <w:rPr>
          <w:rStyle w:val="Bodytext1"/>
        </w:rPr>
        <w:t xml:space="preserve">Doložka pro pojištění politických rizik </w:t>
      </w:r>
      <w:r>
        <w:rPr>
          <w:rStyle w:val="Bodytext1"/>
          <w:lang w:val="en-US" w:eastAsia="en-US" w:bidi="en-US"/>
        </w:rPr>
        <w:t xml:space="preserve">(Cargo) </w:t>
      </w:r>
      <w:r>
        <w:rPr>
          <w:rStyle w:val="Bodytext1"/>
        </w:rPr>
        <w:t>Ujednáni o ukončení platnosti pojištění rizika (terorismus)</w:t>
      </w:r>
    </w:p>
    <w:p w:rsidR="00424B78" w:rsidRDefault="00C331FC">
      <w:pPr>
        <w:pStyle w:val="Bodytext10"/>
        <w:ind w:left="1600"/>
      </w:pPr>
      <w:r>
        <w:rPr>
          <w:rStyle w:val="Bodytext1"/>
        </w:rPr>
        <w:t>Doložka pro vypovězení ujednání o pojištění válečných rizik (271 ILU)</w:t>
      </w:r>
    </w:p>
    <w:p w:rsidR="00424B78" w:rsidRDefault="00C331FC">
      <w:pPr>
        <w:pStyle w:val="Bodytext10"/>
        <w:spacing w:after="220"/>
        <w:ind w:left="1600"/>
      </w:pPr>
      <w:r>
        <w:rPr>
          <w:rStyle w:val="Bodytext1"/>
        </w:rPr>
        <w:t>Pokyny pro případ škody</w:t>
      </w:r>
    </w:p>
    <w:p w:rsidR="00424B78" w:rsidRDefault="00C331FC">
      <w:pPr>
        <w:pStyle w:val="Picturecaption10"/>
        <w:ind w:left="120"/>
        <w:rPr>
          <w:sz w:val="20"/>
          <w:szCs w:val="20"/>
        </w:rPr>
      </w:pPr>
      <w:r>
        <w:rPr>
          <w:rStyle w:val="Picturecaption1"/>
          <w:color w:val="000000"/>
          <w:sz w:val="20"/>
          <w:szCs w:val="20"/>
          <w:shd w:val="clear" w:color="auto" w:fill="auto"/>
        </w:rPr>
        <w:t>V Praze dne 15. 12. 2009</w:t>
      </w:r>
    </w:p>
    <w:p w:rsidR="00424B78" w:rsidRDefault="00424B78">
      <w:pPr>
        <w:rPr>
          <w:sz w:val="2"/>
          <w:szCs w:val="2"/>
        </w:rPr>
      </w:pPr>
    </w:p>
    <w:p w:rsidR="00424B78" w:rsidRDefault="00C331FC">
      <w:pPr>
        <w:pStyle w:val="Picturecaption10"/>
        <w:tabs>
          <w:tab w:val="left" w:pos="5419"/>
        </w:tabs>
        <w:ind w:left="139"/>
        <w:rPr>
          <w:rStyle w:val="Picturecaption1"/>
          <w:color w:val="000000"/>
          <w:sz w:val="17"/>
          <w:szCs w:val="17"/>
          <w:shd w:val="clear" w:color="auto" w:fill="auto"/>
        </w:rPr>
      </w:pPr>
      <w:r>
        <w:rPr>
          <w:rStyle w:val="Picturecaption1"/>
          <w:color w:val="000000"/>
          <w:sz w:val="17"/>
          <w:szCs w:val="17"/>
          <w:shd w:val="clear" w:color="auto" w:fill="auto"/>
        </w:rPr>
        <w:t>(</w:t>
      </w:r>
      <w:proofErr w:type="gramStart"/>
      <w:r>
        <w:rPr>
          <w:rStyle w:val="Picturecaption1"/>
          <w:color w:val="000000"/>
          <w:sz w:val="17"/>
          <w:szCs w:val="17"/>
          <w:shd w:val="clear" w:color="auto" w:fill="auto"/>
        </w:rPr>
        <w:t>Pojistitel)</w:t>
      </w:r>
      <w:r>
        <w:rPr>
          <w:rStyle w:val="Picturecaption1"/>
          <w:color w:val="000000"/>
          <w:sz w:val="17"/>
          <w:szCs w:val="17"/>
          <w:shd w:val="clear" w:color="auto" w:fill="auto"/>
        </w:rPr>
        <w:tab/>
        <w:t>(Pojistník</w:t>
      </w:r>
      <w:proofErr w:type="gramEnd"/>
      <w:r>
        <w:rPr>
          <w:rStyle w:val="Picturecaption1"/>
          <w:color w:val="000000"/>
          <w:sz w:val="17"/>
          <w:szCs w:val="17"/>
          <w:shd w:val="clear" w:color="auto" w:fill="auto"/>
        </w:rPr>
        <w:t>)</w:t>
      </w:r>
    </w:p>
    <w:p w:rsidR="00D32409" w:rsidRDefault="00D32409">
      <w:pPr>
        <w:pStyle w:val="Picturecaption10"/>
        <w:tabs>
          <w:tab w:val="left" w:pos="5419"/>
        </w:tabs>
        <w:ind w:left="139"/>
        <w:rPr>
          <w:sz w:val="17"/>
          <w:szCs w:val="17"/>
        </w:rPr>
      </w:pPr>
      <w:r>
        <w:rPr>
          <w:rStyle w:val="Picturecaption1"/>
          <w:color w:val="000000"/>
          <w:sz w:val="17"/>
          <w:szCs w:val="17"/>
          <w:shd w:val="clear" w:color="auto" w:fill="auto"/>
        </w:rPr>
        <w:t>Vystavil xxxx</w:t>
      </w:r>
    </w:p>
    <w:sectPr w:rsidR="00D32409">
      <w:footerReference w:type="default" r:id="rId11"/>
      <w:pgSz w:w="11900" w:h="16840"/>
      <w:pgMar w:top="1581" w:right="1102" w:bottom="1797" w:left="1204" w:header="1153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317" w:rsidRDefault="00E05317">
      <w:r>
        <w:separator/>
      </w:r>
    </w:p>
  </w:endnote>
  <w:endnote w:type="continuationSeparator" w:id="0">
    <w:p w:rsidR="00E05317" w:rsidRDefault="00E05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B78" w:rsidRDefault="00C331FC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1" behindDoc="1" locked="0" layoutInCell="1" allowOverlap="1" wp14:anchorId="4C099313" wp14:editId="265C2342">
              <wp:simplePos x="0" y="0"/>
              <wp:positionH relativeFrom="page">
                <wp:posOffset>5930900</wp:posOffset>
              </wp:positionH>
              <wp:positionV relativeFrom="page">
                <wp:posOffset>9618980</wp:posOffset>
              </wp:positionV>
              <wp:extent cx="481330" cy="82550"/>
              <wp:effectExtent l="0" t="0" r="0" b="0"/>
              <wp:wrapNone/>
              <wp:docPr id="6" name="Shap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1330" cy="825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424B78" w:rsidRDefault="00C331FC">
                          <w:pPr>
                            <w:pStyle w:val="Headerorfooter20"/>
                            <w:rPr>
                              <w:sz w:val="17"/>
                              <w:szCs w:val="17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sz w:val="17"/>
                              <w:szCs w:val="17"/>
                            </w:rPr>
                            <w:t xml:space="preserve">strana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AF3D25" w:rsidRPr="00AF3D25">
                            <w:rPr>
                              <w:rStyle w:val="Headerorfooter2"/>
                              <w:rFonts w:ascii="Arial" w:eastAsia="Arial" w:hAnsi="Arial" w:cs="Arial"/>
                              <w:noProof/>
                              <w:sz w:val="17"/>
                              <w:szCs w:val="17"/>
                            </w:rPr>
                            <w:t>2</w:t>
                          </w:r>
                          <w:r>
                            <w:rPr>
                              <w:rStyle w:val="Headerorfooter2"/>
                              <w:rFonts w:ascii="Arial" w:eastAsia="Arial" w:hAnsi="Arial" w:cs="Arial"/>
                              <w:sz w:val="17"/>
                              <w:szCs w:val="17"/>
                            </w:rPr>
                            <w:fldChar w:fldCharType="end"/>
                          </w:r>
                          <w:r>
                            <w:rPr>
                              <w:rStyle w:val="Headerorfooter2"/>
                              <w:rFonts w:ascii="Arial" w:eastAsia="Arial" w:hAnsi="Arial" w:cs="Arial"/>
                              <w:sz w:val="17"/>
                              <w:szCs w:val="17"/>
                            </w:rPr>
                            <w:t>/3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6" o:spid="_x0000_s1027" type="#_x0000_t202" style="position:absolute;margin-left:467pt;margin-top:757.4pt;width:37.9pt;height:6.5pt;z-index:-440401789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" filled="f" stroked="f">
              <v:textbox style="mso-fit-shape-to-text:t" inset="0,0,0,0">
                <w:txbxContent>
                  <w:p w:rsidR="00424B78" w:rsidRDefault="00C331FC">
                    <w:pPr>
                      <w:pStyle w:val="Headerorfooter20"/>
                      <w:rPr>
                        <w:sz w:val="17"/>
                        <w:szCs w:val="17"/>
                      </w:rPr>
                    </w:pPr>
                    <w:r>
                      <w:rPr>
                        <w:rStyle w:val="Headerorfooter2"/>
                        <w:rFonts w:ascii="Arial" w:eastAsia="Arial" w:hAnsi="Arial" w:cs="Arial"/>
                        <w:sz w:val="17"/>
                        <w:szCs w:val="17"/>
                      </w:rPr>
                      <w:t xml:space="preserve">strana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AF3D25" w:rsidRPr="00AF3D25">
                      <w:rPr>
                        <w:rStyle w:val="Headerorfooter2"/>
                        <w:rFonts w:ascii="Arial" w:eastAsia="Arial" w:hAnsi="Arial" w:cs="Arial"/>
                        <w:noProof/>
                        <w:sz w:val="17"/>
                        <w:szCs w:val="17"/>
                      </w:rPr>
                      <w:t>2</w:t>
                    </w:r>
                    <w:r>
                      <w:rPr>
                        <w:rStyle w:val="Headerorfooter2"/>
                        <w:rFonts w:ascii="Arial" w:eastAsia="Arial" w:hAnsi="Arial" w:cs="Arial"/>
                        <w:sz w:val="17"/>
                        <w:szCs w:val="17"/>
                      </w:rPr>
                      <w:fldChar w:fldCharType="end"/>
                    </w:r>
                    <w:r>
                      <w:rPr>
                        <w:rStyle w:val="Headerorfooter2"/>
                        <w:rFonts w:ascii="Arial" w:eastAsia="Arial" w:hAnsi="Arial" w:cs="Arial"/>
                        <w:sz w:val="17"/>
                        <w:szCs w:val="17"/>
                      </w:rPr>
                      <w:t>/3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317" w:rsidRDefault="00E05317"/>
  </w:footnote>
  <w:footnote w:type="continuationSeparator" w:id="0">
    <w:p w:rsidR="00E05317" w:rsidRDefault="00E0531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CD5C74"/>
    <w:multiLevelType w:val="multilevel"/>
    <w:tmpl w:val="18C6B790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cs-CZ" w:eastAsia="cs-CZ" w:bidi="cs-CZ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cs-CZ" w:eastAsia="cs-CZ" w:bidi="cs-CZ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cs-CZ" w:eastAsia="cs-CZ" w:bidi="cs-CZ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B800571"/>
    <w:multiLevelType w:val="multilevel"/>
    <w:tmpl w:val="F732C688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6545499"/>
    <w:multiLevelType w:val="multilevel"/>
    <w:tmpl w:val="749E7268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cs-CZ" w:eastAsia="cs-CZ" w:bidi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424B78"/>
    <w:rsid w:val="00390F25"/>
    <w:rsid w:val="00424B78"/>
    <w:rsid w:val="004F0900"/>
    <w:rsid w:val="00511902"/>
    <w:rsid w:val="005A281F"/>
    <w:rsid w:val="006513F9"/>
    <w:rsid w:val="008B306B"/>
    <w:rsid w:val="008C3602"/>
    <w:rsid w:val="00AF3D25"/>
    <w:rsid w:val="00B65CE2"/>
    <w:rsid w:val="00C2364B"/>
    <w:rsid w:val="00C331FC"/>
    <w:rsid w:val="00D32409"/>
    <w:rsid w:val="00E05317"/>
    <w:rsid w:val="00EE2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Bodytext4">
    <w:name w:val="Body text|4_"/>
    <w:basedOn w:val="Standardnpsmoodstavce"/>
    <w:link w:val="Bodytext40"/>
    <w:rPr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2">
    <w:name w:val="Body text|2_"/>
    <w:basedOn w:val="Standardnpsmoodstavce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Heading11">
    <w:name w:val="Heading #1|1_"/>
    <w:basedOn w:val="Standardnpsmoodstavce"/>
    <w:link w:val="Heading11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1">
    <w:name w:val="Body text|1_"/>
    <w:basedOn w:val="Standardnpsmoodstavce"/>
    <w:link w:val="Bodytext1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3">
    <w:name w:val="Body text|3_"/>
    <w:basedOn w:val="Standardnpsmoodstavce"/>
    <w:link w:val="Bodytext30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Heading21">
    <w:name w:val="Heading #2|1_"/>
    <w:basedOn w:val="Standardnpsmoodstavce"/>
    <w:link w:val="Heading210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Headerorfooter2">
    <w:name w:val="Header or footer|2_"/>
    <w:basedOn w:val="Standardnpsmoodstavce"/>
    <w:link w:val="Headerorfooter2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Picturecaption1">
    <w:name w:val="Picture caption|1_"/>
    <w:basedOn w:val="Standardnpsmoodstavce"/>
    <w:link w:val="Picturecaption10"/>
    <w:rPr>
      <w:rFonts w:ascii="Arial" w:eastAsia="Arial" w:hAnsi="Arial" w:cs="Arial"/>
      <w:b w:val="0"/>
      <w:bCs w:val="0"/>
      <w:i w:val="0"/>
      <w:iCs w:val="0"/>
      <w:smallCaps w:val="0"/>
      <w:strike w:val="0"/>
      <w:color w:val="4E5717"/>
      <w:sz w:val="12"/>
      <w:szCs w:val="12"/>
      <w:u w:val="none"/>
      <w:shd w:val="clear" w:color="auto" w:fill="EAF463"/>
    </w:rPr>
  </w:style>
  <w:style w:type="paragraph" w:customStyle="1" w:styleId="Bodytext40">
    <w:name w:val="Body text|4"/>
    <w:basedOn w:val="Normln"/>
    <w:link w:val="Bodytext4"/>
    <w:pPr>
      <w:spacing w:line="290" w:lineRule="auto"/>
    </w:pPr>
    <w:rPr>
      <w:sz w:val="18"/>
      <w:szCs w:val="18"/>
    </w:rPr>
  </w:style>
  <w:style w:type="paragraph" w:customStyle="1" w:styleId="Bodytext20">
    <w:name w:val="Body text|2"/>
    <w:basedOn w:val="Normln"/>
    <w:link w:val="Bodytext2"/>
    <w:pPr>
      <w:spacing w:line="300" w:lineRule="auto"/>
    </w:pPr>
    <w:rPr>
      <w:rFonts w:ascii="Arial" w:eastAsia="Arial" w:hAnsi="Arial" w:cs="Arial"/>
      <w:sz w:val="9"/>
      <w:szCs w:val="9"/>
    </w:rPr>
  </w:style>
  <w:style w:type="paragraph" w:customStyle="1" w:styleId="Heading110">
    <w:name w:val="Heading #1|1"/>
    <w:basedOn w:val="Normln"/>
    <w:link w:val="Heading11"/>
    <w:pPr>
      <w:ind w:firstLine="180"/>
      <w:outlineLvl w:val="0"/>
    </w:pPr>
    <w:rPr>
      <w:rFonts w:ascii="Arial" w:eastAsia="Arial" w:hAnsi="Arial" w:cs="Arial"/>
      <w:sz w:val="22"/>
      <w:szCs w:val="22"/>
    </w:rPr>
  </w:style>
  <w:style w:type="paragraph" w:customStyle="1" w:styleId="Bodytext10">
    <w:name w:val="Body text|1"/>
    <w:basedOn w:val="Normln"/>
    <w:link w:val="Bodytext1"/>
    <w:rPr>
      <w:rFonts w:ascii="Arial" w:eastAsia="Arial" w:hAnsi="Arial" w:cs="Arial"/>
      <w:sz w:val="18"/>
      <w:szCs w:val="18"/>
    </w:rPr>
  </w:style>
  <w:style w:type="paragraph" w:customStyle="1" w:styleId="Bodytext30">
    <w:name w:val="Body text|3"/>
    <w:basedOn w:val="Normln"/>
    <w:link w:val="Bodytext3"/>
    <w:pPr>
      <w:spacing w:after="220" w:line="281" w:lineRule="auto"/>
      <w:ind w:left="180" w:firstLine="110"/>
    </w:pPr>
    <w:rPr>
      <w:rFonts w:ascii="Arial" w:eastAsia="Arial" w:hAnsi="Arial" w:cs="Arial"/>
      <w:sz w:val="15"/>
      <w:szCs w:val="15"/>
    </w:rPr>
  </w:style>
  <w:style w:type="paragraph" w:customStyle="1" w:styleId="Heading210">
    <w:name w:val="Heading #2|1"/>
    <w:basedOn w:val="Normln"/>
    <w:link w:val="Heading21"/>
    <w:pPr>
      <w:ind w:firstLine="220"/>
      <w:outlineLvl w:val="1"/>
    </w:pPr>
    <w:rPr>
      <w:rFonts w:ascii="Arial" w:eastAsia="Arial" w:hAnsi="Arial" w:cs="Arial"/>
      <w:b/>
      <w:bCs/>
      <w:sz w:val="18"/>
      <w:szCs w:val="18"/>
    </w:rPr>
  </w:style>
  <w:style w:type="paragraph" w:customStyle="1" w:styleId="Headerorfooter20">
    <w:name w:val="Header or footer|2"/>
    <w:basedOn w:val="Normln"/>
    <w:link w:val="Headerorfooter2"/>
    <w:rPr>
      <w:sz w:val="20"/>
      <w:szCs w:val="20"/>
    </w:rPr>
  </w:style>
  <w:style w:type="paragraph" w:customStyle="1" w:styleId="Picturecaption10">
    <w:name w:val="Picture caption|1"/>
    <w:basedOn w:val="Normln"/>
    <w:link w:val="Picturecaption1"/>
    <w:rPr>
      <w:rFonts w:ascii="Arial" w:eastAsia="Arial" w:hAnsi="Arial" w:cs="Arial"/>
      <w:color w:val="4E5717"/>
      <w:sz w:val="12"/>
      <w:szCs w:val="12"/>
      <w:shd w:val="clear" w:color="auto" w:fill="EAF463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2364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2364B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Bodytext4">
    <w:name w:val="Body text|4_"/>
    <w:basedOn w:val="Standardnpsmoodstavce"/>
    <w:link w:val="Bodytext40"/>
    <w:rPr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2">
    <w:name w:val="Body text|2_"/>
    <w:basedOn w:val="Standardnpsmoodstavce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Heading11">
    <w:name w:val="Heading #1|1_"/>
    <w:basedOn w:val="Standardnpsmoodstavce"/>
    <w:link w:val="Heading11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1">
    <w:name w:val="Body text|1_"/>
    <w:basedOn w:val="Standardnpsmoodstavce"/>
    <w:link w:val="Bodytext1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3">
    <w:name w:val="Body text|3_"/>
    <w:basedOn w:val="Standardnpsmoodstavce"/>
    <w:link w:val="Bodytext30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Heading21">
    <w:name w:val="Heading #2|1_"/>
    <w:basedOn w:val="Standardnpsmoodstavce"/>
    <w:link w:val="Heading210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Headerorfooter2">
    <w:name w:val="Header or footer|2_"/>
    <w:basedOn w:val="Standardnpsmoodstavce"/>
    <w:link w:val="Headerorfooter2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Picturecaption1">
    <w:name w:val="Picture caption|1_"/>
    <w:basedOn w:val="Standardnpsmoodstavce"/>
    <w:link w:val="Picturecaption10"/>
    <w:rPr>
      <w:rFonts w:ascii="Arial" w:eastAsia="Arial" w:hAnsi="Arial" w:cs="Arial"/>
      <w:b w:val="0"/>
      <w:bCs w:val="0"/>
      <w:i w:val="0"/>
      <w:iCs w:val="0"/>
      <w:smallCaps w:val="0"/>
      <w:strike w:val="0"/>
      <w:color w:val="4E5717"/>
      <w:sz w:val="12"/>
      <w:szCs w:val="12"/>
      <w:u w:val="none"/>
      <w:shd w:val="clear" w:color="auto" w:fill="EAF463"/>
    </w:rPr>
  </w:style>
  <w:style w:type="paragraph" w:customStyle="1" w:styleId="Bodytext40">
    <w:name w:val="Body text|4"/>
    <w:basedOn w:val="Normln"/>
    <w:link w:val="Bodytext4"/>
    <w:pPr>
      <w:spacing w:line="290" w:lineRule="auto"/>
    </w:pPr>
    <w:rPr>
      <w:sz w:val="18"/>
      <w:szCs w:val="18"/>
    </w:rPr>
  </w:style>
  <w:style w:type="paragraph" w:customStyle="1" w:styleId="Bodytext20">
    <w:name w:val="Body text|2"/>
    <w:basedOn w:val="Normln"/>
    <w:link w:val="Bodytext2"/>
    <w:pPr>
      <w:spacing w:line="300" w:lineRule="auto"/>
    </w:pPr>
    <w:rPr>
      <w:rFonts w:ascii="Arial" w:eastAsia="Arial" w:hAnsi="Arial" w:cs="Arial"/>
      <w:sz w:val="9"/>
      <w:szCs w:val="9"/>
    </w:rPr>
  </w:style>
  <w:style w:type="paragraph" w:customStyle="1" w:styleId="Heading110">
    <w:name w:val="Heading #1|1"/>
    <w:basedOn w:val="Normln"/>
    <w:link w:val="Heading11"/>
    <w:pPr>
      <w:ind w:firstLine="180"/>
      <w:outlineLvl w:val="0"/>
    </w:pPr>
    <w:rPr>
      <w:rFonts w:ascii="Arial" w:eastAsia="Arial" w:hAnsi="Arial" w:cs="Arial"/>
      <w:sz w:val="22"/>
      <w:szCs w:val="22"/>
    </w:rPr>
  </w:style>
  <w:style w:type="paragraph" w:customStyle="1" w:styleId="Bodytext10">
    <w:name w:val="Body text|1"/>
    <w:basedOn w:val="Normln"/>
    <w:link w:val="Bodytext1"/>
    <w:rPr>
      <w:rFonts w:ascii="Arial" w:eastAsia="Arial" w:hAnsi="Arial" w:cs="Arial"/>
      <w:sz w:val="18"/>
      <w:szCs w:val="18"/>
    </w:rPr>
  </w:style>
  <w:style w:type="paragraph" w:customStyle="1" w:styleId="Bodytext30">
    <w:name w:val="Body text|3"/>
    <w:basedOn w:val="Normln"/>
    <w:link w:val="Bodytext3"/>
    <w:pPr>
      <w:spacing w:after="220" w:line="281" w:lineRule="auto"/>
      <w:ind w:left="180" w:firstLine="110"/>
    </w:pPr>
    <w:rPr>
      <w:rFonts w:ascii="Arial" w:eastAsia="Arial" w:hAnsi="Arial" w:cs="Arial"/>
      <w:sz w:val="15"/>
      <w:szCs w:val="15"/>
    </w:rPr>
  </w:style>
  <w:style w:type="paragraph" w:customStyle="1" w:styleId="Heading210">
    <w:name w:val="Heading #2|1"/>
    <w:basedOn w:val="Normln"/>
    <w:link w:val="Heading21"/>
    <w:pPr>
      <w:ind w:firstLine="220"/>
      <w:outlineLvl w:val="1"/>
    </w:pPr>
    <w:rPr>
      <w:rFonts w:ascii="Arial" w:eastAsia="Arial" w:hAnsi="Arial" w:cs="Arial"/>
      <w:b/>
      <w:bCs/>
      <w:sz w:val="18"/>
      <w:szCs w:val="18"/>
    </w:rPr>
  </w:style>
  <w:style w:type="paragraph" w:customStyle="1" w:styleId="Headerorfooter20">
    <w:name w:val="Header or footer|2"/>
    <w:basedOn w:val="Normln"/>
    <w:link w:val="Headerorfooter2"/>
    <w:rPr>
      <w:sz w:val="20"/>
      <w:szCs w:val="20"/>
    </w:rPr>
  </w:style>
  <w:style w:type="paragraph" w:customStyle="1" w:styleId="Picturecaption10">
    <w:name w:val="Picture caption|1"/>
    <w:basedOn w:val="Normln"/>
    <w:link w:val="Picturecaption1"/>
    <w:rPr>
      <w:rFonts w:ascii="Arial" w:eastAsia="Arial" w:hAnsi="Arial" w:cs="Arial"/>
      <w:color w:val="4E5717"/>
      <w:sz w:val="12"/>
      <w:szCs w:val="12"/>
      <w:shd w:val="clear" w:color="auto" w:fill="EAF463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2364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2364B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ervis@generali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enerali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1440</Words>
  <Characters>8499</Characters>
  <Application>Microsoft Office Word</Application>
  <DocSecurity>0</DocSecurity>
  <Lines>70</Lines>
  <Paragraphs>19</Paragraphs>
  <ScaleCrop>false</ScaleCrop>
  <Company>Hewlett-Packard Company</Company>
  <LinksUpToDate>false</LinksUpToDate>
  <CharactersWithSpaces>9920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Podskalská</dc:creator>
  <cp:lastModifiedBy>Podskalská Hana</cp:lastModifiedBy>
  <cp:revision>10</cp:revision>
  <dcterms:created xsi:type="dcterms:W3CDTF">2026-03-16T15:43:00Z</dcterms:created>
  <dcterms:modified xsi:type="dcterms:W3CDTF">2026-03-31T10:00:00Z</dcterms:modified>
</cp:coreProperties>
</file>