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417/2026</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Vilémovský p. ve Vilémově - zeď u čp. 51</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NOPESTAV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Janáčkova 406/5a, 40007 Ústí nad Labem</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04952049</w:t>
      </w:r>
    </w:p>
    <w:p>
      <w:pPr>
        <w:pStyle w:val="Style2"/>
        <w:keepNext w:val="0"/>
        <w:keepLines w:val="0"/>
        <w:widowControl w:val="0"/>
        <w:shd w:val="clear" w:color="auto" w:fill="auto"/>
        <w:bidi w:val="0"/>
        <w:spacing w:before="0" w:after="180" w:line="240" w:lineRule="auto"/>
        <w:ind w:left="2340" w:right="0" w:firstLine="0"/>
        <w:jc w:val="both"/>
      </w:pPr>
      <w:r>
        <w:rPr>
          <w:color w:val="000000"/>
          <w:spacing w:val="0"/>
          <w:w w:val="100"/>
          <w:position w:val="0"/>
          <w:shd w:val="clear" w:color="auto" w:fill="auto"/>
          <w:lang w:val="cs-CZ" w:eastAsia="cs-CZ" w:bidi="cs-CZ"/>
        </w:rPr>
        <w:t>CZ04952049</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60" w:val="left"/>
        </w:tabs>
        <w:bidi w:val="0"/>
        <w:spacing w:before="0" w:after="200" w:line="240" w:lineRule="auto"/>
        <w:ind w:left="380" w:right="0" w:hanging="38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Vilémovský p. ve Vilémově - zeď u čp. 51</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shd w:val="clear" w:color="auto" w:fill="auto"/>
        <w:bidi w:val="0"/>
        <w:spacing w:before="0" w:after="0" w:line="240" w:lineRule="auto"/>
        <w:ind w:left="380" w:right="0" w:firstLine="0"/>
        <w:jc w:val="both"/>
      </w:pPr>
      <w:bookmarkStart w:id="10" w:name="bookmark10"/>
      <w:bookmarkStart w:id="8" w:name="bookmark8"/>
      <w:bookmarkStart w:id="9" w:name="bookmark9"/>
      <w:r>
        <w:rPr>
          <w:color w:val="000000"/>
          <w:spacing w:val="0"/>
          <w:w w:val="100"/>
          <w:position w:val="0"/>
          <w:shd w:val="clear" w:color="auto" w:fill="auto"/>
          <w:lang w:val="cs-CZ" w:eastAsia="cs-CZ" w:bidi="cs-CZ"/>
        </w:rPr>
        <w:t>Předmětem veřejné zakázky je oprava cca 10 m levobřežní zdi v korytě vodního toku Vilémovský p. (Poustevenský) (IDVT 10100689, ř. km 4,454-4,464) v obci Vilémov u silničního mostu v blízkosti č. p. 51.</w:t>
      </w:r>
      <w:bookmarkEnd w:id="10"/>
      <w:bookmarkEnd w:id="8"/>
      <w:bookmarkEnd w:id="9"/>
    </w:p>
    <w:p>
      <w:pPr>
        <w:pStyle w:val="Style12"/>
        <w:keepNext/>
        <w:keepLines/>
        <w:widowControl w:val="0"/>
        <w:shd w:val="clear" w:color="auto" w:fill="auto"/>
        <w:bidi w:val="0"/>
        <w:spacing w:before="0" w:after="60" w:line="240" w:lineRule="auto"/>
        <w:ind w:left="380" w:right="0" w:firstLine="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Stávající zeď bude rozebrána a v původním rozsahu bude zhotovena nová zeď doplněná o zavázání do levého břehu. Výška zdi se pohybuje v rozmezí od 1,17 m do 2,1 m, šíře 0,65 m, sklon líce 1:10. Zeď bude provedena ze žulového lomového kamene zděného MC 25. Přechod zdi na neopevněnou část koryta bude proveden kamennou rovnaninou (lomový čedič), svah nad rovnaninou bude ohumusován a oset. Místní komunikace přilehlá ke korytu bude opravena. Odvodnění rubu zdi bude řešeno filtrem z drceného kameniva a PE potrubím (DN 75). Opatření proti úniku ropných látek bude řešeno zhotovitelem stavby (např. ekologicky nezávadné provozní kapaliny, neskladování nebezpečných látek v blízkosti toku, norné stěny, sedimentační jímky). Převod vody bude řešen odklonem za střední pilíř dvoupolového mostu navazujícího na stavbu pomocí hrázky z pytlů. Zařízení staveniště je navrženo z důvodu nedostatku vhodného prostoru na pozemku p. č. 131/1 v k. ú. Vilémov u Šluknova.</w:t>
      </w:r>
      <w:bookmarkEnd w:id="11"/>
      <w:bookmarkEnd w:id="12"/>
      <w:bookmarkEnd w:id="13"/>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Technické řešení bude odpovídat projektové dokumentaci s názvem ,,Vilémovský potok ve Vilémově, zeď u čp. 51“ zpracované ………….. 07/2024. Písemná verze projektové dokumentace bude zhotoviteli předána při předání staveniště a tvoří přílohu č. 4 této smlouvy.</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Koryto vodního toku Vilémovský p. (Poustevenský) v obci Vilémov u č. p. 51. Jedná se o tento pozemek ve správě Povodí Ohře, státní podnik: p. p. č. 626/1 v k. ú. Vilémov u Šluknova.</w:t>
      </w:r>
    </w:p>
    <w:p>
      <w:pPr>
        <w:pStyle w:val="Style12"/>
        <w:keepNext/>
        <w:keepLines/>
        <w:widowControl w:val="0"/>
        <w:numPr>
          <w:ilvl w:val="0"/>
          <w:numId w:val="1"/>
        </w:numPr>
        <w:shd w:val="clear" w:color="auto" w:fill="auto"/>
        <w:tabs>
          <w:tab w:pos="360" w:val="left"/>
        </w:tabs>
        <w:bidi w:val="0"/>
        <w:spacing w:before="0" w:after="200" w:line="240" w:lineRule="auto"/>
        <w:ind w:left="380" w:right="0" w:hanging="38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 xml:space="preserve">této smlouvy a projektové dokumentace, která tvoří </w:t>
      </w:r>
      <w:r>
        <w:rPr>
          <w:b/>
          <w:bCs/>
          <w:color w:val="000000"/>
          <w:spacing w:val="0"/>
          <w:w w:val="100"/>
          <w:position w:val="0"/>
          <w:shd w:val="clear" w:color="auto" w:fill="auto"/>
          <w:lang w:val="cs-CZ" w:eastAsia="cs-CZ" w:bidi="cs-CZ"/>
        </w:rPr>
        <w:t xml:space="preserve">přílohu č. 4 </w:t>
      </w:r>
      <w:r>
        <w:rPr>
          <w:color w:val="000000"/>
          <w:spacing w:val="0"/>
          <w:w w:val="100"/>
          <w:position w:val="0"/>
          <w:shd w:val="clear" w:color="auto" w:fill="auto"/>
          <w:lang w:val="cs-CZ" w:eastAsia="cs-CZ" w:bidi="cs-CZ"/>
        </w:rPr>
        <w:t>této smlouvy.</w:t>
      </w:r>
      <w:bookmarkEnd w:id="14"/>
      <w:bookmarkEnd w:id="15"/>
      <w:bookmarkEnd w:id="17"/>
    </w:p>
    <w:p>
      <w:pPr>
        <w:pStyle w:val="Style12"/>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12"/>
        <w:keepNext/>
        <w:keepLines/>
        <w:widowControl w:val="0"/>
        <w:numPr>
          <w:ilvl w:val="0"/>
          <w:numId w:val="3"/>
        </w:numPr>
        <w:shd w:val="clear" w:color="auto" w:fill="auto"/>
        <w:tabs>
          <w:tab w:pos="740" w:val="left"/>
        </w:tabs>
        <w:bidi w:val="0"/>
        <w:spacing w:before="0" w:after="0" w:line="240" w:lineRule="auto"/>
        <w:ind w:right="0" w:hanging="42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2"/>
      <w:bookmarkEnd w:id="23"/>
      <w:bookmarkEnd w:id="25"/>
    </w:p>
    <w:p>
      <w:pPr>
        <w:pStyle w:val="Style12"/>
        <w:keepNext/>
        <w:keepLines/>
        <w:widowControl w:val="0"/>
        <w:numPr>
          <w:ilvl w:val="0"/>
          <w:numId w:val="3"/>
        </w:numPr>
        <w:shd w:val="clear" w:color="auto" w:fill="auto"/>
        <w:tabs>
          <w:tab w:pos="740" w:val="left"/>
        </w:tabs>
        <w:bidi w:val="0"/>
        <w:spacing w:before="0" w:after="0" w:line="240" w:lineRule="auto"/>
        <w:ind w:right="0" w:hanging="42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26"/>
      <w:bookmarkEnd w:id="27"/>
      <w:bookmarkEnd w:id="29"/>
    </w:p>
    <w:p>
      <w:pPr>
        <w:pStyle w:val="Style12"/>
        <w:keepNext/>
        <w:keepLines/>
        <w:widowControl w:val="0"/>
        <w:numPr>
          <w:ilvl w:val="0"/>
          <w:numId w:val="3"/>
        </w:numPr>
        <w:shd w:val="clear" w:color="auto" w:fill="auto"/>
        <w:tabs>
          <w:tab w:pos="740" w:val="left"/>
        </w:tabs>
        <w:bidi w:val="0"/>
        <w:spacing w:before="0" w:after="0" w:line="240" w:lineRule="auto"/>
        <w:ind w:right="0" w:hanging="42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30"/>
      <w:bookmarkEnd w:id="31"/>
      <w:bookmarkEnd w:id="33"/>
    </w:p>
    <w:p>
      <w:pPr>
        <w:pStyle w:val="Style12"/>
        <w:keepNext/>
        <w:keepLines/>
        <w:widowControl w:val="0"/>
        <w:numPr>
          <w:ilvl w:val="0"/>
          <w:numId w:val="3"/>
        </w:numPr>
        <w:shd w:val="clear" w:color="auto" w:fill="auto"/>
        <w:tabs>
          <w:tab w:pos="740" w:val="left"/>
        </w:tabs>
        <w:bidi w:val="0"/>
        <w:spacing w:before="0" w:after="0" w:line="240" w:lineRule="auto"/>
        <w:ind w:right="0" w:hanging="42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34"/>
      <w:bookmarkEnd w:id="35"/>
      <w:bookmarkEnd w:id="37"/>
    </w:p>
    <w:p>
      <w:pPr>
        <w:pStyle w:val="Style12"/>
        <w:keepNext/>
        <w:keepLines/>
        <w:widowControl w:val="0"/>
        <w:numPr>
          <w:ilvl w:val="0"/>
          <w:numId w:val="3"/>
        </w:numPr>
        <w:shd w:val="clear" w:color="auto" w:fill="auto"/>
        <w:tabs>
          <w:tab w:pos="740" w:val="left"/>
        </w:tabs>
        <w:bidi w:val="0"/>
        <w:spacing w:before="0" w:after="0" w:line="240" w:lineRule="auto"/>
        <w:ind w:right="0" w:hanging="42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38"/>
      <w:bookmarkEnd w:id="39"/>
      <w:bookmarkEnd w:id="41"/>
    </w:p>
    <w:p>
      <w:pPr>
        <w:pStyle w:val="Style12"/>
        <w:keepNext/>
        <w:keepLines/>
        <w:widowControl w:val="0"/>
        <w:numPr>
          <w:ilvl w:val="0"/>
          <w:numId w:val="3"/>
        </w:numPr>
        <w:shd w:val="clear" w:color="auto" w:fill="auto"/>
        <w:tabs>
          <w:tab w:pos="740" w:val="left"/>
        </w:tabs>
        <w:bidi w:val="0"/>
        <w:spacing w:before="0" w:after="200" w:line="240" w:lineRule="auto"/>
        <w:ind w:right="0" w:hanging="42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42"/>
      <w:bookmarkEnd w:id="43"/>
      <w:bookmarkEnd w:id="45"/>
    </w:p>
    <w:p>
      <w:pPr>
        <w:pStyle w:val="Style12"/>
        <w:keepNext/>
        <w:keepLines/>
        <w:widowControl w:val="0"/>
        <w:numPr>
          <w:ilvl w:val="0"/>
          <w:numId w:val="3"/>
        </w:numPr>
        <w:shd w:val="clear" w:color="auto" w:fill="auto"/>
        <w:tabs>
          <w:tab w:pos="811" w:val="left"/>
        </w:tabs>
        <w:bidi w:val="0"/>
        <w:spacing w:before="0" w:after="0" w:line="240" w:lineRule="auto"/>
        <w:ind w:right="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46"/>
      <w:bookmarkEnd w:id="47"/>
      <w:bookmarkEnd w:id="49"/>
    </w:p>
    <w:p>
      <w:pPr>
        <w:pStyle w:val="Style12"/>
        <w:keepNext/>
        <w:keepLines/>
        <w:widowControl w:val="0"/>
        <w:numPr>
          <w:ilvl w:val="0"/>
          <w:numId w:val="3"/>
        </w:numPr>
        <w:shd w:val="clear" w:color="auto" w:fill="auto"/>
        <w:tabs>
          <w:tab w:pos="811" w:val="left"/>
        </w:tabs>
        <w:bidi w:val="0"/>
        <w:spacing w:before="0" w:after="0" w:line="240" w:lineRule="auto"/>
        <w:ind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50"/>
      <w:bookmarkEnd w:id="51"/>
      <w:bookmarkEnd w:id="53"/>
    </w:p>
    <w:p>
      <w:pPr>
        <w:pStyle w:val="Style12"/>
        <w:keepNext/>
        <w:keepLines/>
        <w:widowControl w:val="0"/>
        <w:numPr>
          <w:ilvl w:val="0"/>
          <w:numId w:val="3"/>
        </w:numPr>
        <w:shd w:val="clear" w:color="auto" w:fill="auto"/>
        <w:tabs>
          <w:tab w:pos="811" w:val="left"/>
        </w:tabs>
        <w:bidi w:val="0"/>
        <w:spacing w:before="0" w:after="0" w:line="240" w:lineRule="auto"/>
        <w:ind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4"/>
      <w:bookmarkEnd w:id="55"/>
      <w:bookmarkEnd w:id="57"/>
    </w:p>
    <w:p>
      <w:pPr>
        <w:pStyle w:val="Style12"/>
        <w:keepNext/>
        <w:keepLines/>
        <w:widowControl w:val="0"/>
        <w:numPr>
          <w:ilvl w:val="0"/>
          <w:numId w:val="3"/>
        </w:numPr>
        <w:shd w:val="clear" w:color="auto" w:fill="auto"/>
        <w:tabs>
          <w:tab w:pos="811" w:val="left"/>
        </w:tabs>
        <w:bidi w:val="0"/>
        <w:spacing w:before="0" w:after="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58"/>
      <w:bookmarkEnd w:id="59"/>
      <w:bookmarkEnd w:id="61"/>
    </w:p>
    <w:p>
      <w:pPr>
        <w:pStyle w:val="Style12"/>
        <w:keepNext/>
        <w:keepLines/>
        <w:widowControl w:val="0"/>
        <w:numPr>
          <w:ilvl w:val="0"/>
          <w:numId w:val="3"/>
        </w:numPr>
        <w:shd w:val="clear" w:color="auto" w:fill="auto"/>
        <w:tabs>
          <w:tab w:pos="811" w:val="left"/>
        </w:tabs>
        <w:bidi w:val="0"/>
        <w:spacing w:before="0" w:after="0" w:line="240" w:lineRule="auto"/>
        <w:ind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62"/>
      <w:bookmarkEnd w:id="63"/>
      <w:bookmarkEnd w:id="65"/>
    </w:p>
    <w:p>
      <w:pPr>
        <w:pStyle w:val="Style12"/>
        <w:keepNext/>
        <w:keepLines/>
        <w:widowControl w:val="0"/>
        <w:numPr>
          <w:ilvl w:val="0"/>
          <w:numId w:val="3"/>
        </w:numPr>
        <w:shd w:val="clear" w:color="auto" w:fill="auto"/>
        <w:tabs>
          <w:tab w:pos="808" w:val="left"/>
        </w:tabs>
        <w:bidi w:val="0"/>
        <w:spacing w:before="0" w:after="0" w:line="240" w:lineRule="auto"/>
        <w:ind w:left="0" w:right="0" w:firstLine="44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plnění podmínek pro stavbu vydaných stanovisek a rozhodnutí správních orgánů</w:t>
      </w:r>
      <w:bookmarkEnd w:id="66"/>
      <w:bookmarkEnd w:id="67"/>
      <w:bookmarkEnd w:id="69"/>
    </w:p>
    <w:p>
      <w:pPr>
        <w:pStyle w:val="Style12"/>
        <w:keepNext/>
        <w:keepLines/>
        <w:widowControl w:val="0"/>
        <w:numPr>
          <w:ilvl w:val="0"/>
          <w:numId w:val="3"/>
        </w:numPr>
        <w:shd w:val="clear" w:color="auto" w:fill="auto"/>
        <w:tabs>
          <w:tab w:pos="874" w:val="left"/>
        </w:tabs>
        <w:bidi w:val="0"/>
        <w:spacing w:before="0" w:after="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zajištění vyjádření k existenci technické infrastruktury a plnění podmínek těchto vyjádření.</w:t>
      </w:r>
      <w:bookmarkEnd w:id="70"/>
      <w:bookmarkEnd w:id="71"/>
      <w:bookmarkEnd w:id="73"/>
    </w:p>
    <w:p>
      <w:pPr>
        <w:pStyle w:val="Style12"/>
        <w:keepNext/>
        <w:keepLines/>
        <w:widowControl w:val="0"/>
        <w:numPr>
          <w:ilvl w:val="0"/>
          <w:numId w:val="3"/>
        </w:numPr>
        <w:shd w:val="clear" w:color="auto" w:fill="auto"/>
        <w:tabs>
          <w:tab w:pos="874" w:val="left"/>
        </w:tabs>
        <w:bidi w:val="0"/>
        <w:spacing w:before="0" w:after="180" w:line="240" w:lineRule="auto"/>
        <w:ind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74"/>
      <w:bookmarkEnd w:id="75"/>
      <w:bookmarkEnd w:id="77"/>
    </w:p>
    <w:p>
      <w:pPr>
        <w:pStyle w:val="Style12"/>
        <w:keepNext/>
        <w:keepLines/>
        <w:widowControl w:val="0"/>
        <w:numPr>
          <w:ilvl w:val="0"/>
          <w:numId w:val="1"/>
        </w:numPr>
        <w:shd w:val="clear" w:color="auto" w:fill="auto"/>
        <w:tabs>
          <w:tab w:pos="400" w:val="left"/>
        </w:tabs>
        <w:bidi w:val="0"/>
        <w:spacing w:before="0" w:after="180" w:line="240" w:lineRule="auto"/>
        <w:ind w:left="440" w:right="0" w:hanging="440"/>
        <w:jc w:val="left"/>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8"/>
      <w:bookmarkEnd w:id="79"/>
      <w:bookmarkEnd w:id="81"/>
    </w:p>
    <w:p>
      <w:pPr>
        <w:pStyle w:val="Style12"/>
        <w:keepNext/>
        <w:keepLines/>
        <w:widowControl w:val="0"/>
        <w:numPr>
          <w:ilvl w:val="0"/>
          <w:numId w:val="1"/>
        </w:numPr>
        <w:shd w:val="clear" w:color="auto" w:fill="auto"/>
        <w:tabs>
          <w:tab w:pos="400" w:val="left"/>
        </w:tabs>
        <w:bidi w:val="0"/>
        <w:spacing w:before="0" w:after="180" w:line="240" w:lineRule="auto"/>
        <w:ind w:left="440" w:right="0" w:hanging="44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82"/>
      <w:bookmarkEnd w:id="83"/>
      <w:bookmarkEnd w:id="85"/>
    </w:p>
    <w:p>
      <w:pPr>
        <w:pStyle w:val="Style12"/>
        <w:keepNext/>
        <w:keepLines/>
        <w:widowControl w:val="0"/>
        <w:numPr>
          <w:ilvl w:val="0"/>
          <w:numId w:val="1"/>
        </w:numPr>
        <w:shd w:val="clear" w:color="auto" w:fill="auto"/>
        <w:tabs>
          <w:tab w:pos="400" w:val="left"/>
        </w:tabs>
        <w:bidi w:val="0"/>
        <w:spacing w:before="0" w:after="0" w:line="240" w:lineRule="auto"/>
        <w:ind w:left="440" w:right="0" w:hanging="44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Objednatel předá zhotoviteli staveniště (nebo jeho ucelenou část) prosté práv třetích osob.</w:t>
      </w:r>
      <w:bookmarkEnd w:id="86"/>
      <w:bookmarkEnd w:id="87"/>
      <w:bookmarkEnd w:id="89"/>
    </w:p>
    <w:p>
      <w:pPr>
        <w:pStyle w:val="Style12"/>
        <w:keepNext/>
        <w:keepLines/>
        <w:widowControl w:val="0"/>
        <w:shd w:val="clear" w:color="auto" w:fill="auto"/>
        <w:bidi w:val="0"/>
        <w:spacing w:before="0" w:after="180" w:line="240" w:lineRule="auto"/>
        <w:ind w:left="440" w:right="0" w:firstLine="2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90"/>
      <w:bookmarkEnd w:id="91"/>
      <w:bookmarkEnd w:id="92"/>
    </w:p>
    <w:p>
      <w:pPr>
        <w:pStyle w:val="Style12"/>
        <w:keepNext/>
        <w:keepLines/>
        <w:widowControl w:val="0"/>
        <w:numPr>
          <w:ilvl w:val="0"/>
          <w:numId w:val="1"/>
        </w:numPr>
        <w:shd w:val="clear" w:color="auto" w:fill="auto"/>
        <w:tabs>
          <w:tab w:pos="400" w:val="left"/>
        </w:tabs>
        <w:bidi w:val="0"/>
        <w:spacing w:before="0" w:after="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Pro účely této smlouvy se rozumí:</w:t>
      </w:r>
      <w:bookmarkEnd w:id="93"/>
      <w:bookmarkEnd w:id="94"/>
      <w:bookmarkEnd w:id="96"/>
    </w:p>
    <w:p>
      <w:pPr>
        <w:pStyle w:val="Style2"/>
        <w:keepNext w:val="0"/>
        <w:keepLines w:val="0"/>
        <w:widowControl w:val="0"/>
        <w:shd w:val="clear" w:color="auto" w:fill="auto"/>
        <w:bidi w:val="0"/>
        <w:spacing w:before="0" w:after="180" w:line="240" w:lineRule="auto"/>
        <w:ind w:left="440" w:right="0" w:firstLine="20"/>
        <w:jc w:val="both"/>
      </w:pPr>
      <w:r>
        <w:rPr>
          <w:color w:val="000000"/>
          <w:spacing w:val="0"/>
          <w:w w:val="100"/>
          <w:position w:val="0"/>
          <w:shd w:val="clear" w:color="auto" w:fill="auto"/>
          <w:lang w:val="cs-CZ" w:eastAsia="cs-CZ" w:bidi="cs-CZ"/>
        </w:rPr>
        <w:t>Stavbyvedoucím je odborně způsobilá osoba, které při plnění zakázky zabezpečuje odborné vedení provádění stavby ve smyslu zákona č. 283/2021 Sb. (stavební zákon), ve znění pozdějších předpisů a veškeré další činnosti stanovené zněním smlouvy, zejména vedení stavebního deníku a zajištění plynulosti plnění zakázky.</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400" w:val="left"/>
        </w:tabs>
        <w:bidi w:val="0"/>
        <w:spacing w:before="0" w:after="180" w:line="288" w:lineRule="auto"/>
        <w:ind w:left="380" w:right="0" w:hanging="380"/>
        <w:jc w:val="left"/>
      </w:pPr>
      <w:bookmarkStart w:id="97" w:name="bookmark97"/>
      <w:bookmarkEnd w:id="97"/>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808" w:val="left"/>
        </w:tabs>
        <w:bidi w:val="0"/>
        <w:spacing w:before="0" w:after="180" w:line="240" w:lineRule="auto"/>
        <w:ind w:left="0" w:right="0" w:firstLine="440"/>
        <w:jc w:val="both"/>
      </w:pPr>
      <w:bookmarkStart w:id="98" w:name="bookmark98"/>
      <w:bookmarkEnd w:id="98"/>
      <w:r>
        <w:rPr>
          <w:b/>
          <w:bCs/>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je povinen si převzít staveniště nejpozději do 14 kalendářních dní od písemné výzvy TDI Výzva bude odeslána na e-mail zhotovitele:</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791" w:val="left"/>
        </w:tabs>
        <w:bidi w:val="0"/>
        <w:spacing w:before="0" w:after="0" w:line="240" w:lineRule="auto"/>
        <w:ind w:left="0" w:right="0" w:firstLine="380"/>
        <w:jc w:val="both"/>
      </w:pPr>
      <w:bookmarkStart w:id="99" w:name="bookmark99"/>
      <w:bookmarkEnd w:id="99"/>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7"/>
        </w:numPr>
        <w:shd w:val="clear" w:color="auto" w:fill="auto"/>
        <w:tabs>
          <w:tab w:pos="791" w:val="left"/>
        </w:tabs>
        <w:bidi w:val="0"/>
        <w:spacing w:before="0" w:after="0" w:line="240" w:lineRule="auto"/>
        <w:ind w:left="0" w:right="0" w:firstLine="380"/>
        <w:jc w:val="both"/>
      </w:pPr>
      <w:bookmarkStart w:id="100" w:name="bookmark100"/>
      <w:bookmarkEnd w:id="100"/>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31.07.2026</w:t>
      </w:r>
    </w:p>
    <w:p>
      <w:pPr>
        <w:pStyle w:val="Style2"/>
        <w:keepNext w:val="0"/>
        <w:keepLines w:val="0"/>
        <w:widowControl w:val="0"/>
        <w:numPr>
          <w:ilvl w:val="0"/>
          <w:numId w:val="7"/>
        </w:numPr>
        <w:shd w:val="clear" w:color="auto" w:fill="auto"/>
        <w:tabs>
          <w:tab w:pos="791" w:val="left"/>
        </w:tabs>
        <w:bidi w:val="0"/>
        <w:spacing w:before="0" w:line="240" w:lineRule="auto"/>
        <w:ind w:left="720" w:right="0" w:hanging="340"/>
        <w:jc w:val="both"/>
      </w:pPr>
      <w:bookmarkStart w:id="101" w:name="bookmark101"/>
      <w:bookmarkEnd w:id="101"/>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102" w:name="bookmark102"/>
      <w:bookmarkEnd w:id="10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103" w:name="bookmark103"/>
      <w:bookmarkEnd w:id="10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20" w:line="288" w:lineRule="auto"/>
        <w:ind w:left="380" w:right="0" w:hanging="380"/>
        <w:jc w:val="both"/>
      </w:pPr>
      <w:bookmarkStart w:id="104" w:name="bookmark104"/>
      <w:bookmarkEnd w:id="104"/>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634"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Cena díla:</w:t>
        <w:tab/>
        <w:t>744 796,31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09" w:name="bookmark109"/>
      <w:bookmarkEnd w:id="10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0" w:val="left"/>
        </w:tabs>
        <w:bidi w:val="0"/>
        <w:spacing w:before="0" w:line="240" w:lineRule="auto"/>
        <w:ind w:left="0" w:right="0" w:firstLine="0"/>
        <w:jc w:val="left"/>
      </w:pPr>
      <w:bookmarkStart w:id="110" w:name="bookmark110"/>
      <w:bookmarkEnd w:id="110"/>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70" w:val="left"/>
        </w:tabs>
        <w:bidi w:val="0"/>
        <w:spacing w:before="0" w:after="6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70" w:val="left"/>
        </w:tabs>
        <w:bidi w:val="0"/>
        <w:spacing w:before="0" w:after="6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0" w:val="left"/>
        </w:tabs>
        <w:bidi w:val="0"/>
        <w:spacing w:before="0" w:after="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0"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0" w:val="left"/>
        </w:tabs>
        <w:bidi w:val="0"/>
        <w:spacing w:before="0" w:line="240" w:lineRule="auto"/>
        <w:ind w:left="0" w:right="0" w:firstLine="0"/>
        <w:jc w:val="left"/>
      </w:pPr>
      <w:bookmarkStart w:id="115" w:name="bookmark115"/>
      <w:bookmarkEnd w:id="11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0"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0"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5000,- Kč za každý případ.</w:t>
      </w:r>
    </w:p>
    <w:p>
      <w:pPr>
        <w:pStyle w:val="Style2"/>
        <w:keepNext w:val="0"/>
        <w:keepLines w:val="0"/>
        <w:widowControl w:val="0"/>
        <w:numPr>
          <w:ilvl w:val="0"/>
          <w:numId w:val="13"/>
        </w:numPr>
        <w:shd w:val="clear" w:color="auto" w:fill="auto"/>
        <w:tabs>
          <w:tab w:pos="381" w:val="left"/>
        </w:tabs>
        <w:bidi w:val="0"/>
        <w:spacing w:before="0" w:after="40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81"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1"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1" w:val="left"/>
        </w:tabs>
        <w:bidi w:val="0"/>
        <w:spacing w:before="0" w:after="4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1" w:val="left"/>
        </w:tabs>
        <w:bidi w:val="0"/>
        <w:spacing w:before="0" w:after="0" w:line="240" w:lineRule="auto"/>
        <w:ind w:left="0" w:right="0" w:firstLine="0"/>
        <w:jc w:val="left"/>
      </w:pPr>
      <w:bookmarkStart w:id="131" w:name="bookmark131"/>
      <w:bookmarkEnd w:id="13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132" w:name="bookmark132"/>
      <w:bookmarkEnd w:id="13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33" w:name="bookmark133"/>
      <w:bookmarkEnd w:id="13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134" w:name="bookmark134"/>
      <w:bookmarkEnd w:id="13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81"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60 měsíců ode dne předání a převzetí díla objednatelem.</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sectPr>
          <w:footnotePr>
            <w:pos w:val="pageBottom"/>
            <w:numFmt w:val="decimal"/>
            <w:numRestart w:val="continuous"/>
          </w:footnotePr>
          <w:pgSz w:w="11909" w:h="16838"/>
          <w:pgMar w:top="1161" w:left="1381" w:right="1297" w:bottom="1329" w:header="0" w:footer="3" w:gutter="0"/>
          <w:cols w:space="720"/>
          <w:noEndnote/>
          <w:rtlGutter w:val="0"/>
          <w:docGrid w:linePitch="360"/>
        </w:sectPr>
      </w:pPr>
      <w:bookmarkStart w:id="139" w:name="bookmark139"/>
      <w:bookmarkEnd w:id="139"/>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after="18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after="18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after="18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after="18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after="18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7"/>
      <w:bookmarkEnd w:id="148"/>
      <w:bookmarkEnd w:id="150"/>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bezdůvodném přerušení prací zhotovitele, které trvá více než 14 dnů,</w:t>
      </w:r>
      <w:bookmarkEnd w:id="151"/>
      <w:bookmarkEnd w:id="152"/>
      <w:bookmarkEnd w:id="154"/>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55"/>
      <w:bookmarkEnd w:id="156"/>
      <w:bookmarkEnd w:id="158"/>
    </w:p>
    <w:p>
      <w:pPr>
        <w:pStyle w:val="Style12"/>
        <w:keepNext/>
        <w:keepLines/>
        <w:widowControl w:val="0"/>
        <w:numPr>
          <w:ilvl w:val="0"/>
          <w:numId w:val="25"/>
        </w:numPr>
        <w:shd w:val="clear" w:color="auto" w:fill="auto"/>
        <w:tabs>
          <w:tab w:pos="1179" w:val="left"/>
        </w:tabs>
        <w:bidi w:val="0"/>
        <w:spacing w:before="0" w:after="180" w:line="240" w:lineRule="auto"/>
        <w:ind w:left="0" w:right="0" w:firstLine="80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neplněním povinností zhotovitele vést řádně zápisy do stavebního deníku.</w:t>
      </w:r>
      <w:bookmarkEnd w:id="159"/>
      <w:bookmarkEnd w:id="160"/>
      <w:bookmarkEnd w:id="162"/>
    </w:p>
    <w:p>
      <w:pPr>
        <w:pStyle w:val="Style2"/>
        <w:keepNext w:val="0"/>
        <w:keepLines w:val="0"/>
        <w:widowControl w:val="0"/>
        <w:numPr>
          <w:ilvl w:val="0"/>
          <w:numId w:val="23"/>
        </w:numPr>
        <w:shd w:val="clear" w:color="auto" w:fill="auto"/>
        <w:tabs>
          <w:tab w:pos="357" w:val="left"/>
        </w:tabs>
        <w:bidi w:val="0"/>
        <w:spacing w:before="0" w:after="18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after="18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3298" w:val="left"/>
          <w:tab w:pos="6106" w:val="left"/>
          <w:tab w:pos="8722" w:val="left"/>
        </w:tabs>
        <w:bidi w:val="0"/>
        <w:spacing w:before="0" w:after="0" w:line="240" w:lineRule="auto"/>
        <w:ind w:left="380" w:right="0" w:hanging="380"/>
        <w:jc w:val="left"/>
      </w:pPr>
      <w:bookmarkStart w:id="168" w:name="bookmark168"/>
      <w:bookmarkEnd w:id="168"/>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71" w:name="bookmark171"/>
      <w:bookmarkEnd w:id="17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72" w:name="bookmark172"/>
      <w:bookmarkEnd w:id="17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73" w:name="bookmark173"/>
      <w:bookmarkEnd w:id="17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left"/>
      </w:pPr>
      <w:bookmarkStart w:id="174" w:name="bookmark174"/>
      <w:bookmarkEnd w:id="17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Priorita 3)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2"/>
        <w:keepNext w:val="0"/>
        <w:keepLines w:val="0"/>
        <w:widowControl w:val="0"/>
        <w:shd w:val="clear" w:color="auto" w:fill="auto"/>
        <w:bidi w:val="0"/>
        <w:spacing w:before="0" w:after="420" w:line="240" w:lineRule="auto"/>
        <w:ind w:left="1460" w:right="0" w:hanging="1080"/>
        <w:jc w:val="left"/>
      </w:pPr>
      <w:r>
        <w:rPr>
          <w:color w:val="000000"/>
          <w:spacing w:val="0"/>
          <w:w w:val="100"/>
          <w:position w:val="0"/>
          <w:shd w:val="clear" w:color="auto" w:fill="auto"/>
          <w:lang w:val="cs-CZ" w:eastAsia="cs-CZ" w:bidi="cs-CZ"/>
        </w:rPr>
        <w:t>Priorita 2) Příloha č. 4: Projektová dokumentace s názvem ,,Vilémovský potok ve Vilémově, zeď u čp. 51</w:t>
      </w:r>
      <w:r>
        <w:rPr>
          <w:b/>
          <w:bCs/>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zpracovaná ……….. z 07/2024</w:t>
      </w:r>
    </w:p>
    <w:tbl>
      <w:tblPr>
        <w:tblOverlap w:val="never"/>
        <w:jc w:val="center"/>
        <w:tblLayout w:type="fixed"/>
      </w:tblPr>
      <w:tblGrid>
        <w:gridCol w:w="4114"/>
        <w:gridCol w:w="5011"/>
      </w:tblGrid>
      <w:tr>
        <w:trPr>
          <w:trHeight w:val="1027"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Digitálně podepsal:</w:t>
            </w:r>
          </w:p>
        </w:tc>
      </w:tr>
      <w:tr>
        <w:trPr>
          <w:trHeight w:val="160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940" w:right="0" w:firstLine="0"/>
              <w:jc w:val="left"/>
            </w:pPr>
            <w:r>
              <w:rPr>
                <w:color w:val="000000"/>
                <w:spacing w:val="0"/>
                <w:w w:val="100"/>
                <w:position w:val="0"/>
                <w:shd w:val="clear" w:color="auto" w:fill="auto"/>
                <w:lang w:val="cs-CZ" w:eastAsia="cs-CZ" w:bidi="cs-CZ"/>
              </w:rPr>
              <w:t>…………………………………… za NOPESTAV s.r.o.</w:t>
            </w:r>
          </w:p>
        </w:tc>
      </w:tr>
    </w:tbl>
    <w:sectPr>
      <w:footnotePr>
        <w:pos w:val="pageBottom"/>
        <w:numFmt w:val="decimal"/>
        <w:numRestart w:val="continuous"/>
      </w:footnotePr>
      <w:pgSz w:w="11909" w:h="16838"/>
      <w:pgMar w:top="1091" w:left="1370" w:right="1336" w:bottom="122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5871845</wp:posOffset>
              </wp:positionH>
              <wp:positionV relativeFrom="page">
                <wp:posOffset>9973945</wp:posOffset>
              </wp:positionV>
              <wp:extent cx="801370" cy="161290"/>
              <wp:wrapNone/>
              <wp:docPr id="7" name="Shape 7"/>
              <a:graphic xmlns:a="http://schemas.openxmlformats.org/drawingml/2006/main">
                <a:graphicData uri="http://schemas.microsoft.com/office/word/2010/wordprocessingShape">
                  <wps:wsp>
                    <wps:cNvSpPr txBox="1"/>
                    <wps:spPr>
                      <a:xfrm>
                        <a:ext cx="80137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62.35000000000002pt;margin-top:785.35000000000002pt;width:63.100000000000001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394335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1.05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800" w:hanging="340"/>
      <w:outlineLvl w:val="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