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0125" w14:textId="77777777" w:rsidR="0029295E" w:rsidRPr="00BC28F2" w:rsidRDefault="0029295E">
      <w:pPr>
        <w:pStyle w:val="Nzev"/>
        <w:rPr>
          <w:b/>
          <w:i w:val="0"/>
          <w:sz w:val="28"/>
          <w:szCs w:val="28"/>
        </w:rPr>
      </w:pPr>
      <w:r w:rsidRPr="00BC28F2">
        <w:rPr>
          <w:b/>
          <w:i w:val="0"/>
          <w:sz w:val="28"/>
          <w:szCs w:val="28"/>
        </w:rPr>
        <w:t>S</w:t>
      </w:r>
      <w:r w:rsidR="009903A3" w:rsidRPr="00BC28F2">
        <w:rPr>
          <w:b/>
          <w:i w:val="0"/>
          <w:sz w:val="28"/>
          <w:szCs w:val="28"/>
        </w:rPr>
        <w:t xml:space="preserve">mlouva </w:t>
      </w:r>
    </w:p>
    <w:p w14:paraId="3E24BEFC" w14:textId="77777777" w:rsidR="0029295E" w:rsidRPr="00BC28F2" w:rsidRDefault="0029295E">
      <w:pPr>
        <w:jc w:val="center"/>
        <w:rPr>
          <w:b/>
          <w:szCs w:val="24"/>
        </w:rPr>
      </w:pPr>
      <w:r w:rsidRPr="00BC28F2">
        <w:rPr>
          <w:b/>
          <w:szCs w:val="24"/>
        </w:rPr>
        <w:t xml:space="preserve">o </w:t>
      </w:r>
      <w:r w:rsidR="00135041" w:rsidRPr="00BC28F2">
        <w:rPr>
          <w:b/>
          <w:szCs w:val="24"/>
        </w:rPr>
        <w:t xml:space="preserve">nájmu </w:t>
      </w:r>
      <w:r w:rsidR="000737F3" w:rsidRPr="00BC28F2">
        <w:rPr>
          <w:b/>
          <w:szCs w:val="24"/>
        </w:rPr>
        <w:t>plochy pro umístění loga</w:t>
      </w:r>
      <w:r w:rsidR="009903A3" w:rsidRPr="00BC28F2">
        <w:rPr>
          <w:b/>
          <w:szCs w:val="24"/>
        </w:rPr>
        <w:t xml:space="preserve"> </w:t>
      </w:r>
    </w:p>
    <w:p w14:paraId="22BF9B85" w14:textId="77777777" w:rsidR="0029295E" w:rsidRPr="00BC28F2" w:rsidRDefault="0029295E">
      <w:pPr>
        <w:rPr>
          <w:sz w:val="32"/>
          <w:szCs w:val="32"/>
        </w:rPr>
      </w:pPr>
    </w:p>
    <w:p w14:paraId="2BBE0C38" w14:textId="77777777" w:rsidR="0029295E" w:rsidRPr="00BC28F2" w:rsidRDefault="00A426E3" w:rsidP="00A426E3">
      <w:pPr>
        <w:jc w:val="center"/>
        <w:rPr>
          <w:b/>
          <w:szCs w:val="24"/>
        </w:rPr>
      </w:pPr>
      <w:r w:rsidRPr="00BC28F2">
        <w:rPr>
          <w:b/>
          <w:szCs w:val="24"/>
        </w:rPr>
        <w:t xml:space="preserve">I. </w:t>
      </w:r>
      <w:r w:rsidR="0029295E" w:rsidRPr="00BC28F2">
        <w:rPr>
          <w:b/>
          <w:szCs w:val="24"/>
        </w:rPr>
        <w:t>Smluvní strany</w:t>
      </w:r>
    </w:p>
    <w:p w14:paraId="34E77E16" w14:textId="77777777" w:rsidR="0029295E" w:rsidRPr="00BC28F2" w:rsidRDefault="0029295E">
      <w:pPr>
        <w:rPr>
          <w:szCs w:val="24"/>
        </w:rPr>
      </w:pPr>
    </w:p>
    <w:p w14:paraId="2FDCDF3F" w14:textId="77777777" w:rsidR="009903A3" w:rsidRPr="00BC28F2" w:rsidRDefault="00EB41E2" w:rsidP="009903A3">
      <w:pPr>
        <w:tabs>
          <w:tab w:val="left" w:pos="1985"/>
        </w:tabs>
        <w:rPr>
          <w:szCs w:val="24"/>
        </w:rPr>
      </w:pPr>
      <w:r w:rsidRPr="00BC28F2">
        <w:rPr>
          <w:szCs w:val="24"/>
        </w:rPr>
        <w:t>1</w:t>
      </w:r>
      <w:r w:rsidR="00135041" w:rsidRPr="00BC28F2">
        <w:rPr>
          <w:szCs w:val="24"/>
        </w:rPr>
        <w:t xml:space="preserve">.   </w:t>
      </w:r>
      <w:r w:rsidR="00BE4EF7" w:rsidRPr="00BC28F2">
        <w:rPr>
          <w:szCs w:val="24"/>
        </w:rPr>
        <w:t>Pronajímatel</w:t>
      </w:r>
      <w:r w:rsidR="008E0D85" w:rsidRPr="00BC28F2">
        <w:rPr>
          <w:szCs w:val="24"/>
        </w:rPr>
        <w:t>:</w:t>
      </w:r>
      <w:r w:rsidR="00097580" w:rsidRPr="00BC28F2">
        <w:rPr>
          <w:szCs w:val="24"/>
        </w:rPr>
        <w:t xml:space="preserve">        </w:t>
      </w:r>
    </w:p>
    <w:p w14:paraId="476D31C7" w14:textId="77777777" w:rsidR="009903A3" w:rsidRPr="00BC28F2" w:rsidRDefault="009903A3" w:rsidP="009903A3">
      <w:pPr>
        <w:tabs>
          <w:tab w:val="left" w:pos="1985"/>
        </w:tabs>
        <w:rPr>
          <w:b/>
          <w:iCs/>
        </w:rPr>
      </w:pPr>
    </w:p>
    <w:p w14:paraId="431B7A7B" w14:textId="77777777" w:rsidR="00F40C13" w:rsidRPr="00BC28F2" w:rsidRDefault="00F40C13" w:rsidP="00F40C13">
      <w:pPr>
        <w:tabs>
          <w:tab w:val="left" w:pos="1985"/>
        </w:tabs>
        <w:rPr>
          <w:b/>
          <w:iCs/>
        </w:rPr>
      </w:pPr>
      <w:r w:rsidRPr="00BC28F2">
        <w:rPr>
          <w:b/>
          <w:iCs/>
        </w:rPr>
        <w:t xml:space="preserve">Art Office Gallery a.s. </w:t>
      </w:r>
    </w:p>
    <w:p w14:paraId="10369CB3" w14:textId="77777777" w:rsidR="00F40C13" w:rsidRPr="00BC28F2" w:rsidRDefault="00F40C13" w:rsidP="00F40C13">
      <w:pPr>
        <w:tabs>
          <w:tab w:val="left" w:pos="1985"/>
        </w:tabs>
        <w:rPr>
          <w:b/>
          <w:iCs/>
        </w:rPr>
      </w:pPr>
      <w:r w:rsidRPr="00BC28F2">
        <w:rPr>
          <w:bCs/>
          <w:iCs/>
        </w:rPr>
        <w:t>se sídlem:</w:t>
      </w:r>
      <w:r w:rsidRPr="00BC28F2">
        <w:rPr>
          <w:iCs/>
        </w:rPr>
        <w:t xml:space="preserve"> Evropská 2690/17, Praha 6, 160 41  </w:t>
      </w:r>
    </w:p>
    <w:p w14:paraId="1A26349B" w14:textId="77777777" w:rsidR="00F40C13" w:rsidRPr="00BC28F2" w:rsidRDefault="00F40C13" w:rsidP="00F40C13">
      <w:pPr>
        <w:tabs>
          <w:tab w:val="left" w:pos="1985"/>
          <w:tab w:val="left" w:pos="2127"/>
        </w:tabs>
        <w:rPr>
          <w:iCs/>
        </w:rPr>
      </w:pPr>
      <w:r w:rsidRPr="00BC28F2">
        <w:rPr>
          <w:iCs/>
        </w:rPr>
        <w:t>IČ: 242 09 627</w:t>
      </w:r>
    </w:p>
    <w:p w14:paraId="46BCCCEA" w14:textId="77777777" w:rsidR="00F40C13" w:rsidRPr="00BC28F2" w:rsidRDefault="00F40C13" w:rsidP="00F40C13">
      <w:pPr>
        <w:tabs>
          <w:tab w:val="left" w:pos="1985"/>
          <w:tab w:val="left" w:pos="2127"/>
        </w:tabs>
        <w:rPr>
          <w:iCs/>
        </w:rPr>
      </w:pPr>
      <w:r w:rsidRPr="00BC28F2">
        <w:rPr>
          <w:iCs/>
        </w:rPr>
        <w:t>DIČ: CZ24209627</w:t>
      </w:r>
    </w:p>
    <w:p w14:paraId="540E0619" w14:textId="621D8A10" w:rsidR="00F40C13" w:rsidRPr="00BC28F2" w:rsidRDefault="00F40C13" w:rsidP="00F40C13">
      <w:pPr>
        <w:tabs>
          <w:tab w:val="left" w:pos="1985"/>
          <w:tab w:val="left" w:pos="2127"/>
        </w:tabs>
        <w:rPr>
          <w:iCs/>
        </w:rPr>
      </w:pPr>
      <w:r w:rsidRPr="00BC28F2">
        <w:rPr>
          <w:iCs/>
        </w:rPr>
        <w:t xml:space="preserve">zapsaná v obchodním rejstříku vedeném Městským soudem v Praze </w:t>
      </w:r>
      <w:r w:rsidR="00BB2E22" w:rsidRPr="00BC28F2">
        <w:rPr>
          <w:iCs/>
        </w:rPr>
        <w:t xml:space="preserve">spisová značka </w:t>
      </w:r>
      <w:r w:rsidRPr="00BC28F2">
        <w:rPr>
          <w:iCs/>
        </w:rPr>
        <w:t>B 17855</w:t>
      </w:r>
    </w:p>
    <w:p w14:paraId="390CC5CC" w14:textId="224662C7" w:rsidR="00F40C13" w:rsidRPr="00BC28F2" w:rsidRDefault="00F40C13" w:rsidP="00F40C13">
      <w:pPr>
        <w:tabs>
          <w:tab w:val="left" w:pos="1985"/>
          <w:tab w:val="left" w:pos="2127"/>
        </w:tabs>
        <w:rPr>
          <w:iCs/>
        </w:rPr>
      </w:pPr>
      <w:r w:rsidRPr="00BC28F2">
        <w:rPr>
          <w:iCs/>
        </w:rPr>
        <w:t xml:space="preserve">zastoupená </w:t>
      </w:r>
      <w:r w:rsidRPr="00BC28F2">
        <w:t>Jiřím Toškem,</w:t>
      </w:r>
      <w:r w:rsidRPr="00BC28F2">
        <w:rPr>
          <w:iCs/>
        </w:rPr>
        <w:t xml:space="preserve"> </w:t>
      </w:r>
      <w:r w:rsidR="00FF239C" w:rsidRPr="00BC28F2">
        <w:rPr>
          <w:iCs/>
        </w:rPr>
        <w:t>členem</w:t>
      </w:r>
      <w:r w:rsidRPr="00BC28F2">
        <w:rPr>
          <w:iCs/>
        </w:rPr>
        <w:t xml:space="preserve"> představenstva</w:t>
      </w:r>
    </w:p>
    <w:p w14:paraId="3A0CFF59" w14:textId="77777777" w:rsidR="002A5F78" w:rsidRPr="00BC28F2" w:rsidRDefault="002A5F78" w:rsidP="002E007A">
      <w:pPr>
        <w:ind w:left="2124"/>
        <w:jc w:val="both"/>
      </w:pPr>
    </w:p>
    <w:p w14:paraId="1FACC3D0" w14:textId="77777777" w:rsidR="00D77537" w:rsidRPr="00BC28F2" w:rsidRDefault="00D77537" w:rsidP="00D77537">
      <w:r w:rsidRPr="00BC28F2">
        <w:t>(dále jen „</w:t>
      </w:r>
      <w:r w:rsidR="00BE4EF7" w:rsidRPr="00BC28F2">
        <w:rPr>
          <w:b/>
        </w:rPr>
        <w:t>Pronajímatel</w:t>
      </w:r>
      <w:r w:rsidRPr="00BC28F2">
        <w:t>“)</w:t>
      </w:r>
    </w:p>
    <w:p w14:paraId="41E0CB2B" w14:textId="77777777" w:rsidR="00135041" w:rsidRPr="00BC28F2" w:rsidRDefault="00135041" w:rsidP="008A5016">
      <w:pPr>
        <w:pStyle w:val="Zkladntextodsazen2"/>
        <w:spacing w:after="0" w:line="240" w:lineRule="auto"/>
        <w:ind w:left="2124" w:hanging="2124"/>
        <w:rPr>
          <w:rFonts w:eastAsia="SimSun"/>
          <w:sz w:val="16"/>
          <w:szCs w:val="16"/>
        </w:rPr>
      </w:pPr>
    </w:p>
    <w:p w14:paraId="67DF0AD5" w14:textId="77777777" w:rsidR="0029295E" w:rsidRPr="00BC28F2" w:rsidRDefault="0029295E">
      <w:pPr>
        <w:tabs>
          <w:tab w:val="left" w:pos="2552"/>
        </w:tabs>
        <w:rPr>
          <w:szCs w:val="24"/>
        </w:rPr>
      </w:pPr>
      <w:r w:rsidRPr="00BC28F2">
        <w:rPr>
          <w:szCs w:val="24"/>
        </w:rPr>
        <w:t>a</w:t>
      </w:r>
    </w:p>
    <w:p w14:paraId="72AF81E4" w14:textId="77777777" w:rsidR="00601CF0" w:rsidRPr="00BC28F2" w:rsidRDefault="00601CF0">
      <w:pPr>
        <w:autoSpaceDE w:val="0"/>
        <w:autoSpaceDN w:val="0"/>
        <w:adjustRightInd w:val="0"/>
        <w:rPr>
          <w:sz w:val="16"/>
          <w:szCs w:val="16"/>
        </w:rPr>
      </w:pPr>
    </w:p>
    <w:p w14:paraId="5216F2FA" w14:textId="77777777" w:rsidR="009903A3" w:rsidRPr="00BC28F2" w:rsidRDefault="0029295E" w:rsidP="00736484">
      <w:pPr>
        <w:ind w:left="2127" w:hanging="2127"/>
        <w:rPr>
          <w:szCs w:val="24"/>
        </w:rPr>
      </w:pPr>
      <w:r w:rsidRPr="00BC28F2">
        <w:rPr>
          <w:szCs w:val="24"/>
        </w:rPr>
        <w:t xml:space="preserve">2.   </w:t>
      </w:r>
      <w:r w:rsidR="00736484" w:rsidRPr="00BC28F2">
        <w:rPr>
          <w:szCs w:val="24"/>
        </w:rPr>
        <w:t>Nájemc</w:t>
      </w:r>
      <w:r w:rsidR="008E0D85" w:rsidRPr="00BC28F2">
        <w:rPr>
          <w:szCs w:val="24"/>
        </w:rPr>
        <w:t>e</w:t>
      </w:r>
      <w:r w:rsidR="0070068E" w:rsidRPr="00BC28F2">
        <w:rPr>
          <w:szCs w:val="24"/>
        </w:rPr>
        <w:t>:</w:t>
      </w:r>
    </w:p>
    <w:p w14:paraId="557430EB" w14:textId="77777777" w:rsidR="00C42349" w:rsidRPr="00BC28F2" w:rsidRDefault="00C42349" w:rsidP="009903A3">
      <w:pPr>
        <w:tabs>
          <w:tab w:val="left" w:pos="1980"/>
        </w:tabs>
        <w:rPr>
          <w:iCs/>
        </w:rPr>
      </w:pPr>
    </w:p>
    <w:p w14:paraId="658587E0" w14:textId="77777777" w:rsidR="00107F04" w:rsidRPr="00BC28F2" w:rsidRDefault="00107F04" w:rsidP="00107F04">
      <w:pPr>
        <w:tabs>
          <w:tab w:val="left" w:pos="1980"/>
        </w:tabs>
        <w:rPr>
          <w:b/>
          <w:iCs/>
        </w:rPr>
      </w:pPr>
      <w:r w:rsidRPr="00BC28F2">
        <w:rPr>
          <w:b/>
          <w:iCs/>
        </w:rPr>
        <w:t xml:space="preserve">Centrum pro regionální rozvoj České republiky </w:t>
      </w:r>
    </w:p>
    <w:p w14:paraId="379FD8A1" w14:textId="01483367" w:rsidR="00FF239C" w:rsidRPr="00BC28F2" w:rsidRDefault="00107F04" w:rsidP="00FF239C">
      <w:pPr>
        <w:jc w:val="both"/>
        <w:outlineLvl w:val="0"/>
        <w:rPr>
          <w:iCs/>
        </w:rPr>
      </w:pPr>
      <w:r w:rsidRPr="00BC28F2">
        <w:rPr>
          <w:iCs/>
        </w:rPr>
        <w:t xml:space="preserve">se sídlem: </w:t>
      </w:r>
      <w:bookmarkStart w:id="0" w:name="OLE_LINK5"/>
      <w:bookmarkStart w:id="1" w:name="OLE_LINK6"/>
      <w:r w:rsidR="00FF239C" w:rsidRPr="00BC28F2">
        <w:rPr>
          <w:iCs/>
        </w:rPr>
        <w:t>Argentinská 1610/4, 170 00  Praha 7-Holešovice</w:t>
      </w:r>
    </w:p>
    <w:p w14:paraId="4BC4D3B3" w14:textId="0493DD5D" w:rsidR="00107F04" w:rsidRPr="00BC28F2" w:rsidRDefault="00107F04" w:rsidP="00C30959">
      <w:pPr>
        <w:jc w:val="both"/>
        <w:outlineLvl w:val="0"/>
        <w:rPr>
          <w:iCs/>
        </w:rPr>
      </w:pPr>
      <w:r w:rsidRPr="00BC28F2">
        <w:rPr>
          <w:iCs/>
        </w:rPr>
        <w:t xml:space="preserve">IČO: </w:t>
      </w:r>
      <w:bookmarkEnd w:id="0"/>
      <w:bookmarkEnd w:id="1"/>
      <w:r w:rsidRPr="00BC28F2">
        <w:rPr>
          <w:iCs/>
        </w:rPr>
        <w:t>040 95 316</w:t>
      </w:r>
    </w:p>
    <w:p w14:paraId="58FA65A0" w14:textId="77777777" w:rsidR="00107F04" w:rsidRPr="00BC28F2" w:rsidRDefault="00107F04" w:rsidP="00107F04">
      <w:pPr>
        <w:tabs>
          <w:tab w:val="left" w:pos="1980"/>
        </w:tabs>
        <w:rPr>
          <w:iCs/>
        </w:rPr>
      </w:pPr>
      <w:r w:rsidRPr="00BC28F2">
        <w:rPr>
          <w:iCs/>
        </w:rPr>
        <w:t>DIČ: není plátce DPH</w:t>
      </w:r>
    </w:p>
    <w:p w14:paraId="19197EAC" w14:textId="77777777" w:rsidR="00107F04" w:rsidRPr="00BC28F2" w:rsidRDefault="00107F04" w:rsidP="00107F04">
      <w:pPr>
        <w:tabs>
          <w:tab w:val="left" w:pos="1980"/>
        </w:tabs>
        <w:rPr>
          <w:iCs/>
        </w:rPr>
      </w:pPr>
      <w:r w:rsidRPr="00BC28F2">
        <w:rPr>
          <w:iCs/>
        </w:rPr>
        <w:t xml:space="preserve">zastoupená: </w:t>
      </w:r>
      <w:r w:rsidRPr="00BC28F2">
        <w:rPr>
          <w:rFonts w:cs="Calibri"/>
        </w:rPr>
        <w:t>Petrem Štěpánkem, Ph.D., generálním ředitelem</w:t>
      </w:r>
    </w:p>
    <w:p w14:paraId="021D5445" w14:textId="77777777" w:rsidR="00AA3A7F" w:rsidRPr="00BC28F2" w:rsidRDefault="00AA3A7F" w:rsidP="00B36304">
      <w:pPr>
        <w:jc w:val="both"/>
        <w:rPr>
          <w:szCs w:val="24"/>
        </w:rPr>
      </w:pPr>
    </w:p>
    <w:p w14:paraId="3A368EFE" w14:textId="77777777" w:rsidR="0029295E" w:rsidRPr="00BC28F2" w:rsidRDefault="0029295E" w:rsidP="00D77537">
      <w:pPr>
        <w:jc w:val="both"/>
        <w:rPr>
          <w:iCs/>
        </w:rPr>
      </w:pPr>
      <w:r w:rsidRPr="00BC28F2">
        <w:rPr>
          <w:szCs w:val="24"/>
        </w:rPr>
        <w:t xml:space="preserve">(dále jen </w:t>
      </w:r>
      <w:r w:rsidR="00DA3FD9" w:rsidRPr="00BC28F2">
        <w:rPr>
          <w:szCs w:val="24"/>
        </w:rPr>
        <w:t>„</w:t>
      </w:r>
      <w:r w:rsidR="00736484" w:rsidRPr="00BC28F2">
        <w:rPr>
          <w:b/>
          <w:szCs w:val="24"/>
        </w:rPr>
        <w:t>Nájemc</w:t>
      </w:r>
      <w:r w:rsidRPr="00BC28F2">
        <w:rPr>
          <w:b/>
          <w:szCs w:val="24"/>
        </w:rPr>
        <w:t>e</w:t>
      </w:r>
      <w:r w:rsidR="00DA3FD9" w:rsidRPr="00BC28F2">
        <w:rPr>
          <w:szCs w:val="24"/>
        </w:rPr>
        <w:t>“</w:t>
      </w:r>
      <w:r w:rsidRPr="00BC28F2">
        <w:rPr>
          <w:szCs w:val="24"/>
        </w:rPr>
        <w:t>)</w:t>
      </w:r>
    </w:p>
    <w:p w14:paraId="5A187B65" w14:textId="77777777" w:rsidR="0029295E" w:rsidRPr="00BC28F2" w:rsidRDefault="0029295E">
      <w:pPr>
        <w:tabs>
          <w:tab w:val="left" w:pos="2552"/>
        </w:tabs>
        <w:rPr>
          <w:szCs w:val="24"/>
        </w:rPr>
      </w:pPr>
    </w:p>
    <w:p w14:paraId="7842A95B" w14:textId="77777777" w:rsidR="0029295E" w:rsidRPr="00BC28F2" w:rsidRDefault="0029295E">
      <w:pPr>
        <w:rPr>
          <w:szCs w:val="24"/>
        </w:rPr>
      </w:pPr>
      <w:r w:rsidRPr="00BC28F2">
        <w:rPr>
          <w:szCs w:val="24"/>
        </w:rPr>
        <w:t xml:space="preserve">uzavřely níže uvedeného dne, měsíce a roku tuto </w:t>
      </w:r>
      <w:r w:rsidR="00EE5ECB" w:rsidRPr="00BC28F2">
        <w:rPr>
          <w:szCs w:val="24"/>
        </w:rPr>
        <w:t>s</w:t>
      </w:r>
      <w:r w:rsidR="00736484" w:rsidRPr="00BC28F2">
        <w:rPr>
          <w:szCs w:val="24"/>
        </w:rPr>
        <w:t>mlouv</w:t>
      </w:r>
      <w:r w:rsidRPr="00BC28F2">
        <w:rPr>
          <w:szCs w:val="24"/>
        </w:rPr>
        <w:t>u</w:t>
      </w:r>
      <w:r w:rsidR="00DA3FD9" w:rsidRPr="00BC28F2">
        <w:rPr>
          <w:szCs w:val="24"/>
        </w:rPr>
        <w:t xml:space="preserve"> (dále též jen „</w:t>
      </w:r>
      <w:r w:rsidR="00736484" w:rsidRPr="00BC28F2">
        <w:rPr>
          <w:b/>
          <w:szCs w:val="24"/>
        </w:rPr>
        <w:t>Smlouv</w:t>
      </w:r>
      <w:r w:rsidR="00DA3FD9" w:rsidRPr="00BC28F2">
        <w:rPr>
          <w:b/>
          <w:szCs w:val="24"/>
        </w:rPr>
        <w:t>a</w:t>
      </w:r>
      <w:r w:rsidR="00DA3FD9" w:rsidRPr="00BC28F2">
        <w:rPr>
          <w:szCs w:val="24"/>
        </w:rPr>
        <w:t>“)</w:t>
      </w:r>
      <w:r w:rsidRPr="00BC28F2">
        <w:rPr>
          <w:szCs w:val="24"/>
        </w:rPr>
        <w:t>:</w:t>
      </w:r>
    </w:p>
    <w:p w14:paraId="3067F5D4" w14:textId="77777777" w:rsidR="00AA4E21" w:rsidRPr="00BC28F2" w:rsidRDefault="00AA4E21">
      <w:pPr>
        <w:rPr>
          <w:szCs w:val="24"/>
        </w:rPr>
      </w:pPr>
    </w:p>
    <w:p w14:paraId="1F4EA3E7" w14:textId="77777777" w:rsidR="0029295E" w:rsidRPr="00BC28F2" w:rsidRDefault="0029295E">
      <w:pPr>
        <w:jc w:val="center"/>
        <w:rPr>
          <w:b/>
          <w:szCs w:val="24"/>
        </w:rPr>
      </w:pPr>
      <w:r w:rsidRPr="00BC28F2">
        <w:rPr>
          <w:b/>
          <w:szCs w:val="24"/>
        </w:rPr>
        <w:t>I</w:t>
      </w:r>
      <w:r w:rsidR="00A426E3" w:rsidRPr="00BC28F2">
        <w:rPr>
          <w:b/>
          <w:szCs w:val="24"/>
        </w:rPr>
        <w:t>I</w:t>
      </w:r>
      <w:r w:rsidRPr="00BC28F2">
        <w:rPr>
          <w:b/>
          <w:szCs w:val="24"/>
        </w:rPr>
        <w:t>.</w:t>
      </w:r>
    </w:p>
    <w:p w14:paraId="26F29F40" w14:textId="77777777" w:rsidR="00AA4E21" w:rsidRPr="00BC28F2" w:rsidRDefault="00AA4E21">
      <w:pPr>
        <w:jc w:val="center"/>
        <w:rPr>
          <w:szCs w:val="24"/>
        </w:rPr>
      </w:pPr>
    </w:p>
    <w:p w14:paraId="44D414EB" w14:textId="75793A17" w:rsidR="0029295E" w:rsidRPr="00BC28F2" w:rsidRDefault="00BE4EF7">
      <w:pPr>
        <w:pStyle w:val="Zkladntextodsazen"/>
        <w:ind w:firstLine="0"/>
        <w:rPr>
          <w:szCs w:val="24"/>
        </w:rPr>
      </w:pPr>
      <w:r w:rsidRPr="00BC28F2">
        <w:rPr>
          <w:szCs w:val="24"/>
        </w:rPr>
        <w:t>Pronajímatel</w:t>
      </w:r>
      <w:r w:rsidR="00827A4C" w:rsidRPr="00BC28F2">
        <w:rPr>
          <w:szCs w:val="24"/>
        </w:rPr>
        <w:t xml:space="preserve"> </w:t>
      </w:r>
      <w:r w:rsidR="0029295E" w:rsidRPr="00BC28F2">
        <w:rPr>
          <w:szCs w:val="24"/>
        </w:rPr>
        <w:t>prohlašuje, že je</w:t>
      </w:r>
      <w:r w:rsidR="00942B3A" w:rsidRPr="00BC28F2">
        <w:rPr>
          <w:szCs w:val="24"/>
        </w:rPr>
        <w:t xml:space="preserve"> oprávněn</w:t>
      </w:r>
      <w:r w:rsidR="00220AC9" w:rsidRPr="00BC28F2">
        <w:rPr>
          <w:szCs w:val="24"/>
        </w:rPr>
        <w:t xml:space="preserve"> </w:t>
      </w:r>
      <w:r w:rsidR="001D1BB6" w:rsidRPr="00BC28F2">
        <w:rPr>
          <w:szCs w:val="24"/>
        </w:rPr>
        <w:t>pro</w:t>
      </w:r>
      <w:r w:rsidR="00827A4C" w:rsidRPr="00BC28F2">
        <w:rPr>
          <w:szCs w:val="24"/>
        </w:rPr>
        <w:t>najímat</w:t>
      </w:r>
      <w:r w:rsidR="00220AC9" w:rsidRPr="00BC28F2">
        <w:rPr>
          <w:szCs w:val="24"/>
        </w:rPr>
        <w:t xml:space="preserve"> </w:t>
      </w:r>
      <w:r w:rsidR="0029295E" w:rsidRPr="00BC28F2">
        <w:rPr>
          <w:szCs w:val="24"/>
        </w:rPr>
        <w:t>ploch</w:t>
      </w:r>
      <w:r w:rsidR="00942B3A" w:rsidRPr="00BC28F2">
        <w:rPr>
          <w:szCs w:val="24"/>
        </w:rPr>
        <w:t>u</w:t>
      </w:r>
      <w:r w:rsidR="0029295E" w:rsidRPr="00BC28F2">
        <w:rPr>
          <w:szCs w:val="24"/>
        </w:rPr>
        <w:t xml:space="preserve"> </w:t>
      </w:r>
      <w:r w:rsidR="000737F3" w:rsidRPr="00BC28F2">
        <w:rPr>
          <w:szCs w:val="24"/>
        </w:rPr>
        <w:t>pylonu P</w:t>
      </w:r>
      <w:r w:rsidR="00FD7444" w:rsidRPr="00BC28F2">
        <w:rPr>
          <w:szCs w:val="24"/>
        </w:rPr>
        <w:t>1</w:t>
      </w:r>
      <w:r w:rsidR="000737F3" w:rsidRPr="00BC28F2">
        <w:rPr>
          <w:szCs w:val="24"/>
        </w:rPr>
        <w:t xml:space="preserve">, který je </w:t>
      </w:r>
      <w:r w:rsidR="009903A3" w:rsidRPr="00BC28F2">
        <w:rPr>
          <w:iCs/>
        </w:rPr>
        <w:t>součástí pozemku parc. č. 1123</w:t>
      </w:r>
      <w:r w:rsidR="006C55BD" w:rsidRPr="00BC28F2">
        <w:rPr>
          <w:iCs/>
        </w:rPr>
        <w:t>/3</w:t>
      </w:r>
      <w:r w:rsidR="009903A3" w:rsidRPr="00BC28F2">
        <w:rPr>
          <w:iCs/>
        </w:rPr>
        <w:t>, zaps</w:t>
      </w:r>
      <w:r w:rsidR="00AA3A7F" w:rsidRPr="00BC28F2">
        <w:rPr>
          <w:iCs/>
        </w:rPr>
        <w:t>a</w:t>
      </w:r>
      <w:r w:rsidR="009903A3" w:rsidRPr="00BC28F2">
        <w:rPr>
          <w:iCs/>
        </w:rPr>
        <w:t>n</w:t>
      </w:r>
      <w:r w:rsidR="000737F3" w:rsidRPr="00BC28F2">
        <w:rPr>
          <w:iCs/>
        </w:rPr>
        <w:t>ém</w:t>
      </w:r>
      <w:r w:rsidR="009903A3" w:rsidRPr="00BC28F2">
        <w:rPr>
          <w:iCs/>
        </w:rPr>
        <w:t xml:space="preserve"> na LV č. 11090, vedeném Katastrálním úřadem pro hlavní město Prahu, katastrální pracoviště Praha, pro katastrální území Holešovice (dále jen „</w:t>
      </w:r>
      <w:r w:rsidR="009903A3" w:rsidRPr="00BC28F2">
        <w:rPr>
          <w:b/>
          <w:iCs/>
        </w:rPr>
        <w:t>Pozemek</w:t>
      </w:r>
      <w:r w:rsidR="009903A3" w:rsidRPr="00BC28F2">
        <w:rPr>
          <w:iCs/>
        </w:rPr>
        <w:t>“)</w:t>
      </w:r>
      <w:r w:rsidR="000737F3" w:rsidRPr="00BC28F2">
        <w:rPr>
          <w:iCs/>
        </w:rPr>
        <w:t xml:space="preserve"> (</w:t>
      </w:r>
      <w:r w:rsidR="009D67D7" w:rsidRPr="00BC28F2">
        <w:rPr>
          <w:iCs/>
        </w:rPr>
        <w:t>dále jen „</w:t>
      </w:r>
      <w:r w:rsidR="009D67D7" w:rsidRPr="00BC28F2">
        <w:rPr>
          <w:b/>
          <w:iCs/>
        </w:rPr>
        <w:t>Pylon</w:t>
      </w:r>
      <w:r w:rsidR="009D67D7" w:rsidRPr="00BC28F2">
        <w:rPr>
          <w:iCs/>
        </w:rPr>
        <w:t>“)</w:t>
      </w:r>
      <w:r w:rsidR="00813B13" w:rsidRPr="00BC28F2">
        <w:rPr>
          <w:iCs/>
        </w:rPr>
        <w:t>.</w:t>
      </w:r>
      <w:r w:rsidR="009D67D7" w:rsidRPr="00BC28F2">
        <w:rPr>
          <w:iCs/>
        </w:rPr>
        <w:t xml:space="preserve"> </w:t>
      </w:r>
      <w:r w:rsidR="00A5517C" w:rsidRPr="00BC28F2">
        <w:rPr>
          <w:iCs/>
        </w:rPr>
        <w:t xml:space="preserve">Umístění </w:t>
      </w:r>
      <w:r w:rsidR="009D67D7" w:rsidRPr="00BC28F2">
        <w:rPr>
          <w:iCs/>
        </w:rPr>
        <w:t>Pylon</w:t>
      </w:r>
      <w:r w:rsidR="00A5517C" w:rsidRPr="00BC28F2">
        <w:rPr>
          <w:iCs/>
        </w:rPr>
        <w:t>u</w:t>
      </w:r>
      <w:r w:rsidR="009D67D7" w:rsidRPr="00BC28F2">
        <w:rPr>
          <w:iCs/>
        </w:rPr>
        <w:t xml:space="preserve"> je blíže specifikován</w:t>
      </w:r>
      <w:r w:rsidR="00A5517C" w:rsidRPr="00BC28F2">
        <w:rPr>
          <w:iCs/>
        </w:rPr>
        <w:t>o</w:t>
      </w:r>
      <w:r w:rsidR="009D67D7" w:rsidRPr="00BC28F2">
        <w:rPr>
          <w:iCs/>
        </w:rPr>
        <w:t xml:space="preserve"> v příloze č. 1 této Smlouvy</w:t>
      </w:r>
      <w:r w:rsidR="0029295E" w:rsidRPr="00BC28F2">
        <w:rPr>
          <w:szCs w:val="24"/>
        </w:rPr>
        <w:t>.</w:t>
      </w:r>
    </w:p>
    <w:p w14:paraId="17335DD4" w14:textId="77777777" w:rsidR="00B1363D" w:rsidRPr="00BC28F2" w:rsidRDefault="00B1363D">
      <w:pPr>
        <w:pStyle w:val="Zkladntextodsazen"/>
        <w:ind w:firstLine="0"/>
        <w:rPr>
          <w:szCs w:val="24"/>
        </w:rPr>
      </w:pPr>
    </w:p>
    <w:p w14:paraId="28A35B6B" w14:textId="77777777" w:rsidR="00AA4E21" w:rsidRPr="00BC28F2" w:rsidRDefault="00AA4E21">
      <w:pPr>
        <w:pStyle w:val="Zkladntextodsazen"/>
        <w:ind w:firstLine="0"/>
        <w:rPr>
          <w:szCs w:val="24"/>
        </w:rPr>
      </w:pPr>
    </w:p>
    <w:p w14:paraId="1DF6E3B3" w14:textId="77777777" w:rsidR="00335826" w:rsidRPr="00BC28F2" w:rsidRDefault="00A426E3" w:rsidP="00335826">
      <w:pPr>
        <w:jc w:val="center"/>
        <w:rPr>
          <w:b/>
          <w:szCs w:val="23"/>
        </w:rPr>
      </w:pPr>
      <w:r w:rsidRPr="00BC28F2">
        <w:rPr>
          <w:b/>
          <w:szCs w:val="23"/>
        </w:rPr>
        <w:t>I</w:t>
      </w:r>
      <w:r w:rsidR="00335826" w:rsidRPr="00BC28F2">
        <w:rPr>
          <w:b/>
          <w:szCs w:val="23"/>
        </w:rPr>
        <w:t xml:space="preserve">II. </w:t>
      </w:r>
    </w:p>
    <w:p w14:paraId="238A1CFA" w14:textId="77777777" w:rsidR="00335826" w:rsidRPr="00BC28F2" w:rsidRDefault="00335826" w:rsidP="00335826">
      <w:pPr>
        <w:pStyle w:val="Zkladntextodsazen"/>
        <w:ind w:firstLine="0"/>
        <w:rPr>
          <w:b/>
          <w:szCs w:val="24"/>
        </w:rPr>
      </w:pPr>
    </w:p>
    <w:p w14:paraId="04865939" w14:textId="728A98BB" w:rsidR="00335826" w:rsidRPr="00BC28F2" w:rsidRDefault="00335826" w:rsidP="00335826">
      <w:pPr>
        <w:pStyle w:val="Zkladntextodsazen"/>
        <w:ind w:firstLine="0"/>
        <w:rPr>
          <w:szCs w:val="23"/>
        </w:rPr>
      </w:pPr>
      <w:r w:rsidRPr="00BC28F2">
        <w:rPr>
          <w:szCs w:val="23"/>
        </w:rPr>
        <w:t xml:space="preserve">Předmětem nájmu dle této </w:t>
      </w:r>
      <w:r w:rsidR="00736484" w:rsidRPr="00BC28F2">
        <w:rPr>
          <w:szCs w:val="23"/>
        </w:rPr>
        <w:t>Smlouv</w:t>
      </w:r>
      <w:r w:rsidRPr="00BC28F2">
        <w:rPr>
          <w:szCs w:val="23"/>
        </w:rPr>
        <w:t>y j</w:t>
      </w:r>
      <w:r w:rsidR="009D67D7" w:rsidRPr="00BC28F2">
        <w:rPr>
          <w:szCs w:val="23"/>
        </w:rPr>
        <w:t xml:space="preserve">e plocha </w:t>
      </w:r>
      <w:r w:rsidR="009D67D7" w:rsidRPr="00BC28F2">
        <w:rPr>
          <w:bCs/>
          <w:szCs w:val="24"/>
        </w:rPr>
        <w:t>pro umístění loga Nájemce</w:t>
      </w:r>
      <w:r w:rsidR="00F4366E" w:rsidRPr="00BC28F2">
        <w:rPr>
          <w:b/>
          <w:szCs w:val="24"/>
        </w:rPr>
        <w:t xml:space="preserve"> </w:t>
      </w:r>
      <w:r w:rsidR="003C4D39" w:rsidRPr="00BC28F2">
        <w:rPr>
          <w:szCs w:val="23"/>
        </w:rPr>
        <w:t>o</w:t>
      </w:r>
      <w:r w:rsidR="003C4D39" w:rsidRPr="00BC28F2">
        <w:t xml:space="preserve"> rozměrech </w:t>
      </w:r>
      <w:r w:rsidR="00C22A2E" w:rsidRPr="00BC28F2">
        <w:rPr>
          <w:bCs/>
        </w:rPr>
        <w:t>1270</w:t>
      </w:r>
      <w:r w:rsidR="00F4366E" w:rsidRPr="00BC28F2">
        <w:rPr>
          <w:bCs/>
        </w:rPr>
        <w:t>x</w:t>
      </w:r>
      <w:r w:rsidR="00C22A2E" w:rsidRPr="00BC28F2">
        <w:rPr>
          <w:bCs/>
        </w:rPr>
        <w:t>730</w:t>
      </w:r>
      <w:r w:rsidR="00F4366E" w:rsidRPr="00BC28F2">
        <w:rPr>
          <w:bCs/>
        </w:rPr>
        <w:t>mm</w:t>
      </w:r>
      <w:r w:rsidR="003C4D39" w:rsidRPr="00BC28F2">
        <w:rPr>
          <w:b/>
        </w:rPr>
        <w:t xml:space="preserve"> </w:t>
      </w:r>
      <w:r w:rsidR="00FD7444" w:rsidRPr="00BC28F2">
        <w:rPr>
          <w:b/>
        </w:rPr>
        <w:t xml:space="preserve">(2x) </w:t>
      </w:r>
      <w:r w:rsidR="00C22A2E" w:rsidRPr="00BC28F2">
        <w:rPr>
          <w:bCs/>
        </w:rPr>
        <w:t xml:space="preserve">na </w:t>
      </w:r>
      <w:r w:rsidR="003C4D39" w:rsidRPr="00BC28F2">
        <w:t>Pylonu</w:t>
      </w:r>
      <w:r w:rsidR="00FD7444" w:rsidRPr="00BC28F2">
        <w:t xml:space="preserve"> P1</w:t>
      </w:r>
      <w:r w:rsidR="003C4D39" w:rsidRPr="00BC28F2">
        <w:t xml:space="preserve"> umístěn</w:t>
      </w:r>
      <w:r w:rsidR="00A5517C" w:rsidRPr="00BC28F2">
        <w:t>ého</w:t>
      </w:r>
      <w:r w:rsidR="003C4D39" w:rsidRPr="00BC28F2">
        <w:t xml:space="preserve"> v blízkosti budovy </w:t>
      </w:r>
      <w:r w:rsidR="00B1363D" w:rsidRPr="00BC28F2">
        <w:t>Art</w:t>
      </w:r>
      <w:r w:rsidRPr="00BC28F2">
        <w:rPr>
          <w:szCs w:val="23"/>
        </w:rPr>
        <w:t>. Plánek</w:t>
      </w:r>
      <w:r w:rsidR="009D67D7" w:rsidRPr="00BC28F2">
        <w:rPr>
          <w:szCs w:val="23"/>
        </w:rPr>
        <w:t xml:space="preserve"> </w:t>
      </w:r>
      <w:r w:rsidR="009D67D7" w:rsidRPr="00BC28F2">
        <w:rPr>
          <w:szCs w:val="24"/>
        </w:rPr>
        <w:t>umístění loga Nájemce</w:t>
      </w:r>
      <w:r w:rsidR="00F4366E" w:rsidRPr="00BC28F2">
        <w:rPr>
          <w:szCs w:val="24"/>
        </w:rPr>
        <w:t xml:space="preserve"> </w:t>
      </w:r>
      <w:r w:rsidR="009D67D7" w:rsidRPr="00BC28F2">
        <w:rPr>
          <w:szCs w:val="23"/>
        </w:rPr>
        <w:t xml:space="preserve">na Pylonu </w:t>
      </w:r>
      <w:r w:rsidRPr="00BC28F2">
        <w:rPr>
          <w:szCs w:val="23"/>
        </w:rPr>
        <w:t xml:space="preserve">je </w:t>
      </w:r>
      <w:r w:rsidR="009D67D7" w:rsidRPr="00BC28F2">
        <w:rPr>
          <w:szCs w:val="23"/>
        </w:rPr>
        <w:t xml:space="preserve">uveden v </w:t>
      </w:r>
      <w:r w:rsidRPr="00BC28F2">
        <w:rPr>
          <w:szCs w:val="23"/>
        </w:rPr>
        <w:t>přílo</w:t>
      </w:r>
      <w:r w:rsidR="009D67D7" w:rsidRPr="00BC28F2">
        <w:rPr>
          <w:szCs w:val="23"/>
        </w:rPr>
        <w:t>ze</w:t>
      </w:r>
      <w:r w:rsidRPr="00BC28F2">
        <w:rPr>
          <w:szCs w:val="23"/>
        </w:rPr>
        <w:t xml:space="preserve"> č. </w:t>
      </w:r>
      <w:r w:rsidR="00C3112A" w:rsidRPr="00BC28F2">
        <w:rPr>
          <w:szCs w:val="23"/>
        </w:rPr>
        <w:t>2</w:t>
      </w:r>
      <w:r w:rsidRPr="00BC28F2">
        <w:rPr>
          <w:szCs w:val="23"/>
        </w:rPr>
        <w:t xml:space="preserve"> této </w:t>
      </w:r>
      <w:r w:rsidR="00736484" w:rsidRPr="00BC28F2">
        <w:rPr>
          <w:szCs w:val="23"/>
        </w:rPr>
        <w:t>Smlouv</w:t>
      </w:r>
      <w:r w:rsidRPr="00BC28F2">
        <w:rPr>
          <w:szCs w:val="23"/>
        </w:rPr>
        <w:t>y</w:t>
      </w:r>
      <w:r w:rsidR="00683E0D" w:rsidRPr="00BC28F2">
        <w:rPr>
          <w:szCs w:val="23"/>
        </w:rPr>
        <w:t xml:space="preserve"> (dále jen „</w:t>
      </w:r>
      <w:r w:rsidR="009D67D7" w:rsidRPr="00BC28F2">
        <w:rPr>
          <w:b/>
        </w:rPr>
        <w:t>Logo</w:t>
      </w:r>
      <w:r w:rsidR="00683E0D" w:rsidRPr="00BC28F2">
        <w:rPr>
          <w:szCs w:val="23"/>
        </w:rPr>
        <w:t>“)</w:t>
      </w:r>
      <w:r w:rsidRPr="00BC28F2">
        <w:rPr>
          <w:szCs w:val="23"/>
        </w:rPr>
        <w:t>.</w:t>
      </w:r>
    </w:p>
    <w:p w14:paraId="31198E3D" w14:textId="77777777" w:rsidR="008E0C73" w:rsidRPr="00BC28F2" w:rsidRDefault="008E0C73">
      <w:pPr>
        <w:jc w:val="center"/>
        <w:rPr>
          <w:b/>
          <w:szCs w:val="24"/>
        </w:rPr>
      </w:pPr>
    </w:p>
    <w:p w14:paraId="3C728C48" w14:textId="77777777" w:rsidR="00AA4E21" w:rsidRPr="00BC28F2" w:rsidRDefault="00A426E3">
      <w:pPr>
        <w:jc w:val="center"/>
        <w:rPr>
          <w:b/>
          <w:szCs w:val="24"/>
        </w:rPr>
      </w:pPr>
      <w:r w:rsidRPr="00BC28F2">
        <w:rPr>
          <w:b/>
          <w:szCs w:val="24"/>
        </w:rPr>
        <w:t>IV</w:t>
      </w:r>
      <w:r w:rsidR="0029295E" w:rsidRPr="00BC28F2">
        <w:rPr>
          <w:b/>
          <w:szCs w:val="24"/>
        </w:rPr>
        <w:t>.</w:t>
      </w:r>
    </w:p>
    <w:p w14:paraId="117C82FF" w14:textId="77777777" w:rsidR="00335826" w:rsidRPr="00BC28F2" w:rsidRDefault="00335826">
      <w:pPr>
        <w:jc w:val="center"/>
        <w:rPr>
          <w:b/>
          <w:szCs w:val="24"/>
        </w:rPr>
      </w:pPr>
    </w:p>
    <w:p w14:paraId="70BA2622" w14:textId="77777777" w:rsidR="006944DF" w:rsidRPr="00BC28F2" w:rsidRDefault="00FE0298">
      <w:pPr>
        <w:pStyle w:val="Zkladntextodsazen"/>
        <w:ind w:firstLine="0"/>
        <w:rPr>
          <w:szCs w:val="24"/>
        </w:rPr>
      </w:pPr>
      <w:r w:rsidRPr="00BC28F2">
        <w:rPr>
          <w:szCs w:val="24"/>
        </w:rPr>
        <w:t xml:space="preserve">1.  </w:t>
      </w:r>
      <w:r w:rsidR="00AC2751" w:rsidRPr="00BC28F2">
        <w:rPr>
          <w:szCs w:val="24"/>
        </w:rPr>
        <w:t xml:space="preserve">Práva a povinnosti </w:t>
      </w:r>
      <w:r w:rsidR="00BE4EF7" w:rsidRPr="00BC28F2">
        <w:rPr>
          <w:szCs w:val="24"/>
        </w:rPr>
        <w:t>Pronajímatel</w:t>
      </w:r>
      <w:r w:rsidR="00AC2751" w:rsidRPr="00BC28F2">
        <w:rPr>
          <w:szCs w:val="24"/>
        </w:rPr>
        <w:t>e:</w:t>
      </w:r>
    </w:p>
    <w:p w14:paraId="3055DAB7" w14:textId="77777777" w:rsidR="00F3456A" w:rsidRPr="00BC28F2" w:rsidRDefault="00F3456A">
      <w:pPr>
        <w:pStyle w:val="Zkladntextodsazen"/>
        <w:ind w:firstLine="0"/>
        <w:rPr>
          <w:sz w:val="8"/>
          <w:szCs w:val="8"/>
        </w:rPr>
      </w:pPr>
    </w:p>
    <w:p w14:paraId="68B47BC4" w14:textId="77777777" w:rsidR="00D93689" w:rsidRPr="00BC28F2" w:rsidRDefault="00BE4EF7" w:rsidP="00FE0298">
      <w:pPr>
        <w:pStyle w:val="Zkladntextodsazen"/>
        <w:numPr>
          <w:ilvl w:val="0"/>
          <w:numId w:val="10"/>
        </w:numPr>
        <w:rPr>
          <w:szCs w:val="24"/>
        </w:rPr>
      </w:pPr>
      <w:r w:rsidRPr="00BC28F2">
        <w:rPr>
          <w:szCs w:val="24"/>
        </w:rPr>
        <w:t>Pronajímatel</w:t>
      </w:r>
      <w:r w:rsidR="00D93689" w:rsidRPr="00BC28F2">
        <w:rPr>
          <w:szCs w:val="24"/>
        </w:rPr>
        <w:t xml:space="preserve"> je povinen </w:t>
      </w:r>
      <w:r w:rsidR="00530B16" w:rsidRPr="00BC28F2">
        <w:rPr>
          <w:szCs w:val="24"/>
        </w:rPr>
        <w:t xml:space="preserve">umožnit </w:t>
      </w:r>
      <w:r w:rsidR="00736484" w:rsidRPr="00BC28F2">
        <w:rPr>
          <w:szCs w:val="24"/>
        </w:rPr>
        <w:t>Nájemc</w:t>
      </w:r>
      <w:r w:rsidR="00D93689" w:rsidRPr="00BC28F2">
        <w:rPr>
          <w:szCs w:val="24"/>
        </w:rPr>
        <w:t xml:space="preserve">i ode dne účinnosti této </w:t>
      </w:r>
      <w:r w:rsidR="00736484" w:rsidRPr="00BC28F2">
        <w:rPr>
          <w:szCs w:val="24"/>
        </w:rPr>
        <w:t>Smlouv</w:t>
      </w:r>
      <w:r w:rsidR="00D93689" w:rsidRPr="00BC28F2">
        <w:rPr>
          <w:szCs w:val="24"/>
        </w:rPr>
        <w:t xml:space="preserve">y </w:t>
      </w:r>
      <w:r w:rsidR="009D67D7" w:rsidRPr="00BC28F2">
        <w:rPr>
          <w:szCs w:val="24"/>
        </w:rPr>
        <w:t>umístění Loga</w:t>
      </w:r>
      <w:r w:rsidR="00210B36" w:rsidRPr="00BC28F2">
        <w:rPr>
          <w:szCs w:val="24"/>
        </w:rPr>
        <w:t xml:space="preserve"> </w:t>
      </w:r>
      <w:r w:rsidR="00DA3682" w:rsidRPr="00BC28F2">
        <w:rPr>
          <w:szCs w:val="24"/>
        </w:rPr>
        <w:t xml:space="preserve">na </w:t>
      </w:r>
      <w:r w:rsidR="009D67D7" w:rsidRPr="00BC28F2">
        <w:rPr>
          <w:szCs w:val="24"/>
        </w:rPr>
        <w:t>Pylonu</w:t>
      </w:r>
      <w:r w:rsidR="00D93689" w:rsidRPr="00BC28F2">
        <w:rPr>
          <w:szCs w:val="24"/>
        </w:rPr>
        <w:t>,</w:t>
      </w:r>
      <w:r w:rsidR="00EE5ECB" w:rsidRPr="00BC28F2">
        <w:rPr>
          <w:szCs w:val="24"/>
        </w:rPr>
        <w:t xml:space="preserve"> které jsou předmětem nájmu;</w:t>
      </w:r>
    </w:p>
    <w:p w14:paraId="6EFCED82" w14:textId="77777777" w:rsidR="00B02698" w:rsidRPr="00BC28F2" w:rsidRDefault="00B02698" w:rsidP="00B02698">
      <w:pPr>
        <w:pStyle w:val="Zkladntextodsazen"/>
        <w:ind w:left="360" w:firstLine="0"/>
        <w:rPr>
          <w:szCs w:val="24"/>
        </w:rPr>
      </w:pPr>
    </w:p>
    <w:p w14:paraId="78309639" w14:textId="64A143E9" w:rsidR="00047131" w:rsidRPr="00BC28F2" w:rsidRDefault="00BE4EF7" w:rsidP="008501D9">
      <w:pPr>
        <w:pStyle w:val="Zkladntextodsazen"/>
        <w:numPr>
          <w:ilvl w:val="0"/>
          <w:numId w:val="10"/>
        </w:numPr>
        <w:rPr>
          <w:szCs w:val="24"/>
        </w:rPr>
      </w:pPr>
      <w:r w:rsidRPr="00BC28F2">
        <w:t>Pronajímatel</w:t>
      </w:r>
      <w:r w:rsidR="00047131" w:rsidRPr="00BC28F2">
        <w:t xml:space="preserve"> je oprávněn kdykoliv v průběhu trvání této </w:t>
      </w:r>
      <w:r w:rsidR="00736484" w:rsidRPr="00BC28F2">
        <w:t>Smlouv</w:t>
      </w:r>
      <w:r w:rsidR="00047131" w:rsidRPr="00BC28F2">
        <w:t>y jednostranně rozhodnout o</w:t>
      </w:r>
      <w:r w:rsidR="00D664A5" w:rsidRPr="00BC28F2">
        <w:t xml:space="preserve"> dočasné </w:t>
      </w:r>
      <w:r w:rsidR="00047131" w:rsidRPr="00BC28F2">
        <w:t xml:space="preserve">změně umístění </w:t>
      </w:r>
      <w:r w:rsidR="009D67D7" w:rsidRPr="00BC28F2">
        <w:t>Loga</w:t>
      </w:r>
      <w:r w:rsidR="00047131" w:rsidRPr="00BC28F2">
        <w:t xml:space="preserve"> (dále též jen „</w:t>
      </w:r>
      <w:r w:rsidR="008E0B25" w:rsidRPr="00BC28F2">
        <w:rPr>
          <w:b/>
        </w:rPr>
        <w:t>N</w:t>
      </w:r>
      <w:r w:rsidR="009D67D7" w:rsidRPr="00BC28F2">
        <w:rPr>
          <w:b/>
        </w:rPr>
        <w:t>ové umístění Loga Nájemce</w:t>
      </w:r>
      <w:r w:rsidR="00047131" w:rsidRPr="00BC28F2">
        <w:t xml:space="preserve">“), a to </w:t>
      </w:r>
      <w:r w:rsidR="00D664A5" w:rsidRPr="00BC28F2">
        <w:t xml:space="preserve">na základě předchozího písemného oznámení </w:t>
      </w:r>
      <w:r w:rsidRPr="00BC28F2">
        <w:t>Pronajímatel</w:t>
      </w:r>
      <w:r w:rsidR="00D664A5" w:rsidRPr="00BC28F2">
        <w:t>e.</w:t>
      </w:r>
      <w:r w:rsidR="00047131" w:rsidRPr="00BC28F2">
        <w:t xml:space="preserve"> Podmínky užívání </w:t>
      </w:r>
      <w:r w:rsidR="008E0B25" w:rsidRPr="00BC28F2">
        <w:t>N</w:t>
      </w:r>
      <w:r w:rsidR="00E947A2" w:rsidRPr="00BC28F2">
        <w:t>ového</w:t>
      </w:r>
      <w:r w:rsidR="00047131" w:rsidRPr="00BC28F2">
        <w:t xml:space="preserve"> </w:t>
      </w:r>
      <w:r w:rsidR="00E947A2" w:rsidRPr="00BC28F2">
        <w:t>umístění Loga Nájemce</w:t>
      </w:r>
      <w:r w:rsidR="00097580" w:rsidRPr="00BC28F2">
        <w:t>, práva a povinnosti smluvních stran</w:t>
      </w:r>
      <w:r w:rsidR="00047131" w:rsidRPr="00BC28F2">
        <w:t xml:space="preserve"> se</w:t>
      </w:r>
      <w:r w:rsidR="00097580" w:rsidRPr="00BC28F2">
        <w:t xml:space="preserve"> přiměřeně </w:t>
      </w:r>
      <w:r w:rsidR="00047131" w:rsidRPr="00BC28F2">
        <w:t xml:space="preserve">řídí podmínkami užívání </w:t>
      </w:r>
      <w:r w:rsidR="00E947A2" w:rsidRPr="00BC28F2">
        <w:t xml:space="preserve">Loga </w:t>
      </w:r>
      <w:r w:rsidR="00047131" w:rsidRPr="00BC28F2">
        <w:t xml:space="preserve">dle této </w:t>
      </w:r>
      <w:r w:rsidR="00736484" w:rsidRPr="00BC28F2">
        <w:t>Smlouv</w:t>
      </w:r>
      <w:r w:rsidR="00047131" w:rsidRPr="00BC28F2">
        <w:t>y; výše úplaty za</w:t>
      </w:r>
      <w:r w:rsidR="00097580" w:rsidRPr="00BC28F2">
        <w:t xml:space="preserve"> užívání </w:t>
      </w:r>
      <w:r w:rsidR="00E947A2" w:rsidRPr="00BC28F2">
        <w:t xml:space="preserve">Nového umístění Loga Nájemce </w:t>
      </w:r>
      <w:r w:rsidR="00097580" w:rsidRPr="00BC28F2">
        <w:t xml:space="preserve">je </w:t>
      </w:r>
      <w:r w:rsidR="000957FC" w:rsidRPr="00BC28F2">
        <w:t>shodná s výší smluvenou za užívá</w:t>
      </w:r>
      <w:r w:rsidR="00097580" w:rsidRPr="00BC28F2">
        <w:t xml:space="preserve">ní </w:t>
      </w:r>
      <w:r w:rsidR="00E947A2" w:rsidRPr="00BC28F2">
        <w:t>Loga</w:t>
      </w:r>
      <w:r w:rsidR="00047131" w:rsidRPr="00BC28F2">
        <w:t>.</w:t>
      </w:r>
      <w:r w:rsidR="00233991" w:rsidRPr="00BC28F2">
        <w:t xml:space="preserve"> </w:t>
      </w:r>
      <w:r w:rsidR="00047131" w:rsidRPr="00BC28F2">
        <w:t xml:space="preserve">Předání </w:t>
      </w:r>
      <w:r w:rsidR="00E947A2" w:rsidRPr="00BC28F2">
        <w:t xml:space="preserve">Loga </w:t>
      </w:r>
      <w:r w:rsidR="00047131" w:rsidRPr="00BC28F2">
        <w:t xml:space="preserve">a převzetí </w:t>
      </w:r>
      <w:r w:rsidR="00E947A2" w:rsidRPr="00BC28F2">
        <w:t>Nového umístění Loga Nájemce</w:t>
      </w:r>
      <w:r w:rsidR="003600F8" w:rsidRPr="00BC28F2">
        <w:t xml:space="preserve"> </w:t>
      </w:r>
      <w:r w:rsidR="00047131" w:rsidRPr="00BC28F2">
        <w:t xml:space="preserve">si </w:t>
      </w:r>
      <w:r w:rsidRPr="00BC28F2">
        <w:t>Pronajímatel</w:t>
      </w:r>
      <w:r w:rsidR="00047131" w:rsidRPr="00BC28F2">
        <w:t xml:space="preserve"> a </w:t>
      </w:r>
      <w:r w:rsidR="00736484" w:rsidRPr="00BC28F2">
        <w:t>Nájemc</w:t>
      </w:r>
      <w:r w:rsidR="00047131" w:rsidRPr="00BC28F2">
        <w:t xml:space="preserve">i vzájemně písemně stvrdí, pokud se nedohodnou jinak. Případná realizace tohoto odstavce </w:t>
      </w:r>
      <w:r w:rsidR="00736484" w:rsidRPr="00BC28F2">
        <w:t>Smlouv</w:t>
      </w:r>
      <w:r w:rsidR="00047131" w:rsidRPr="00BC28F2">
        <w:t xml:space="preserve">y není pro </w:t>
      </w:r>
      <w:r w:rsidR="00736484" w:rsidRPr="00BC28F2">
        <w:t>Nájemc</w:t>
      </w:r>
      <w:r w:rsidR="00047131" w:rsidRPr="00BC28F2">
        <w:t xml:space="preserve">e ani pro </w:t>
      </w:r>
      <w:r w:rsidRPr="00BC28F2">
        <w:t>Pronajímatel</w:t>
      </w:r>
      <w:r w:rsidR="00047131" w:rsidRPr="00BC28F2">
        <w:t xml:space="preserve">e důvodem k ukončení této </w:t>
      </w:r>
      <w:r w:rsidR="00736484" w:rsidRPr="00BC28F2">
        <w:t>Smlouv</w:t>
      </w:r>
      <w:r w:rsidR="00AF3A9B" w:rsidRPr="00BC28F2">
        <w:t>y;</w:t>
      </w:r>
      <w:r w:rsidR="00C40CA5" w:rsidRPr="00BC28F2">
        <w:t xml:space="preserve"> Nové umístění Loga musí být kvalitativně (tj. zejm. vizuálně) stejné úrovně jako původní místo umístění Loga; náklady na změnu umístění Loga hradí Pronajímatel;</w:t>
      </w:r>
    </w:p>
    <w:p w14:paraId="7B000E9A" w14:textId="77777777" w:rsidR="00AF3A9B" w:rsidRPr="00BC28F2" w:rsidRDefault="00AF3A9B" w:rsidP="00AF3A9B">
      <w:pPr>
        <w:pStyle w:val="Odstavecseseznamem"/>
      </w:pPr>
    </w:p>
    <w:p w14:paraId="4C3D1A90" w14:textId="77777777" w:rsidR="00AF3A9B" w:rsidRPr="00BC28F2" w:rsidRDefault="00AF3A9B" w:rsidP="008501D9">
      <w:pPr>
        <w:pStyle w:val="Zkladntextodsazen"/>
        <w:numPr>
          <w:ilvl w:val="0"/>
          <w:numId w:val="10"/>
        </w:numPr>
        <w:rPr>
          <w:szCs w:val="24"/>
        </w:rPr>
      </w:pPr>
      <w:r w:rsidRPr="00BC28F2">
        <w:rPr>
          <w:szCs w:val="24"/>
        </w:rPr>
        <w:t>Pronajímat</w:t>
      </w:r>
      <w:r w:rsidR="003C4D39" w:rsidRPr="00BC28F2">
        <w:rPr>
          <w:szCs w:val="24"/>
        </w:rPr>
        <w:t>el odpovídá za funkčnost Pylonu;</w:t>
      </w:r>
    </w:p>
    <w:p w14:paraId="5F30E073" w14:textId="77777777" w:rsidR="003C4D39" w:rsidRPr="00BC28F2" w:rsidRDefault="003C4D39" w:rsidP="003C4D39">
      <w:pPr>
        <w:pStyle w:val="Odstavecseseznamem"/>
      </w:pPr>
    </w:p>
    <w:p w14:paraId="711F8952" w14:textId="77777777" w:rsidR="003C4D39" w:rsidRPr="00BC28F2" w:rsidRDefault="003C4D39" w:rsidP="008501D9">
      <w:pPr>
        <w:pStyle w:val="Zkladntextodsazen"/>
        <w:numPr>
          <w:ilvl w:val="0"/>
          <w:numId w:val="10"/>
        </w:numPr>
        <w:rPr>
          <w:szCs w:val="24"/>
        </w:rPr>
      </w:pPr>
      <w:r w:rsidRPr="00BC28F2">
        <w:t>O konkrétním umístění a technickém provedení Loga Nájemce na Pylonu rozhoduje Pronajímatel;</w:t>
      </w:r>
    </w:p>
    <w:p w14:paraId="61E3FE0E" w14:textId="77777777" w:rsidR="003C4D39" w:rsidRPr="00BC28F2" w:rsidRDefault="003C4D39" w:rsidP="003C4D39">
      <w:pPr>
        <w:pStyle w:val="Odstavecseseznamem"/>
      </w:pPr>
    </w:p>
    <w:p w14:paraId="02965540" w14:textId="77777777" w:rsidR="003C4D39" w:rsidRPr="00BC28F2" w:rsidRDefault="003C4D39" w:rsidP="008501D9">
      <w:pPr>
        <w:pStyle w:val="Zkladntextodsazen"/>
        <w:numPr>
          <w:ilvl w:val="0"/>
          <w:numId w:val="10"/>
        </w:numPr>
      </w:pPr>
      <w:r w:rsidRPr="00BC28F2">
        <w:t>Pronajímatel na náklad Nájemce zajistí výrobu Loga a jeho instalaci na Pylonu.</w:t>
      </w:r>
    </w:p>
    <w:p w14:paraId="5C513CE2" w14:textId="77777777" w:rsidR="003C4D39" w:rsidRPr="00BC28F2" w:rsidRDefault="003C4D39" w:rsidP="00F718B3">
      <w:pPr>
        <w:pStyle w:val="Zkladntextodsazen"/>
        <w:rPr>
          <w:szCs w:val="24"/>
        </w:rPr>
      </w:pPr>
    </w:p>
    <w:p w14:paraId="339992A1" w14:textId="77777777" w:rsidR="002402CF" w:rsidRPr="00BC28F2" w:rsidRDefault="00FE0298" w:rsidP="00F718B3">
      <w:pPr>
        <w:pStyle w:val="Zkladntextodsazen"/>
        <w:ind w:firstLine="0"/>
        <w:rPr>
          <w:szCs w:val="24"/>
        </w:rPr>
      </w:pPr>
      <w:r w:rsidRPr="00BC28F2">
        <w:rPr>
          <w:szCs w:val="24"/>
        </w:rPr>
        <w:t xml:space="preserve">2.   </w:t>
      </w:r>
      <w:r w:rsidR="00AC2751" w:rsidRPr="00BC28F2">
        <w:rPr>
          <w:szCs w:val="24"/>
        </w:rPr>
        <w:t xml:space="preserve">Práva a povinnosti </w:t>
      </w:r>
      <w:r w:rsidR="00736484" w:rsidRPr="00BC28F2">
        <w:rPr>
          <w:szCs w:val="24"/>
        </w:rPr>
        <w:t>Nájemc</w:t>
      </w:r>
      <w:r w:rsidR="002402CF" w:rsidRPr="00BC28F2">
        <w:rPr>
          <w:szCs w:val="24"/>
        </w:rPr>
        <w:t>e:</w:t>
      </w:r>
    </w:p>
    <w:p w14:paraId="259B03E1" w14:textId="77777777" w:rsidR="00F3456A" w:rsidRPr="00BC28F2" w:rsidRDefault="00F3456A" w:rsidP="00F718B3">
      <w:pPr>
        <w:pStyle w:val="Zkladntextodsazen"/>
        <w:ind w:firstLine="0"/>
        <w:rPr>
          <w:sz w:val="8"/>
          <w:szCs w:val="8"/>
        </w:rPr>
      </w:pPr>
    </w:p>
    <w:p w14:paraId="46F09CF7" w14:textId="77777777" w:rsidR="00573F90" w:rsidRPr="00BC28F2" w:rsidRDefault="00736484" w:rsidP="00FE0298">
      <w:pPr>
        <w:pStyle w:val="Zkladntextodsazen"/>
        <w:numPr>
          <w:ilvl w:val="0"/>
          <w:numId w:val="14"/>
        </w:numPr>
        <w:rPr>
          <w:szCs w:val="24"/>
        </w:rPr>
      </w:pPr>
      <w:r w:rsidRPr="00BC28F2">
        <w:rPr>
          <w:szCs w:val="24"/>
        </w:rPr>
        <w:t>Nájemc</w:t>
      </w:r>
      <w:r w:rsidR="00573F90" w:rsidRPr="00BC28F2">
        <w:rPr>
          <w:szCs w:val="24"/>
        </w:rPr>
        <w:t xml:space="preserve">e je oprávněn užívat </w:t>
      </w:r>
      <w:r w:rsidR="00E947A2" w:rsidRPr="00BC28F2">
        <w:rPr>
          <w:szCs w:val="24"/>
        </w:rPr>
        <w:t>Logo</w:t>
      </w:r>
      <w:r w:rsidR="00573F90" w:rsidRPr="00BC28F2">
        <w:rPr>
          <w:szCs w:val="24"/>
        </w:rPr>
        <w:t xml:space="preserve"> </w:t>
      </w:r>
      <w:r w:rsidR="00683E0D" w:rsidRPr="00BC28F2">
        <w:rPr>
          <w:szCs w:val="24"/>
        </w:rPr>
        <w:t xml:space="preserve">v souladu s touto </w:t>
      </w:r>
      <w:r w:rsidRPr="00BC28F2">
        <w:rPr>
          <w:szCs w:val="24"/>
        </w:rPr>
        <w:t>Smlouv</w:t>
      </w:r>
      <w:r w:rsidR="00683E0D" w:rsidRPr="00BC28F2">
        <w:rPr>
          <w:szCs w:val="24"/>
        </w:rPr>
        <w:t xml:space="preserve">ou a obecně závaznými právními předpisy. Současně je </w:t>
      </w:r>
      <w:r w:rsidRPr="00BC28F2">
        <w:rPr>
          <w:szCs w:val="24"/>
        </w:rPr>
        <w:t>Nájemc</w:t>
      </w:r>
      <w:r w:rsidR="00683E0D" w:rsidRPr="00BC28F2">
        <w:rPr>
          <w:szCs w:val="24"/>
        </w:rPr>
        <w:t xml:space="preserve">e povinen se při užívání </w:t>
      </w:r>
      <w:r w:rsidR="00E947A2" w:rsidRPr="00BC28F2">
        <w:rPr>
          <w:szCs w:val="24"/>
        </w:rPr>
        <w:t>Loga na Pylonu</w:t>
      </w:r>
      <w:r w:rsidR="00683E0D" w:rsidRPr="00BC28F2">
        <w:rPr>
          <w:szCs w:val="24"/>
        </w:rPr>
        <w:t xml:space="preserve"> zdržet </w:t>
      </w:r>
      <w:r w:rsidR="005322B1" w:rsidRPr="00BC28F2">
        <w:rPr>
          <w:szCs w:val="24"/>
        </w:rPr>
        <w:t>v</w:t>
      </w:r>
      <w:r w:rsidR="00683E0D" w:rsidRPr="00BC28F2">
        <w:rPr>
          <w:szCs w:val="24"/>
        </w:rPr>
        <w:t xml:space="preserve">šeho čím by nad míru přiměřenou poměrům obtěžoval </w:t>
      </w:r>
      <w:r w:rsidR="00BE4EF7" w:rsidRPr="00BC28F2">
        <w:rPr>
          <w:szCs w:val="24"/>
        </w:rPr>
        <w:t>Pronajímatel</w:t>
      </w:r>
      <w:r w:rsidR="00683E0D" w:rsidRPr="00BC28F2">
        <w:rPr>
          <w:szCs w:val="24"/>
        </w:rPr>
        <w:t xml:space="preserve">e či třetí osoby a </w:t>
      </w:r>
      <w:r w:rsidR="00E947A2" w:rsidRPr="00BC28F2">
        <w:rPr>
          <w:szCs w:val="24"/>
        </w:rPr>
        <w:t>Logo na Pylonu</w:t>
      </w:r>
      <w:r w:rsidR="00683E0D" w:rsidRPr="00BC28F2">
        <w:rPr>
          <w:szCs w:val="24"/>
        </w:rPr>
        <w:t xml:space="preserve"> užívat šetrně tak, aby užíváním nebyl na</w:t>
      </w:r>
      <w:r w:rsidR="00E947A2" w:rsidRPr="00BC28F2">
        <w:rPr>
          <w:szCs w:val="24"/>
        </w:rPr>
        <w:t xml:space="preserve">rušen </w:t>
      </w:r>
      <w:r w:rsidR="00683E0D" w:rsidRPr="00BC28F2">
        <w:rPr>
          <w:szCs w:val="24"/>
        </w:rPr>
        <w:t>stavebnětechnický stav</w:t>
      </w:r>
      <w:r w:rsidR="00E947A2" w:rsidRPr="00BC28F2">
        <w:rPr>
          <w:szCs w:val="24"/>
        </w:rPr>
        <w:t xml:space="preserve"> Pylonu</w:t>
      </w:r>
      <w:r w:rsidR="00683E0D" w:rsidRPr="00BC28F2">
        <w:rPr>
          <w:szCs w:val="24"/>
        </w:rPr>
        <w:t xml:space="preserve"> a nedocházelo k</w:t>
      </w:r>
      <w:r w:rsidR="00E947A2" w:rsidRPr="00BC28F2">
        <w:rPr>
          <w:szCs w:val="24"/>
        </w:rPr>
        <w:t xml:space="preserve"> je</w:t>
      </w:r>
      <w:r w:rsidR="00683E0D" w:rsidRPr="00BC28F2">
        <w:rPr>
          <w:szCs w:val="24"/>
        </w:rPr>
        <w:t>h</w:t>
      </w:r>
      <w:r w:rsidR="00E947A2" w:rsidRPr="00BC28F2">
        <w:rPr>
          <w:szCs w:val="24"/>
        </w:rPr>
        <w:t>o</w:t>
      </w:r>
      <w:r w:rsidR="00683E0D" w:rsidRPr="00BC28F2">
        <w:rPr>
          <w:szCs w:val="24"/>
        </w:rPr>
        <w:t> nadměrnému opotřebení.</w:t>
      </w:r>
    </w:p>
    <w:p w14:paraId="17C27B7C" w14:textId="77777777" w:rsidR="00B02698" w:rsidRPr="00BC28F2" w:rsidRDefault="00B02698" w:rsidP="00B02698">
      <w:pPr>
        <w:pStyle w:val="Zkladntextodsazen"/>
        <w:ind w:left="360" w:firstLine="0"/>
        <w:rPr>
          <w:szCs w:val="24"/>
        </w:rPr>
      </w:pPr>
    </w:p>
    <w:p w14:paraId="1B081007" w14:textId="77777777" w:rsidR="000848FF" w:rsidRPr="00BC28F2" w:rsidRDefault="00736484" w:rsidP="008501D9">
      <w:pPr>
        <w:pStyle w:val="Zkladntextodsazen"/>
        <w:numPr>
          <w:ilvl w:val="0"/>
          <w:numId w:val="14"/>
        </w:numPr>
        <w:rPr>
          <w:szCs w:val="24"/>
        </w:rPr>
      </w:pPr>
      <w:r w:rsidRPr="00BC28F2">
        <w:rPr>
          <w:szCs w:val="24"/>
        </w:rPr>
        <w:t>Nájemc</w:t>
      </w:r>
      <w:r w:rsidR="00BC3499" w:rsidRPr="00BC28F2">
        <w:rPr>
          <w:szCs w:val="24"/>
        </w:rPr>
        <w:t xml:space="preserve">e </w:t>
      </w:r>
      <w:r w:rsidR="00203211" w:rsidRPr="00BC28F2">
        <w:rPr>
          <w:szCs w:val="24"/>
        </w:rPr>
        <w:t>není</w:t>
      </w:r>
      <w:r w:rsidR="00BC3499" w:rsidRPr="00BC28F2">
        <w:rPr>
          <w:szCs w:val="24"/>
        </w:rPr>
        <w:t xml:space="preserve"> </w:t>
      </w:r>
      <w:r w:rsidR="00203211" w:rsidRPr="00BC28F2">
        <w:rPr>
          <w:szCs w:val="24"/>
        </w:rPr>
        <w:t>oprávněn</w:t>
      </w:r>
      <w:r w:rsidR="00BC3499" w:rsidRPr="00BC28F2">
        <w:rPr>
          <w:szCs w:val="24"/>
        </w:rPr>
        <w:t xml:space="preserve"> </w:t>
      </w:r>
      <w:r w:rsidR="00E947A2" w:rsidRPr="00BC28F2">
        <w:rPr>
          <w:szCs w:val="24"/>
        </w:rPr>
        <w:t>užívat jiné umístění pro Logo</w:t>
      </w:r>
      <w:r w:rsidR="00E441EF" w:rsidRPr="00BC28F2">
        <w:rPr>
          <w:szCs w:val="24"/>
        </w:rPr>
        <w:t xml:space="preserve"> než to, které mu bylo </w:t>
      </w:r>
      <w:r w:rsidR="00AB002A" w:rsidRPr="00BC28F2">
        <w:rPr>
          <w:szCs w:val="24"/>
        </w:rPr>
        <w:t xml:space="preserve">na Pylonu </w:t>
      </w:r>
      <w:r w:rsidR="00E441EF" w:rsidRPr="00BC28F2">
        <w:rPr>
          <w:szCs w:val="24"/>
        </w:rPr>
        <w:t>přiděleno Pronajímatelem</w:t>
      </w:r>
      <w:r w:rsidR="00BC3499" w:rsidRPr="00BC28F2">
        <w:rPr>
          <w:szCs w:val="24"/>
        </w:rPr>
        <w:t>;</w:t>
      </w:r>
    </w:p>
    <w:p w14:paraId="1F5B9710" w14:textId="77777777" w:rsidR="00B02698" w:rsidRPr="00BC28F2" w:rsidRDefault="00B02698" w:rsidP="00B02698">
      <w:pPr>
        <w:pStyle w:val="Zkladntextodsazen"/>
        <w:ind w:left="360" w:firstLine="0"/>
        <w:rPr>
          <w:szCs w:val="24"/>
        </w:rPr>
      </w:pPr>
    </w:p>
    <w:p w14:paraId="17BF1556" w14:textId="77777777" w:rsidR="00047131" w:rsidRPr="00BC28F2" w:rsidRDefault="00E441EF" w:rsidP="008501D9">
      <w:pPr>
        <w:pStyle w:val="Zkladntextodsazen"/>
        <w:numPr>
          <w:ilvl w:val="0"/>
          <w:numId w:val="14"/>
        </w:numPr>
        <w:rPr>
          <w:szCs w:val="24"/>
        </w:rPr>
      </w:pPr>
      <w:r w:rsidRPr="00BC28F2">
        <w:rPr>
          <w:szCs w:val="24"/>
        </w:rPr>
        <w:t xml:space="preserve">Nájemce je povinen předložit Pronajímateli vizualizaci </w:t>
      </w:r>
      <w:r w:rsidR="00AF3A9B" w:rsidRPr="00BC28F2">
        <w:rPr>
          <w:szCs w:val="24"/>
        </w:rPr>
        <w:t>se</w:t>
      </w:r>
      <w:r w:rsidR="005322B1" w:rsidRPr="00BC28F2">
        <w:rPr>
          <w:szCs w:val="24"/>
        </w:rPr>
        <w:t xml:space="preserve"> zobrazením Loga </w:t>
      </w:r>
      <w:r w:rsidR="00AF3A9B" w:rsidRPr="00BC28F2">
        <w:rPr>
          <w:szCs w:val="24"/>
        </w:rPr>
        <w:t xml:space="preserve">na Pylonu pro jeho odsouhlasení Pronajímatelem; Pronajímatel není povinen udělit souhlas s umístěním Loga na Pylonu je-li </w:t>
      </w:r>
      <w:r w:rsidR="009952E1" w:rsidRPr="00BC28F2">
        <w:rPr>
          <w:szCs w:val="24"/>
        </w:rPr>
        <w:t>Logo</w:t>
      </w:r>
      <w:r w:rsidR="00AF3A9B" w:rsidRPr="00BC28F2">
        <w:rPr>
          <w:szCs w:val="24"/>
        </w:rPr>
        <w:t xml:space="preserve"> v rozporu se standardní</w:t>
      </w:r>
      <w:r w:rsidR="005322B1" w:rsidRPr="00BC28F2">
        <w:rPr>
          <w:szCs w:val="24"/>
        </w:rPr>
        <w:t>m</w:t>
      </w:r>
      <w:r w:rsidR="00AF3A9B" w:rsidRPr="00BC28F2">
        <w:rPr>
          <w:szCs w:val="24"/>
        </w:rPr>
        <w:t xml:space="preserve"> Pronajímatelem užívaným typem označení ostatních nájemců</w:t>
      </w:r>
      <w:r w:rsidR="00FF7D62" w:rsidRPr="00BC28F2">
        <w:rPr>
          <w:szCs w:val="24"/>
        </w:rPr>
        <w:t>.</w:t>
      </w:r>
    </w:p>
    <w:p w14:paraId="18A23386" w14:textId="77777777" w:rsidR="00B02698" w:rsidRPr="00BC28F2" w:rsidRDefault="00B02698" w:rsidP="00B02698">
      <w:pPr>
        <w:pStyle w:val="Zkladntextodsazen"/>
        <w:ind w:left="360" w:firstLine="0"/>
        <w:rPr>
          <w:szCs w:val="24"/>
        </w:rPr>
      </w:pPr>
    </w:p>
    <w:p w14:paraId="219F66C3" w14:textId="77777777" w:rsidR="00082F9E" w:rsidRPr="00BC28F2" w:rsidRDefault="00AF3A9B" w:rsidP="00082F9E">
      <w:pPr>
        <w:pStyle w:val="Zkladntextodsazen"/>
        <w:numPr>
          <w:ilvl w:val="0"/>
          <w:numId w:val="14"/>
        </w:numPr>
        <w:rPr>
          <w:szCs w:val="24"/>
        </w:rPr>
      </w:pPr>
      <w:r w:rsidRPr="00BC28F2">
        <w:rPr>
          <w:szCs w:val="24"/>
        </w:rPr>
        <w:t>Nájemce je povinen udržovat Logo</w:t>
      </w:r>
      <w:r w:rsidR="00FF7D62" w:rsidRPr="00BC28F2">
        <w:rPr>
          <w:szCs w:val="24"/>
        </w:rPr>
        <w:t xml:space="preserve"> </w:t>
      </w:r>
      <w:r w:rsidRPr="00BC28F2">
        <w:rPr>
          <w:szCs w:val="24"/>
        </w:rPr>
        <w:t>na svůj náklad</w:t>
      </w:r>
      <w:r w:rsidR="0090030C" w:rsidRPr="00BC28F2">
        <w:rPr>
          <w:szCs w:val="24"/>
        </w:rPr>
        <w:t>, a to včetně výměny, obměny, údržby či jeho odstranění</w:t>
      </w:r>
      <w:r w:rsidRPr="00BC28F2">
        <w:rPr>
          <w:szCs w:val="24"/>
        </w:rPr>
        <w:t>;</w:t>
      </w:r>
      <w:r w:rsidR="005322B1" w:rsidRPr="00BC28F2">
        <w:t xml:space="preserve"> Tedy veškeré náklady související s Logem Nájemce na Pylonu (např. výměna, změna Loga či jeho výměna z důvodu poškození) jsou k tíži Nájemce a řeší se po předchozí dohodě s Pronajímatelem;</w:t>
      </w:r>
    </w:p>
    <w:p w14:paraId="7B35FA76" w14:textId="77777777" w:rsidR="00AF3A9B" w:rsidRPr="00BC28F2" w:rsidRDefault="00AF3A9B" w:rsidP="00AF3A9B">
      <w:pPr>
        <w:pStyle w:val="Odstavecseseznamem"/>
      </w:pPr>
    </w:p>
    <w:p w14:paraId="60D686D6" w14:textId="7C3C3D01" w:rsidR="00AF3A9B" w:rsidRPr="00BC28F2" w:rsidRDefault="00AF3A9B" w:rsidP="00082F9E">
      <w:pPr>
        <w:pStyle w:val="Zkladntextodsazen"/>
        <w:numPr>
          <w:ilvl w:val="0"/>
          <w:numId w:val="14"/>
        </w:numPr>
        <w:rPr>
          <w:szCs w:val="24"/>
        </w:rPr>
      </w:pPr>
      <w:r w:rsidRPr="00BC28F2">
        <w:rPr>
          <w:szCs w:val="24"/>
        </w:rPr>
        <w:t>Nájemce je povinen uhradit Pronajímateli</w:t>
      </w:r>
      <w:r w:rsidR="00A62A2E" w:rsidRPr="00BC28F2">
        <w:rPr>
          <w:szCs w:val="24"/>
        </w:rPr>
        <w:t xml:space="preserve">, případně dle dohody </w:t>
      </w:r>
      <w:r w:rsidR="0058254B" w:rsidRPr="00BC28F2">
        <w:rPr>
          <w:szCs w:val="24"/>
        </w:rPr>
        <w:t xml:space="preserve">s Pronajímatelem </w:t>
      </w:r>
      <w:r w:rsidR="00A62A2E" w:rsidRPr="00BC28F2">
        <w:rPr>
          <w:szCs w:val="24"/>
        </w:rPr>
        <w:t>p</w:t>
      </w:r>
      <w:r w:rsidR="003A6FFA" w:rsidRPr="00BC28F2">
        <w:rPr>
          <w:szCs w:val="24"/>
        </w:rPr>
        <w:t>římo dodavateli</w:t>
      </w:r>
      <w:r w:rsidR="00D76363" w:rsidRPr="00BC28F2">
        <w:rPr>
          <w:szCs w:val="24"/>
        </w:rPr>
        <w:t xml:space="preserve"> Loga</w:t>
      </w:r>
      <w:r w:rsidR="0058254B" w:rsidRPr="00BC28F2">
        <w:rPr>
          <w:szCs w:val="24"/>
        </w:rPr>
        <w:t>,</w:t>
      </w:r>
      <w:r w:rsidR="003A6FFA" w:rsidRPr="00BC28F2">
        <w:rPr>
          <w:szCs w:val="24"/>
        </w:rPr>
        <w:t xml:space="preserve"> </w:t>
      </w:r>
      <w:r w:rsidR="00C40CA5" w:rsidRPr="00BC28F2">
        <w:rPr>
          <w:szCs w:val="24"/>
        </w:rPr>
        <w:t xml:space="preserve">předem dohodnuté </w:t>
      </w:r>
      <w:r w:rsidRPr="00BC28F2">
        <w:rPr>
          <w:szCs w:val="24"/>
        </w:rPr>
        <w:t>náklady související s instalací Loga na Pylonu;</w:t>
      </w:r>
    </w:p>
    <w:p w14:paraId="20FFB741" w14:textId="77777777" w:rsidR="00AF3A9B" w:rsidRPr="00BC28F2" w:rsidRDefault="00AF3A9B" w:rsidP="00AF3A9B">
      <w:pPr>
        <w:pStyle w:val="Odstavecseseznamem"/>
      </w:pPr>
    </w:p>
    <w:p w14:paraId="0D260797" w14:textId="77777777" w:rsidR="00AF3A9B" w:rsidRPr="00BC28F2" w:rsidRDefault="00AF3A9B" w:rsidP="00082F9E">
      <w:pPr>
        <w:pStyle w:val="Zkladntextodsazen"/>
        <w:numPr>
          <w:ilvl w:val="0"/>
          <w:numId w:val="14"/>
        </w:numPr>
        <w:rPr>
          <w:szCs w:val="24"/>
        </w:rPr>
      </w:pPr>
      <w:r w:rsidRPr="00BC28F2">
        <w:rPr>
          <w:szCs w:val="24"/>
        </w:rPr>
        <w:t>Nájemce je povinen udržovat Logo</w:t>
      </w:r>
      <w:r w:rsidRPr="00BC28F2">
        <w:t xml:space="preserve"> na Pylonu v bezvadném stavu, prostou vizuálního porušení či hrubých </w:t>
      </w:r>
      <w:r w:rsidR="005322B1" w:rsidRPr="00BC28F2">
        <w:t>nečistot.</w:t>
      </w:r>
    </w:p>
    <w:p w14:paraId="06FDF092" w14:textId="77777777" w:rsidR="00A62A2E" w:rsidRPr="00BC28F2" w:rsidRDefault="00A62A2E" w:rsidP="008634A7">
      <w:pPr>
        <w:pStyle w:val="Zkladntextodsazen"/>
        <w:ind w:firstLine="0"/>
        <w:jc w:val="center"/>
        <w:rPr>
          <w:b/>
          <w:bCs/>
          <w:szCs w:val="24"/>
        </w:rPr>
      </w:pPr>
    </w:p>
    <w:p w14:paraId="5702B3CE" w14:textId="77777777" w:rsidR="0029295E" w:rsidRPr="00BC28F2" w:rsidRDefault="00D93689" w:rsidP="008634A7">
      <w:pPr>
        <w:pStyle w:val="Zkladntextodsazen"/>
        <w:ind w:firstLine="0"/>
        <w:jc w:val="center"/>
        <w:rPr>
          <w:b/>
          <w:bCs/>
          <w:szCs w:val="24"/>
        </w:rPr>
      </w:pPr>
      <w:r w:rsidRPr="00BC28F2">
        <w:rPr>
          <w:b/>
          <w:bCs/>
          <w:szCs w:val="24"/>
        </w:rPr>
        <w:t>V</w:t>
      </w:r>
      <w:r w:rsidR="0029295E" w:rsidRPr="00BC28F2">
        <w:rPr>
          <w:b/>
          <w:bCs/>
          <w:szCs w:val="24"/>
        </w:rPr>
        <w:t>.</w:t>
      </w:r>
    </w:p>
    <w:p w14:paraId="1DB8CA78" w14:textId="77777777" w:rsidR="00AA4E21" w:rsidRPr="00BC28F2" w:rsidRDefault="00AA4E21" w:rsidP="00FE6284">
      <w:pPr>
        <w:pStyle w:val="Zkladntextodsazen"/>
        <w:ind w:firstLine="0"/>
        <w:jc w:val="center"/>
        <w:rPr>
          <w:b/>
          <w:bCs/>
          <w:sz w:val="8"/>
          <w:szCs w:val="8"/>
        </w:rPr>
      </w:pPr>
    </w:p>
    <w:p w14:paraId="553C0EE5" w14:textId="77777777" w:rsidR="00271245" w:rsidRPr="00BC28F2" w:rsidRDefault="00271245" w:rsidP="00271245">
      <w:pPr>
        <w:pStyle w:val="Zkladntextodsazen"/>
        <w:ind w:left="426" w:hanging="426"/>
        <w:rPr>
          <w:szCs w:val="24"/>
        </w:rPr>
      </w:pPr>
    </w:p>
    <w:p w14:paraId="7C1454F5" w14:textId="4000341A" w:rsidR="002E007A" w:rsidRPr="00BC28F2" w:rsidRDefault="006C548D" w:rsidP="00AB002A">
      <w:pPr>
        <w:pStyle w:val="Zkladntextodsazen"/>
        <w:numPr>
          <w:ilvl w:val="0"/>
          <w:numId w:val="17"/>
        </w:numPr>
        <w:tabs>
          <w:tab w:val="clear" w:pos="720"/>
          <w:tab w:val="num" w:pos="426"/>
        </w:tabs>
        <w:ind w:left="426" w:hanging="426"/>
        <w:rPr>
          <w:szCs w:val="24"/>
        </w:rPr>
      </w:pPr>
      <w:r w:rsidRPr="00BC28F2">
        <w:rPr>
          <w:szCs w:val="24"/>
        </w:rPr>
        <w:t>Za každé jednotlivé</w:t>
      </w:r>
      <w:r w:rsidR="0029295E" w:rsidRPr="00BC28F2">
        <w:rPr>
          <w:szCs w:val="24"/>
        </w:rPr>
        <w:t xml:space="preserve"> </w:t>
      </w:r>
      <w:r w:rsidRPr="00BC28F2">
        <w:rPr>
          <w:szCs w:val="24"/>
        </w:rPr>
        <w:t xml:space="preserve">porušení závazku </w:t>
      </w:r>
      <w:r w:rsidR="00736484" w:rsidRPr="00BC28F2">
        <w:rPr>
          <w:szCs w:val="24"/>
        </w:rPr>
        <w:t>Nájemc</w:t>
      </w:r>
      <w:r w:rsidRPr="00BC28F2">
        <w:rPr>
          <w:szCs w:val="24"/>
        </w:rPr>
        <w:t xml:space="preserve">e vyplývající z této </w:t>
      </w:r>
      <w:r w:rsidR="00736484" w:rsidRPr="00BC28F2">
        <w:rPr>
          <w:szCs w:val="24"/>
        </w:rPr>
        <w:t>Smlouv</w:t>
      </w:r>
      <w:r w:rsidRPr="00BC28F2">
        <w:rPr>
          <w:szCs w:val="24"/>
        </w:rPr>
        <w:t>y, nebo z obecně závazného právního předpisu</w:t>
      </w:r>
      <w:r w:rsidR="00AF3A9B" w:rsidRPr="00BC28F2">
        <w:rPr>
          <w:szCs w:val="24"/>
        </w:rPr>
        <w:t>,</w:t>
      </w:r>
      <w:r w:rsidRPr="00BC28F2">
        <w:rPr>
          <w:szCs w:val="24"/>
        </w:rPr>
        <w:t xml:space="preserve"> a to za každý případ a započatý den, po který porušení trvalo po marném uplynutí </w:t>
      </w:r>
      <w:r w:rsidR="008E0B25" w:rsidRPr="00BC28F2">
        <w:rPr>
          <w:szCs w:val="24"/>
        </w:rPr>
        <w:t>jednodenní</w:t>
      </w:r>
      <w:r w:rsidRPr="00BC28F2">
        <w:rPr>
          <w:szCs w:val="24"/>
        </w:rPr>
        <w:t xml:space="preserve"> dodatečné lhůty k napravení závadného stavu pod </w:t>
      </w:r>
      <w:r w:rsidRPr="00BC28F2">
        <w:rPr>
          <w:szCs w:val="24"/>
        </w:rPr>
        <w:lastRenderedPageBreak/>
        <w:t xml:space="preserve">podmínkou, že je náprava závadného stavu s ohledem na charakter porušení závazku možná, je </w:t>
      </w:r>
      <w:r w:rsidR="00736484" w:rsidRPr="00BC28F2">
        <w:rPr>
          <w:szCs w:val="24"/>
        </w:rPr>
        <w:t>Nájemc</w:t>
      </w:r>
      <w:r w:rsidRPr="00BC28F2">
        <w:rPr>
          <w:szCs w:val="24"/>
        </w:rPr>
        <w:t xml:space="preserve">e povinen </w:t>
      </w:r>
      <w:r w:rsidR="00BE4EF7" w:rsidRPr="00BC28F2">
        <w:rPr>
          <w:szCs w:val="24"/>
        </w:rPr>
        <w:t>Pronajímatel</w:t>
      </w:r>
      <w:r w:rsidRPr="00BC28F2">
        <w:rPr>
          <w:szCs w:val="24"/>
        </w:rPr>
        <w:t xml:space="preserve">i uhradit smluvní pokutu ve výši </w:t>
      </w:r>
      <w:r w:rsidR="008E0B25" w:rsidRPr="00BC28F2">
        <w:rPr>
          <w:szCs w:val="24"/>
        </w:rPr>
        <w:t>1.000</w:t>
      </w:r>
      <w:r w:rsidRPr="00BC28F2">
        <w:rPr>
          <w:szCs w:val="24"/>
        </w:rPr>
        <w:t>,- Kč</w:t>
      </w:r>
      <w:r w:rsidR="00AB002A" w:rsidRPr="00BC28F2">
        <w:rPr>
          <w:szCs w:val="24"/>
        </w:rPr>
        <w:t xml:space="preserve"> (max. však vždy 20.000,- Kč)</w:t>
      </w:r>
      <w:r w:rsidRPr="00BC28F2">
        <w:rPr>
          <w:szCs w:val="24"/>
        </w:rPr>
        <w:t xml:space="preserve">. </w:t>
      </w:r>
      <w:r w:rsidR="00920FFA" w:rsidRPr="00BC28F2">
        <w:rPr>
          <w:szCs w:val="24"/>
        </w:rPr>
        <w:t xml:space="preserve">Poruší-li </w:t>
      </w:r>
      <w:r w:rsidR="00736484" w:rsidRPr="00BC28F2">
        <w:rPr>
          <w:szCs w:val="24"/>
        </w:rPr>
        <w:t>Nájemc</w:t>
      </w:r>
      <w:r w:rsidR="00920FFA" w:rsidRPr="00BC28F2">
        <w:rPr>
          <w:szCs w:val="24"/>
        </w:rPr>
        <w:t>e závazek daného typu v</w:t>
      </w:r>
      <w:r w:rsidR="00AB002A" w:rsidRPr="00BC28F2">
        <w:rPr>
          <w:szCs w:val="24"/>
        </w:rPr>
        <w:t xml:space="preserve"> daném kalendářním čtvrtletí </w:t>
      </w:r>
      <w:r w:rsidR="00920FFA" w:rsidRPr="00BC28F2">
        <w:rPr>
          <w:szCs w:val="24"/>
        </w:rPr>
        <w:t xml:space="preserve">po druhé či opakovaně je </w:t>
      </w:r>
      <w:r w:rsidR="00736484" w:rsidRPr="00BC28F2">
        <w:rPr>
          <w:szCs w:val="24"/>
        </w:rPr>
        <w:t>Nájemc</w:t>
      </w:r>
      <w:r w:rsidR="00920FFA" w:rsidRPr="00BC28F2">
        <w:rPr>
          <w:szCs w:val="24"/>
        </w:rPr>
        <w:t>e povinen</w:t>
      </w:r>
      <w:r w:rsidR="00AB002A" w:rsidRPr="00BC28F2">
        <w:rPr>
          <w:szCs w:val="24"/>
        </w:rPr>
        <w:t xml:space="preserve">, a to výhradně po zbytek daného kalendářního čtvrtletí, kdy k opakovanému porušení došlo, </w:t>
      </w:r>
      <w:r w:rsidR="00920FFA" w:rsidRPr="00BC28F2">
        <w:rPr>
          <w:szCs w:val="24"/>
        </w:rPr>
        <w:t xml:space="preserve">zaplatit </w:t>
      </w:r>
      <w:r w:rsidR="00BE4EF7" w:rsidRPr="00BC28F2">
        <w:rPr>
          <w:szCs w:val="24"/>
        </w:rPr>
        <w:t>Pronajímatel</w:t>
      </w:r>
      <w:r w:rsidR="00920FFA" w:rsidRPr="00BC28F2">
        <w:rPr>
          <w:szCs w:val="24"/>
        </w:rPr>
        <w:t xml:space="preserve">i smluvní pokutu ve výši </w:t>
      </w:r>
      <w:r w:rsidR="008E0B25" w:rsidRPr="00BC28F2">
        <w:rPr>
          <w:szCs w:val="24"/>
        </w:rPr>
        <w:t>1.000</w:t>
      </w:r>
      <w:r w:rsidR="00920FFA" w:rsidRPr="00BC28F2">
        <w:rPr>
          <w:szCs w:val="24"/>
        </w:rPr>
        <w:t xml:space="preserve">,- Kč </w:t>
      </w:r>
      <w:r w:rsidR="00AB002A" w:rsidRPr="00BC28F2">
        <w:rPr>
          <w:szCs w:val="24"/>
        </w:rPr>
        <w:t xml:space="preserve">(max. však vždy 20.000,- Kč) </w:t>
      </w:r>
      <w:r w:rsidR="00920FFA" w:rsidRPr="00BC28F2">
        <w:rPr>
          <w:szCs w:val="24"/>
        </w:rPr>
        <w:t xml:space="preserve">za každé jednotlivé porušení závazku ze strany </w:t>
      </w:r>
      <w:r w:rsidR="00736484" w:rsidRPr="00BC28F2">
        <w:rPr>
          <w:szCs w:val="24"/>
        </w:rPr>
        <w:t>Nájemc</w:t>
      </w:r>
      <w:r w:rsidR="00920FFA" w:rsidRPr="00BC28F2">
        <w:rPr>
          <w:szCs w:val="24"/>
        </w:rPr>
        <w:t xml:space="preserve">e, a to za každý </w:t>
      </w:r>
      <w:r w:rsidR="00AB002A" w:rsidRPr="00BC28F2">
        <w:rPr>
          <w:szCs w:val="24"/>
        </w:rPr>
        <w:t xml:space="preserve">další </w:t>
      </w:r>
      <w:r w:rsidR="00920FFA" w:rsidRPr="00BC28F2">
        <w:rPr>
          <w:szCs w:val="24"/>
        </w:rPr>
        <w:t xml:space="preserve">případ a započatý den, po který porušení trvalo, aniž by byl </w:t>
      </w:r>
      <w:r w:rsidR="00BE4EF7" w:rsidRPr="00BC28F2">
        <w:rPr>
          <w:szCs w:val="24"/>
        </w:rPr>
        <w:t>Pronajímatel</w:t>
      </w:r>
      <w:r w:rsidR="00920FFA" w:rsidRPr="00BC28F2">
        <w:rPr>
          <w:szCs w:val="24"/>
        </w:rPr>
        <w:t xml:space="preserve"> povinen </w:t>
      </w:r>
      <w:r w:rsidR="00736484" w:rsidRPr="00BC28F2">
        <w:rPr>
          <w:szCs w:val="24"/>
        </w:rPr>
        <w:t>Nájemc</w:t>
      </w:r>
      <w:r w:rsidR="00920FFA" w:rsidRPr="00BC28F2">
        <w:rPr>
          <w:szCs w:val="24"/>
        </w:rPr>
        <w:t xml:space="preserve">e upozornit na porušení závazku daného typu </w:t>
      </w:r>
      <w:r w:rsidR="00736484" w:rsidRPr="00BC28F2">
        <w:rPr>
          <w:szCs w:val="24"/>
        </w:rPr>
        <w:t>Nájemc</w:t>
      </w:r>
      <w:r w:rsidR="00920FFA" w:rsidRPr="00BC28F2">
        <w:rPr>
          <w:szCs w:val="24"/>
        </w:rPr>
        <w:t xml:space="preserve">em a </w:t>
      </w:r>
      <w:r w:rsidR="00BE4EF7" w:rsidRPr="00BC28F2">
        <w:rPr>
          <w:szCs w:val="24"/>
        </w:rPr>
        <w:t>Pronajímatel</w:t>
      </w:r>
      <w:r w:rsidR="00920FFA" w:rsidRPr="00BC28F2">
        <w:rPr>
          <w:szCs w:val="24"/>
        </w:rPr>
        <w:t xml:space="preserve"> rovněž není </w:t>
      </w:r>
      <w:r w:rsidR="00FE0298" w:rsidRPr="00BC28F2">
        <w:rPr>
          <w:szCs w:val="24"/>
        </w:rPr>
        <w:t xml:space="preserve">v takovém případě </w:t>
      </w:r>
      <w:r w:rsidR="00920FFA" w:rsidRPr="00BC28F2">
        <w:rPr>
          <w:szCs w:val="24"/>
        </w:rPr>
        <w:t>povinen</w:t>
      </w:r>
      <w:r w:rsidR="00AF1D15" w:rsidRPr="00BC28F2">
        <w:rPr>
          <w:szCs w:val="24"/>
        </w:rPr>
        <w:t xml:space="preserve"> </w:t>
      </w:r>
      <w:r w:rsidR="00920FFA" w:rsidRPr="00BC28F2">
        <w:rPr>
          <w:szCs w:val="24"/>
        </w:rPr>
        <w:t xml:space="preserve">poskytnout </w:t>
      </w:r>
      <w:r w:rsidR="00736484" w:rsidRPr="00BC28F2">
        <w:rPr>
          <w:szCs w:val="24"/>
        </w:rPr>
        <w:t>Nájemc</w:t>
      </w:r>
      <w:r w:rsidR="00920FFA" w:rsidRPr="00BC28F2">
        <w:rPr>
          <w:szCs w:val="24"/>
        </w:rPr>
        <w:t>i dodatečnou lhůtu k napravení závadného stavu.</w:t>
      </w:r>
      <w:r w:rsidRPr="00BC28F2">
        <w:rPr>
          <w:szCs w:val="24"/>
        </w:rPr>
        <w:t xml:space="preserve"> </w:t>
      </w:r>
    </w:p>
    <w:p w14:paraId="330C3F2E" w14:textId="77777777" w:rsidR="00762570" w:rsidRPr="00BC28F2" w:rsidRDefault="00762570" w:rsidP="00ED22D0">
      <w:pPr>
        <w:pStyle w:val="Zkladntextodsazen"/>
        <w:ind w:firstLine="0"/>
        <w:jc w:val="center"/>
        <w:rPr>
          <w:b/>
          <w:bCs/>
          <w:szCs w:val="24"/>
        </w:rPr>
      </w:pPr>
    </w:p>
    <w:p w14:paraId="77E08B12" w14:textId="77777777" w:rsidR="0029295E" w:rsidRPr="00BC28F2" w:rsidRDefault="0029295E">
      <w:pPr>
        <w:pStyle w:val="Zkladntextodsazen"/>
        <w:ind w:firstLine="0"/>
        <w:jc w:val="center"/>
        <w:rPr>
          <w:b/>
          <w:bCs/>
          <w:szCs w:val="24"/>
        </w:rPr>
      </w:pPr>
      <w:r w:rsidRPr="00BC28F2">
        <w:rPr>
          <w:b/>
          <w:bCs/>
          <w:szCs w:val="24"/>
        </w:rPr>
        <w:t>V</w:t>
      </w:r>
      <w:r w:rsidR="00A426E3" w:rsidRPr="00BC28F2">
        <w:rPr>
          <w:b/>
          <w:bCs/>
          <w:szCs w:val="24"/>
        </w:rPr>
        <w:t>I</w:t>
      </w:r>
      <w:r w:rsidRPr="00BC28F2">
        <w:rPr>
          <w:b/>
          <w:bCs/>
          <w:szCs w:val="24"/>
        </w:rPr>
        <w:t>.</w:t>
      </w:r>
    </w:p>
    <w:p w14:paraId="7C4416B0" w14:textId="77777777" w:rsidR="008634A7" w:rsidRPr="00BC28F2" w:rsidRDefault="008634A7">
      <w:pPr>
        <w:pStyle w:val="Zkladntextodsazen"/>
        <w:ind w:firstLine="0"/>
        <w:jc w:val="center"/>
        <w:rPr>
          <w:b/>
          <w:bCs/>
          <w:szCs w:val="24"/>
        </w:rPr>
      </w:pPr>
    </w:p>
    <w:p w14:paraId="5B276661" w14:textId="77777777" w:rsidR="006D567D" w:rsidRPr="00BC28F2" w:rsidRDefault="006D567D" w:rsidP="00697BAF">
      <w:pPr>
        <w:pStyle w:val="Zkladntextodsazen"/>
        <w:numPr>
          <w:ilvl w:val="0"/>
          <w:numId w:val="6"/>
        </w:numPr>
        <w:tabs>
          <w:tab w:val="clear" w:pos="360"/>
          <w:tab w:val="num" w:pos="426"/>
        </w:tabs>
        <w:ind w:left="426" w:hanging="426"/>
        <w:rPr>
          <w:szCs w:val="24"/>
        </w:rPr>
      </w:pPr>
      <w:r w:rsidRPr="00BC28F2">
        <w:rPr>
          <w:szCs w:val="24"/>
        </w:rPr>
        <w:t xml:space="preserve">Výše </w:t>
      </w:r>
      <w:r w:rsidR="00822BE6" w:rsidRPr="00BC28F2">
        <w:rPr>
          <w:szCs w:val="24"/>
        </w:rPr>
        <w:t>nájemné</w:t>
      </w:r>
      <w:r w:rsidR="008E0B25" w:rsidRPr="00BC28F2">
        <w:rPr>
          <w:szCs w:val="24"/>
        </w:rPr>
        <w:t>ho</w:t>
      </w:r>
      <w:r w:rsidRPr="00BC28F2">
        <w:rPr>
          <w:szCs w:val="24"/>
        </w:rPr>
        <w:t xml:space="preserve"> za </w:t>
      </w:r>
      <w:r w:rsidR="00B4230E" w:rsidRPr="00BC28F2">
        <w:rPr>
          <w:szCs w:val="24"/>
        </w:rPr>
        <w:t>pronajat</w:t>
      </w:r>
      <w:r w:rsidR="00697BAF" w:rsidRPr="00BC28F2">
        <w:rPr>
          <w:szCs w:val="24"/>
        </w:rPr>
        <w:t xml:space="preserve">é </w:t>
      </w:r>
      <w:r w:rsidR="005322B1" w:rsidRPr="00BC28F2">
        <w:rPr>
          <w:szCs w:val="24"/>
        </w:rPr>
        <w:t>Logo</w:t>
      </w:r>
      <w:r w:rsidR="00A83FFA" w:rsidRPr="00BC28F2">
        <w:rPr>
          <w:szCs w:val="24"/>
        </w:rPr>
        <w:t xml:space="preserve"> </w:t>
      </w:r>
      <w:r w:rsidR="00C84665" w:rsidRPr="00BC28F2">
        <w:rPr>
          <w:szCs w:val="24"/>
        </w:rPr>
        <w:t>dle</w:t>
      </w:r>
      <w:r w:rsidRPr="00BC28F2">
        <w:rPr>
          <w:szCs w:val="24"/>
        </w:rPr>
        <w:t xml:space="preserve"> této </w:t>
      </w:r>
      <w:r w:rsidR="00736484" w:rsidRPr="00BC28F2">
        <w:rPr>
          <w:szCs w:val="24"/>
        </w:rPr>
        <w:t>Smlouv</w:t>
      </w:r>
      <w:r w:rsidRPr="00BC28F2">
        <w:rPr>
          <w:szCs w:val="24"/>
        </w:rPr>
        <w:t xml:space="preserve">y byla stanovena dohodou smluvních stran </w:t>
      </w:r>
      <w:r w:rsidR="00D93689" w:rsidRPr="00BC28F2">
        <w:rPr>
          <w:szCs w:val="24"/>
        </w:rPr>
        <w:t xml:space="preserve">ve výši </w:t>
      </w:r>
      <w:r w:rsidR="00E40A94" w:rsidRPr="00BC28F2">
        <w:rPr>
          <w:b/>
          <w:szCs w:val="24"/>
        </w:rPr>
        <w:t>50</w:t>
      </w:r>
      <w:r w:rsidR="00C22A2E" w:rsidRPr="00BC28F2">
        <w:rPr>
          <w:b/>
          <w:szCs w:val="24"/>
        </w:rPr>
        <w:t>00</w:t>
      </w:r>
      <w:r w:rsidR="0089551A" w:rsidRPr="00BC28F2">
        <w:rPr>
          <w:b/>
          <w:szCs w:val="24"/>
        </w:rPr>
        <w:t xml:space="preserve"> </w:t>
      </w:r>
      <w:r w:rsidR="00E40A94" w:rsidRPr="00BC28F2">
        <w:rPr>
          <w:b/>
          <w:szCs w:val="24"/>
        </w:rPr>
        <w:t>Kč</w:t>
      </w:r>
      <w:r w:rsidR="006B77AE" w:rsidRPr="00BC28F2">
        <w:rPr>
          <w:b/>
          <w:szCs w:val="24"/>
        </w:rPr>
        <w:t xml:space="preserve"> </w:t>
      </w:r>
      <w:r w:rsidRPr="00BC28F2">
        <w:rPr>
          <w:b/>
          <w:bCs/>
          <w:szCs w:val="24"/>
        </w:rPr>
        <w:t>+ DPH</w:t>
      </w:r>
      <w:r w:rsidRPr="00BC28F2">
        <w:rPr>
          <w:szCs w:val="24"/>
        </w:rPr>
        <w:t xml:space="preserve"> v </w:t>
      </w:r>
      <w:r w:rsidR="00B23328" w:rsidRPr="00BC28F2">
        <w:rPr>
          <w:szCs w:val="24"/>
        </w:rPr>
        <w:t xml:space="preserve">zákonné </w:t>
      </w:r>
      <w:r w:rsidRPr="00BC28F2">
        <w:rPr>
          <w:szCs w:val="24"/>
        </w:rPr>
        <w:t>výši</w:t>
      </w:r>
      <w:r w:rsidR="00C84665" w:rsidRPr="00BC28F2">
        <w:rPr>
          <w:szCs w:val="24"/>
        </w:rPr>
        <w:t xml:space="preserve"> </w:t>
      </w:r>
      <w:r w:rsidR="00697BAF" w:rsidRPr="00BC28F2">
        <w:rPr>
          <w:szCs w:val="24"/>
        </w:rPr>
        <w:t xml:space="preserve">za kalendářní měsíc </w:t>
      </w:r>
      <w:r w:rsidR="00FC5026" w:rsidRPr="00BC28F2">
        <w:rPr>
          <w:szCs w:val="24"/>
        </w:rPr>
        <w:t>(dále jen „</w:t>
      </w:r>
      <w:r w:rsidR="00FC5026" w:rsidRPr="00BC28F2">
        <w:rPr>
          <w:b/>
          <w:szCs w:val="24"/>
        </w:rPr>
        <w:t>Nájemné</w:t>
      </w:r>
      <w:r w:rsidR="00FC5026" w:rsidRPr="00BC28F2">
        <w:rPr>
          <w:szCs w:val="24"/>
        </w:rPr>
        <w:t>“)</w:t>
      </w:r>
      <w:r w:rsidR="000D2EB7" w:rsidRPr="00BC28F2">
        <w:rPr>
          <w:szCs w:val="24"/>
        </w:rPr>
        <w:t>.</w:t>
      </w:r>
    </w:p>
    <w:p w14:paraId="118F8E9A" w14:textId="77777777" w:rsidR="00F3456A" w:rsidRPr="00BC28F2" w:rsidRDefault="00F3456A" w:rsidP="00F3456A">
      <w:pPr>
        <w:pStyle w:val="Zkladntextodsazen"/>
        <w:ind w:firstLine="0"/>
        <w:rPr>
          <w:szCs w:val="24"/>
        </w:rPr>
      </w:pPr>
    </w:p>
    <w:p w14:paraId="4B5E6AFC" w14:textId="545EEF04" w:rsidR="000D2EB7" w:rsidRPr="00BC28F2" w:rsidRDefault="00B23328" w:rsidP="00EB41E2">
      <w:pPr>
        <w:pStyle w:val="Zkladntextodsazen"/>
        <w:numPr>
          <w:ilvl w:val="0"/>
          <w:numId w:val="6"/>
        </w:numPr>
        <w:tabs>
          <w:tab w:val="clear" w:pos="360"/>
          <w:tab w:val="num" w:pos="426"/>
        </w:tabs>
        <w:ind w:left="426" w:hanging="426"/>
      </w:pPr>
      <w:r w:rsidRPr="00BC28F2">
        <w:t xml:space="preserve">Nájemce je povinen platit Nájemné předem formou čtvrtletních úhrad na základě daňového dokladu vystaveného Pronajímatelem se splatností </w:t>
      </w:r>
      <w:r w:rsidR="00BB2E22" w:rsidRPr="00BC28F2">
        <w:t>21</w:t>
      </w:r>
      <w:r w:rsidRPr="00BC28F2">
        <w:t xml:space="preserve"> dní od data </w:t>
      </w:r>
      <w:r w:rsidR="00AB002A" w:rsidRPr="00BC28F2">
        <w:t>doručení</w:t>
      </w:r>
      <w:r w:rsidRPr="00BC28F2">
        <w:t xml:space="preserve"> daňového dokladu</w:t>
      </w:r>
      <w:r w:rsidR="00AB002A" w:rsidRPr="00BC28F2">
        <w:t xml:space="preserve"> Nájemci na adresu podatelny Nájemce:</w:t>
      </w:r>
      <w:r w:rsidR="00C40CA5" w:rsidRPr="00BC28F2">
        <w:rPr>
          <w:iCs/>
        </w:rPr>
        <w:t xml:space="preserve"> </w:t>
      </w:r>
      <w:hyperlink r:id="rId10" w:history="1">
        <w:r w:rsidR="00C40CA5" w:rsidRPr="00BC28F2">
          <w:rPr>
            <w:rStyle w:val="Hypertextovodkaz"/>
            <w:iCs/>
          </w:rPr>
          <w:t>podatelna@crr.gov.cz</w:t>
        </w:r>
      </w:hyperlink>
      <w:r w:rsidR="00AB002A" w:rsidRPr="00BC28F2">
        <w:t>; případnou změnu uvedené adresy pro doručování daňových dokladů se Nájemce zavazuje oznámit Pronajímateli písemně v přiměřené době předem</w:t>
      </w:r>
      <w:r w:rsidRPr="00BC28F2">
        <w:t xml:space="preserve">. Nájemné bude hrazeno bezhotovostním převodem na účet Pronajímatele uvedený v daňovém dokladu. Čtvrtletím se rozumí kalendářní čtvrtletí. Začne-li nájemní vztah jindy než k začátku kalendářního čtvrtletí, platí se Nájemné poměrně k probíhajícímu kalendářnímu čtvrtletí. Dnem uhrazení se rozumí připsání předmětné částky na účet Pronajímatele. </w:t>
      </w:r>
    </w:p>
    <w:p w14:paraId="003B1281" w14:textId="77777777" w:rsidR="00F3456A" w:rsidRPr="00BC28F2" w:rsidRDefault="00F3456A" w:rsidP="00F3456A">
      <w:pPr>
        <w:pStyle w:val="Zkladntextodsazen"/>
        <w:ind w:firstLine="0"/>
      </w:pPr>
    </w:p>
    <w:p w14:paraId="754180E1" w14:textId="77777777" w:rsidR="000D2EB7" w:rsidRPr="00BC28F2" w:rsidRDefault="00B23328" w:rsidP="00EB41E2">
      <w:pPr>
        <w:pStyle w:val="Zkladntextodsazen"/>
        <w:numPr>
          <w:ilvl w:val="0"/>
          <w:numId w:val="6"/>
        </w:numPr>
        <w:tabs>
          <w:tab w:val="clear" w:pos="360"/>
          <w:tab w:val="num" w:pos="426"/>
        </w:tabs>
        <w:ind w:left="426" w:hanging="426"/>
      </w:pPr>
      <w:r w:rsidRPr="00BC28F2">
        <w:t>Datem zdanitelného plnění Nájemného je vždy první den kalendářního čtvrtletí, za které se fakturuje. Toto plnění je dílčím zdanitelným plněním v souladu se zákonem o DPH. V případě, že nájemní vztah začne běžet jindy než na začátku kalendářního čtvrtletí, je dnem uskutečnění zdanitelného plnění den nabytí účinnosti této Smlouvy.</w:t>
      </w:r>
      <w:r w:rsidR="000D2EB7" w:rsidRPr="00BC28F2">
        <w:t xml:space="preserve"> </w:t>
      </w:r>
    </w:p>
    <w:p w14:paraId="6CFA2369" w14:textId="77777777" w:rsidR="00E51798" w:rsidRPr="00BC28F2" w:rsidRDefault="00E51798" w:rsidP="00E51798">
      <w:pPr>
        <w:pStyle w:val="Zkladntextodsazen"/>
        <w:ind w:firstLine="0"/>
      </w:pPr>
    </w:p>
    <w:p w14:paraId="532D5BF8" w14:textId="233D5DBE" w:rsidR="00E51798" w:rsidRPr="00BC28F2" w:rsidRDefault="00107F04" w:rsidP="00107F04">
      <w:pPr>
        <w:pStyle w:val="Zkladntextodsazen"/>
        <w:numPr>
          <w:ilvl w:val="0"/>
          <w:numId w:val="6"/>
        </w:numPr>
        <w:tabs>
          <w:tab w:val="clear" w:pos="360"/>
          <w:tab w:val="num" w:pos="426"/>
        </w:tabs>
        <w:ind w:left="426" w:hanging="426"/>
      </w:pPr>
      <w:r w:rsidRPr="00BC28F2">
        <w:t>V souladu s níže uvedenými pravidly a za dále uvedených podmínek je Pronajímatel oprávněn vždy k 1. lednu každého kalendářního roku doby trvání nájmu upravit výši Nájemného (poprvé k </w:t>
      </w:r>
      <w:r w:rsidRPr="00BC28F2">
        <w:rPr>
          <w:b/>
        </w:rPr>
        <w:t>1. lednu 202</w:t>
      </w:r>
      <w:r w:rsidR="00CE39FE" w:rsidRPr="00BC28F2">
        <w:rPr>
          <w:b/>
        </w:rPr>
        <w:t>7</w:t>
      </w:r>
      <w:r w:rsidRPr="00BC28F2">
        <w:t xml:space="preserve">) </w:t>
      </w:r>
      <w:bookmarkStart w:id="2" w:name="_Hlk138932455"/>
      <w:r w:rsidRPr="00BC28F2">
        <w:t xml:space="preserve">o </w:t>
      </w:r>
      <w:r w:rsidRPr="00BC28F2">
        <w:rPr>
          <w:color w:val="000000"/>
        </w:rPr>
        <w:t xml:space="preserve">míru inflace oznámenou Českým statistickým úřadem </w:t>
      </w:r>
      <w:bookmarkStart w:id="3" w:name="_Hlk115186994"/>
      <w:r w:rsidRPr="00BC28F2">
        <w:rPr>
          <w:color w:val="000000"/>
        </w:rPr>
        <w:t>(ČSÚ) za předchozí kalendářní rok</w:t>
      </w:r>
      <w:bookmarkEnd w:id="3"/>
      <w:r w:rsidRPr="00BC28F2">
        <w:rPr>
          <w:color w:val="000000"/>
        </w:rPr>
        <w:t xml:space="preserve"> dle indexu spotřebitelských cen (CPI</w:t>
      </w:r>
      <w:bookmarkEnd w:id="2"/>
      <w:r w:rsidRPr="00BC28F2">
        <w:rPr>
          <w:color w:val="000000"/>
        </w:rPr>
        <w:t>)</w:t>
      </w:r>
      <w:r w:rsidRPr="00BC28F2">
        <w:t xml:space="preserve"> (dále jen „</w:t>
      </w:r>
      <w:r w:rsidRPr="00BC28F2">
        <w:rPr>
          <w:b/>
        </w:rPr>
        <w:t>Inflace</w:t>
      </w:r>
      <w:r w:rsidRPr="00BC28F2">
        <w:t>“), a to podle pravidel uvedených v odst. 5 tohoto § Smlouvy.</w:t>
      </w:r>
    </w:p>
    <w:p w14:paraId="0E2E176F" w14:textId="77777777" w:rsidR="00E51798" w:rsidRPr="00BC28F2" w:rsidRDefault="00E51798" w:rsidP="00E51798">
      <w:pPr>
        <w:pStyle w:val="Zkladntextodsazen"/>
        <w:ind w:firstLine="0"/>
      </w:pPr>
    </w:p>
    <w:p w14:paraId="1945A4BD" w14:textId="77777777" w:rsidR="00107F04" w:rsidRPr="00BC28F2" w:rsidRDefault="00107F04" w:rsidP="00107F04">
      <w:pPr>
        <w:pStyle w:val="Zkladntextodsazen"/>
        <w:numPr>
          <w:ilvl w:val="0"/>
          <w:numId w:val="6"/>
        </w:numPr>
        <w:tabs>
          <w:tab w:val="clear" w:pos="360"/>
          <w:tab w:val="num" w:pos="426"/>
        </w:tabs>
        <w:ind w:left="426" w:hanging="426"/>
      </w:pPr>
      <w:r w:rsidRPr="00BC28F2">
        <w:t xml:space="preserve">Pravidla a podmínky pro úpravu Nájemného jsou tato: </w:t>
      </w:r>
    </w:p>
    <w:p w14:paraId="1FCDAEF8" w14:textId="77777777" w:rsidR="00107F04" w:rsidRPr="00BC28F2" w:rsidRDefault="00107F04" w:rsidP="00107F04">
      <w:pPr>
        <w:ind w:left="540"/>
        <w:jc w:val="both"/>
        <w:rPr>
          <w:u w:val="single"/>
        </w:rPr>
      </w:pPr>
    </w:p>
    <w:p w14:paraId="30BE1E6F" w14:textId="77777777" w:rsidR="00107F04" w:rsidRPr="00BC28F2" w:rsidRDefault="00107F04" w:rsidP="00107F04">
      <w:pPr>
        <w:ind w:left="426"/>
        <w:jc w:val="both"/>
      </w:pPr>
      <w:r w:rsidRPr="00BC28F2">
        <w:t>Nové Nájemné pro daný kalendářní rok vypočítáno dle následujícího vzorce:</w:t>
      </w:r>
    </w:p>
    <w:p w14:paraId="08A266F6" w14:textId="77777777" w:rsidR="00107F04" w:rsidRPr="00BC28F2" w:rsidRDefault="00107F04" w:rsidP="00107F04">
      <w:pPr>
        <w:ind w:left="540"/>
        <w:jc w:val="both"/>
        <w:rPr>
          <w:u w:val="single"/>
        </w:rPr>
      </w:pPr>
    </w:p>
    <w:p w14:paraId="5954AEA7" w14:textId="77777777" w:rsidR="00107F04" w:rsidRPr="00BC28F2" w:rsidRDefault="00107F04" w:rsidP="00107F04">
      <w:pPr>
        <w:ind w:left="426"/>
        <w:jc w:val="both"/>
        <w:rPr>
          <w:u w:val="single"/>
        </w:rPr>
      </w:pPr>
      <w:r w:rsidRPr="00BC28F2">
        <w:rPr>
          <w:u w:val="single"/>
        </w:rPr>
        <w:t>Referenční vzorec a výpočet</w:t>
      </w:r>
    </w:p>
    <w:p w14:paraId="20BD1ADB" w14:textId="77777777" w:rsidR="00107F04" w:rsidRPr="00BC28F2" w:rsidRDefault="00107F04" w:rsidP="00107F04">
      <w:pPr>
        <w:ind w:left="540"/>
        <w:jc w:val="both"/>
      </w:pPr>
    </w:p>
    <w:p w14:paraId="11BC0367" w14:textId="77777777" w:rsidR="00107F04" w:rsidRPr="00BC28F2" w:rsidRDefault="008F0B41" w:rsidP="00107F04">
      <w:pPr>
        <w:ind w:left="540"/>
        <w:jc w:val="both"/>
        <w:rPr>
          <w:b/>
          <w:bCs/>
          <w:iCs/>
        </w:rPr>
      </w:pPr>
      <w:r>
        <w:rPr>
          <w:noProof/>
        </w:rPr>
        <w:pict w14:anchorId="0BEC7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5pt;height:27.7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stylePaneFormatFilter w:val=&quot;3F01&quot;/&gt;&lt;w:defaultTabStop w:val=&quot;709&quot;/&gt;&lt;w:hyphenationZone w:val=&quot;425&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306FE5&quot;/&gt;&lt;wsp:rsid wsp:val=&quot;00006B26&quot;/&gt;&lt;wsp:rsid wsp:val=&quot;00007B63&quot;/&gt;&lt;wsp:rsid wsp:val=&quot;00011CA7&quot;/&gt;&lt;wsp:rsid wsp:val=&quot;000179F3&quot;/&gt;&lt;wsp:rsid wsp:val=&quot;00022D45&quot;/&gt;&lt;wsp:rsid wsp:val=&quot;00023CB6&quot;/&gt;&lt;wsp:rsid wsp:val=&quot;0002620C&quot;/&gt;&lt;wsp:rsid wsp:val=&quot;00031A61&quot;/&gt;&lt;wsp:rsid wsp:val=&quot;00036382&quot;/&gt;&lt;wsp:rsid wsp:val=&quot;0004016D&quot;/&gt;&lt;wsp:rsid wsp:val=&quot;00047131&quot;/&gt;&lt;wsp:rsid wsp:val=&quot;00051CA9&quot;/&gt;&lt;wsp:rsid wsp:val=&quot;00054BF2&quot;/&gt;&lt;wsp:rsid wsp:val=&quot;00082F9E&quot;/&gt;&lt;wsp:rsid wsp:val=&quot;00083975&quot;/&gt;&lt;wsp:rsid wsp:val=&quot;000848FF&quot;/&gt;&lt;wsp:rsid wsp:val=&quot;00092DFF&quot;/&gt;&lt;wsp:rsid wsp:val=&quot;000957FC&quot;/&gt;&lt;wsp:rsid wsp:val=&quot;00097580&quot;/&gt;&lt;wsp:rsid wsp:val=&quot;000D2EB7&quot;/&gt;&lt;wsp:rsid wsp:val=&quot;000D2ED4&quot;/&gt;&lt;wsp:rsid wsp:val=&quot;000E24CC&quot;/&gt;&lt;wsp:rsid wsp:val=&quot;000F159F&quot;/&gt;&lt;wsp:rsid wsp:val=&quot;00101BB1&quot;/&gt;&lt;wsp:rsid wsp:val=&quot;001124AD&quot;/&gt;&lt;wsp:rsid wsp:val=&quot;00135041&quot;/&gt;&lt;wsp:rsid wsp:val=&quot;00137D4B&quot;/&gt;&lt;wsp:rsid wsp:val=&quot;0014622A&quot;/&gt;&lt;wsp:rsid wsp:val=&quot;00147336&quot;/&gt;&lt;wsp:rsid wsp:val=&quot;0016083C&quot;/&gt;&lt;wsp:rsid wsp:val=&quot;00166ABF&quot;/&gt;&lt;wsp:rsid wsp:val=&quot;0017065F&quot;/&gt;&lt;wsp:rsid wsp:val=&quot;0018054D&quot;/&gt;&lt;wsp:rsid wsp:val=&quot;00186F98&quot;/&gt;&lt;wsp:rsid wsp:val=&quot;001953C6&quot;/&gt;&lt;wsp:rsid wsp:val=&quot;001D1BB6&quot;/&gt;&lt;wsp:rsid wsp:val=&quot;001F4676&quot;/&gt;&lt;wsp:rsid wsp:val=&quot;001F75CD&quot;/&gt;&lt;wsp:rsid wsp:val=&quot;0020259F&quot;/&gt;&lt;wsp:rsid wsp:val=&quot;00203211&quot;/&gt;&lt;wsp:rsid wsp:val=&quot;00217689&quot;/&gt;&lt;wsp:rsid wsp:val=&quot;00220AC9&quot;/&gt;&lt;wsp:rsid wsp:val=&quot;00227822&quot;/&gt;&lt;wsp:rsid wsp:val=&quot;00227DA2&quot;/&gt;&lt;wsp:rsid wsp:val=&quot;00233991&quot;/&gt;&lt;wsp:rsid wsp:val=&quot;002402CF&quot;/&gt;&lt;wsp:rsid wsp:val=&quot;00244B93&quot;/&gt;&lt;wsp:rsid wsp:val=&quot;00257315&quot;/&gt;&lt;wsp:rsid wsp:val=&quot;00263B37&quot;/&gt;&lt;wsp:rsid wsp:val=&quot;00267656&quot;/&gt;&lt;wsp:rsid wsp:val=&quot;00267C1E&quot;/&gt;&lt;wsp:rsid wsp:val=&quot;00271245&quot;/&gt;&lt;wsp:rsid wsp:val=&quot;002800BD&quot;/&gt;&lt;wsp:rsid wsp:val=&quot;00285949&quot;/&gt;&lt;wsp:rsid wsp:val=&quot;0029295E&quot;/&gt;&lt;wsp:rsid wsp:val=&quot;00293586&quot;/&gt;&lt;wsp:rsid wsp:val=&quot;002A4118&quot;/&gt;&lt;wsp:rsid wsp:val=&quot;002A5F78&quot;/&gt;&lt;wsp:rsid wsp:val=&quot;002C17D9&quot;/&gt;&lt;wsp:rsid wsp:val=&quot;002D189B&quot;/&gt;&lt;wsp:rsid wsp:val=&quot;002D3DB8&quot;/&gt;&lt;wsp:rsid wsp:val=&quot;002E007A&quot;/&gt;&lt;wsp:rsid wsp:val=&quot;00301F36&quot;/&gt;&lt;wsp:rsid wsp:val=&quot;00306FE5&quot;/&gt;&lt;wsp:rsid wsp:val=&quot;003073BA&quot;/&gt;&lt;wsp:rsid wsp:val=&quot;00307CA1&quot;/&gt;&lt;wsp:rsid wsp:val=&quot;00335826&quot;/&gt;&lt;wsp:rsid wsp:val=&quot;00342B39&quot;/&gt;&lt;wsp:rsid wsp:val=&quot;003442E8&quot;/&gt;&lt;wsp:rsid wsp:val=&quot;00351E8B&quot;/&gt;&lt;wsp:rsid wsp:val=&quot;00355578&quot;/&gt;&lt;wsp:rsid wsp:val=&quot;003A17E6&quot;/&gt;&lt;wsp:rsid wsp:val=&quot;003A3DA8&quot;/&gt;&lt;wsp:rsid wsp:val=&quot;003B11F3&quot;/&gt;&lt;wsp:rsid wsp:val=&quot;003B1A97&quot;/&gt;&lt;wsp:rsid wsp:val=&quot;003B375D&quot;/&gt;&lt;wsp:rsid wsp:val=&quot;003C26FC&quot;/&gt;&lt;wsp:rsid wsp:val=&quot;003D04C4&quot;/&gt;&lt;wsp:rsid wsp:val=&quot;00400D07&quot;/&gt;&lt;wsp:rsid wsp:val=&quot;00406EB6&quot;/&gt;&lt;wsp:rsid wsp:val=&quot;004106E4&quot;/&gt;&lt;wsp:rsid wsp:val=&quot;00411974&quot;/&gt;&lt;wsp:rsid wsp:val=&quot;0041558A&quot;/&gt;&lt;wsp:rsid wsp:val=&quot;00423D4C&quot;/&gt;&lt;wsp:rsid wsp:val=&quot;004320E3&quot;/&gt;&lt;wsp:rsid wsp:val=&quot;00435062&quot;/&gt;&lt;wsp:rsid wsp:val=&quot;00467EC9&quot;/&gt;&lt;wsp:rsid wsp:val=&quot;00474386&quot;/&gt;&lt;wsp:rsid wsp:val=&quot;00474773&quot;/&gt;&lt;wsp:rsid wsp:val=&quot;004903BE&quot;/&gt;&lt;wsp:rsid wsp:val=&quot;004A425B&quot;/&gt;&lt;wsp:rsid wsp:val=&quot;004C0C4A&quot;/&gt;&lt;wsp:rsid wsp:val=&quot;004C4E7A&quot;/&gt;&lt;wsp:rsid wsp:val=&quot;004D365D&quot;/&gt;&lt;wsp:rsid wsp:val=&quot;004E7D34&quot;/&gt;&lt;wsp:rsid wsp:val=&quot;004F7985&quot;/&gt;&lt;wsp:rsid wsp:val=&quot;005014EC&quot;/&gt;&lt;wsp:rsid wsp:val=&quot;005042C2&quot;/&gt;&lt;wsp:rsid wsp:val=&quot;00505224&quot;/&gt;&lt;wsp:rsid wsp:val=&quot;00506985&quot;/&gt;&lt;wsp:rsid wsp:val=&quot;005153B7&quot;/&gt;&lt;wsp:rsid wsp:val=&quot;005275A7&quot;/&gt;&lt;wsp:rsid wsp:val=&quot;00530B16&quot;/&gt;&lt;wsp:rsid wsp:val=&quot;00531FFF&quot;/&gt;&lt;wsp:rsid wsp:val=&quot;00545D90&quot;/&gt;&lt;wsp:rsid wsp:val=&quot;005476E1&quot;/&gt;&lt;wsp:rsid wsp:val=&quot;00562512&quot;/&gt;&lt;wsp:rsid wsp:val=&quot;00573F90&quot;/&gt;&lt;wsp:rsid wsp:val=&quot;00577287&quot;/&gt;&lt;wsp:rsid wsp:val=&quot;00577D58&quot;/&gt;&lt;wsp:rsid wsp:val=&quot;0058637E&quot;/&gt;&lt;wsp:rsid wsp:val=&quot;005C494F&quot;/&gt;&lt;wsp:rsid wsp:val=&quot;005E05B6&quot;/&gt;&lt;wsp:rsid wsp:val=&quot;005F50D8&quot;/&gt;&lt;wsp:rsid wsp:val=&quot;00601CF0&quot;/&gt;&lt;wsp:rsid wsp:val=&quot;006077D9&quot;/&gt;&lt;wsp:rsid wsp:val=&quot;00610131&quot;/&gt;&lt;wsp:rsid wsp:val=&quot;00615A58&quot;/&gt;&lt;wsp:rsid wsp:val=&quot;006450C4&quot;/&gt;&lt;wsp:rsid wsp:val=&quot;00645C1F&quot;/&gt;&lt;wsp:rsid wsp:val=&quot;00646062&quot;/&gt;&lt;wsp:rsid wsp:val=&quot;00677D44&quot;/&gt;&lt;wsp:rsid wsp:val=&quot;0068111E&quot;/&gt;&lt;wsp:rsid wsp:val=&quot;00683E0D&quot;/&gt;&lt;wsp:rsid wsp:val=&quot;006944DF&quot;/&gt;&lt;wsp:rsid wsp:val=&quot;006A08EA&quot;/&gt;&lt;wsp:rsid wsp:val=&quot;006B0ABC&quot;/&gt;&lt;wsp:rsid wsp:val=&quot;006C221A&quot;/&gt;&lt;wsp:rsid wsp:val=&quot;006C3518&quot;/&gt;&lt;wsp:rsid wsp:val=&quot;006C548D&quot;/&gt;&lt;wsp:rsid wsp:val=&quot;006C763B&quot;/&gt;&lt;wsp:rsid wsp:val=&quot;006D0FFD&quot;/&gt;&lt;wsp:rsid wsp:val=&quot;006D567D&quot;/&gt;&lt;wsp:rsid wsp:val=&quot;006F2C2B&quot;/&gt;&lt;wsp:rsid wsp:val=&quot;0070068E&quot;/&gt;&lt;wsp:rsid wsp:val=&quot;0071539F&quot;/&gt;&lt;wsp:rsid wsp:val=&quot;007175CE&quot;/&gt;&lt;wsp:rsid wsp:val=&quot;00736484&quot;/&gt;&lt;wsp:rsid wsp:val=&quot;007463FA&quot;/&gt;&lt;wsp:rsid wsp:val=&quot;00760944&quot;/&gt;&lt;wsp:rsid wsp:val=&quot;00762570&quot;/&gt;&lt;wsp:rsid wsp:val=&quot;00767430&quot;/&gt;&lt;wsp:rsid wsp:val=&quot;007718A1&quot;/&gt;&lt;wsp:rsid wsp:val=&quot;007757AE&quot;/&gt;&lt;wsp:rsid wsp:val=&quot;00780057&quot;/&gt;&lt;wsp:rsid wsp:val=&quot;007811FB&quot;/&gt;&lt;wsp:rsid wsp:val=&quot;007A072F&quot;/&gt;&lt;wsp:rsid wsp:val=&quot;007B2F54&quot;/&gt;&lt;wsp:rsid wsp:val=&quot;007C1536&quot;/&gt;&lt;wsp:rsid wsp:val=&quot;007D5E52&quot;/&gt;&lt;wsp:rsid wsp:val=&quot;007E7762&quot;/&gt;&lt;wsp:rsid wsp:val=&quot;007F01AD&quot;/&gt;&lt;wsp:rsid wsp:val=&quot;00813B13&quot;/&gt;&lt;wsp:rsid wsp:val=&quot;008228FC&quot;/&gt;&lt;wsp:rsid wsp:val=&quot;00822BE6&quot;/&gt;&lt;wsp:rsid wsp:val=&quot;00827A4C&quot;/&gt;&lt;wsp:rsid wsp:val=&quot;0083224F&quot;/&gt;&lt;wsp:rsid wsp:val=&quot;008435B4&quot;/&gt;&lt;wsp:rsid wsp:val=&quot;00846BA1&quot;/&gt;&lt;wsp:rsid wsp:val=&quot;008501D9&quot;/&gt;&lt;wsp:rsid wsp:val=&quot;00861276&quot;/&gt;&lt;wsp:rsid wsp:val=&quot;008670C3&quot;/&gt;&lt;wsp:rsid wsp:val=&quot;00876B3E&quot;/&gt;&lt;wsp:rsid wsp:val=&quot;00881598&quot;/&gt;&lt;wsp:rsid wsp:val=&quot;0089551A&quot;/&gt;&lt;wsp:rsid wsp:val=&quot;008A0A12&quot;/&gt;&lt;wsp:rsid wsp:val=&quot;008A3F8B&quot;/&gt;&lt;wsp:rsid wsp:val=&quot;008A5016&quot;/&gt;&lt;wsp:rsid wsp:val=&quot;008A6701&quot;/&gt;&lt;wsp:rsid wsp:val=&quot;008A7274&quot;/&gt;&lt;wsp:rsid wsp:val=&quot;008C18AD&quot;/&gt;&lt;wsp:rsid wsp:val=&quot;008D248A&quot;/&gt;&lt;wsp:rsid wsp:val=&quot;008D75E5&quot;/&gt;&lt;wsp:rsid wsp:val=&quot;008E0B25&quot;/&gt;&lt;wsp:rsid wsp:val=&quot;008E0C73&quot;/&gt;&lt;wsp:rsid wsp:val=&quot;008E0D85&quot;/&gt;&lt;wsp:rsid wsp:val=&quot;00911F1F&quot;/&gt;&lt;wsp:rsid wsp:val=&quot;00920FFA&quot;/&gt;&lt;wsp:rsid wsp:val=&quot;00924133&quot;/&gt;&lt;wsp:rsid wsp:val=&quot;009265E8&quot;/&gt;&lt;wsp:rsid wsp:val=&quot;009306C4&quot;/&gt;&lt;wsp:rsid wsp:val=&quot;00934CCE&quot;/&gt;&lt;wsp:rsid wsp:val=&quot;00942B3A&quot;/&gt;&lt;wsp:rsid wsp:val=&quot;00945618&quot;/&gt;&lt;wsp:rsid wsp:val=&quot;00976314&quot;/&gt;&lt;wsp:rsid wsp:val=&quot;0098005A&quot;/&gt;&lt;wsp:rsid wsp:val=&quot;00982B94&quot;/&gt;&lt;wsp:rsid wsp:val=&quot;00987595&quot;/&gt;&lt;wsp:rsid wsp:val=&quot;00987B22&quot;/&gt;&lt;wsp:rsid wsp:val=&quot;009903A3&quot;/&gt;&lt;wsp:rsid wsp:val=&quot;009942E4&quot;/&gt;&lt;wsp:rsid wsp:val=&quot;009B6E00&quot;/&gt;&lt;wsp:rsid wsp:val=&quot;009E348D&quot;/&gt;&lt;wsp:rsid wsp:val=&quot;009E798D&quot;/&gt;&lt;wsp:rsid wsp:val=&quot;009F03C0&quot;/&gt;&lt;wsp:rsid wsp:val=&quot;00A04E49&quot;/&gt;&lt;wsp:rsid wsp:val=&quot;00A27B6B&quot;/&gt;&lt;wsp:rsid wsp:val=&quot;00A32450&quot;/&gt;&lt;wsp:rsid wsp:val=&quot;00A426E3&quot;/&gt;&lt;wsp:rsid wsp:val=&quot;00A5265C&quot;/&gt;&lt;wsp:rsid wsp:val=&quot;00A52C50&quot;/&gt;&lt;wsp:rsid wsp:val=&quot;00A54CD9&quot;/&gt;&lt;wsp:rsid wsp:val=&quot;00A71131&quot;/&gt;&lt;wsp:rsid wsp:val=&quot;00A71E03&quot;/&gt;&lt;wsp:rsid wsp:val=&quot;00A83FFA&quot;/&gt;&lt;wsp:rsid wsp:val=&quot;00AA4E21&quot;/&gt;&lt;wsp:rsid wsp:val=&quot;00AB2C62&quot;/&gt;&lt;wsp:rsid wsp:val=&quot;00AC1108&quot;/&gt;&lt;wsp:rsid wsp:val=&quot;00AC2751&quot;/&gt;&lt;wsp:rsid wsp:val=&quot;00AD6EED&quot;/&gt;&lt;wsp:rsid wsp:val=&quot;00AE23C4&quot;/&gt;&lt;wsp:rsid wsp:val=&quot;00AF1D15&quot;/&gt;&lt;wsp:rsid wsp:val=&quot;00AF70A9&quot;/&gt;&lt;wsp:rsid wsp:val=&quot;00B02698&quot;/&gt;&lt;wsp:rsid wsp:val=&quot;00B05C02&quot;/&gt;&lt;wsp:rsid wsp:val=&quot;00B103ED&quot;/&gt;&lt;wsp:rsid wsp:val=&quot;00B128E5&quot;/&gt;&lt;wsp:rsid wsp:val=&quot;00B211BC&quot;/&gt;&lt;wsp:rsid wsp:val=&quot;00B23328&quot;/&gt;&lt;wsp:rsid wsp:val=&quot;00B305D9&quot;/&gt;&lt;wsp:rsid wsp:val=&quot;00B30F46&quot;/&gt;&lt;wsp:rsid wsp:val=&quot;00B36304&quot;/&gt;&lt;wsp:rsid wsp:val=&quot;00B4230E&quot;/&gt;&lt;wsp:rsid wsp:val=&quot;00B56CEA&quot;/&gt;&lt;wsp:rsid wsp:val=&quot;00B67F4B&quot;/&gt;&lt;wsp:rsid wsp:val=&quot;00B73052&quot;/&gt;&lt;wsp:rsid wsp:val=&quot;00B73D89&quot;/&gt;&lt;wsp:rsid wsp:val=&quot;00B941B8&quot;/&gt;&lt;wsp:rsid wsp:val=&quot;00B948AC&quot;/&gt;&lt;wsp:rsid wsp:val=&quot;00B96CF1&quot;/&gt;&lt;wsp:rsid wsp:val=&quot;00B97B56&quot;/&gt;&lt;wsp:rsid wsp:val=&quot;00BC2F40&quot;/&gt;&lt;wsp:rsid wsp:val=&quot;00BC3499&quot;/&gt;&lt;wsp:rsid wsp:val=&quot;00BC4F5C&quot;/&gt;&lt;wsp:rsid wsp:val=&quot;00BC6525&quot;/&gt;&lt;wsp:rsid wsp:val=&quot;00BC7E7C&quot;/&gt;&lt;wsp:rsid wsp:val=&quot;00BD286C&quot;/&gt;&lt;wsp:rsid wsp:val=&quot;00BE49D4&quot;/&gt;&lt;wsp:rsid wsp:val=&quot;00BE4EF7&quot;/&gt;&lt;wsp:rsid wsp:val=&quot;00BE6D1D&quot;/&gt;&lt;wsp:rsid wsp:val=&quot;00BF6FF8&quot;/&gt;&lt;wsp:rsid wsp:val=&quot;00C12257&quot;/&gt;&lt;wsp:rsid wsp:val=&quot;00C259E0&quot;/&gt;&lt;wsp:rsid wsp:val=&quot;00C3112A&quot;/&gt;&lt;wsp:rsid wsp:val=&quot;00C42349&quot;/&gt;&lt;wsp:rsid wsp:val=&quot;00C5393C&quot;/&gt;&lt;wsp:rsid wsp:val=&quot;00C84665&quot;/&gt;&lt;wsp:rsid wsp:val=&quot;00C90775&quot;/&gt;&lt;wsp:rsid wsp:val=&quot;00CA2831&quot;/&gt;&lt;wsp:rsid wsp:val=&quot;00CD1B25&quot;/&gt;&lt;wsp:rsid wsp:val=&quot;00CE1B37&quot;/&gt;&lt;wsp:rsid wsp:val=&quot;00CE7793&quot;/&gt;&lt;wsp:rsid wsp:val=&quot;00CF2E5C&quot;/&gt;&lt;wsp:rsid wsp:val=&quot;00CF3403&quot;/&gt;&lt;wsp:rsid wsp:val=&quot;00D00AFE&quot;/&gt;&lt;wsp:rsid wsp:val=&quot;00D067A0&quot;/&gt;&lt;wsp:rsid wsp:val=&quot;00D10A12&quot;/&gt;&lt;wsp:rsid wsp:val=&quot;00D11745&quot;/&gt;&lt;wsp:rsid wsp:val=&quot;00D15E70&quot;/&gt;&lt;wsp:rsid wsp:val=&quot;00D231BA&quot;/&gt;&lt;wsp:rsid wsp:val=&quot;00D23B7F&quot;/&gt;&lt;wsp:rsid wsp:val=&quot;00D47BBB&quot;/&gt;&lt;wsp:rsid wsp:val=&quot;00D50EE8&quot;/&gt;&lt;wsp:rsid wsp:val=&quot;00D53782&quot;/&gt;&lt;wsp:rsid wsp:val=&quot;00D664A5&quot;/&gt;&lt;wsp:rsid wsp:val=&quot;00D7724A&quot;/&gt;&lt;wsp:rsid wsp:val=&quot;00D77537&quot;/&gt;&lt;wsp:rsid wsp:val=&quot;00D81D80&quot;/&gt;&lt;wsp:rsid wsp:val=&quot;00D93689&quot;/&gt;&lt;wsp:rsid wsp:val=&quot;00DA35E0&quot;/&gt;&lt;wsp:rsid wsp:val=&quot;00DA3682&quot;/&gt;&lt;wsp:rsid wsp:val=&quot;00DA3FD9&quot;/&gt;&lt;wsp:rsid wsp:val=&quot;00DB4826&quot;/&gt;&lt;wsp:rsid wsp:val=&quot;00DB5333&quot;/&gt;&lt;wsp:rsid wsp:val=&quot;00DC7259&quot;/&gt;&lt;wsp:rsid wsp:val=&quot;00E065DF&quot;/&gt;&lt;wsp:rsid wsp:val=&quot;00E110B8&quot;/&gt;&lt;wsp:rsid wsp:val=&quot;00E2004F&quot;/&gt;&lt;wsp:rsid wsp:val=&quot;00E2704A&quot;/&gt;&lt;wsp:rsid wsp:val=&quot;00E31C2E&quot;/&gt;&lt;wsp:rsid wsp:val=&quot;00E34ABA&quot;/&gt;&lt;wsp:rsid wsp:val=&quot;00E51798&quot;/&gt;&lt;wsp:rsid wsp:val=&quot;00E525B9&quot;/&gt;&lt;wsp:rsid wsp:val=&quot;00E543A7&quot;/&gt;&lt;wsp:rsid wsp:val=&quot;00E620B2&quot;/&gt;&lt;wsp:rsid wsp:val=&quot;00E66511&quot;/&gt;&lt;wsp:rsid wsp:val=&quot;00E76A38&quot;/&gt;&lt;wsp:rsid wsp:val=&quot;00E77D7D&quot;/&gt;&lt;wsp:rsid wsp:val=&quot;00E866B2&quot;/&gt;&lt;wsp:rsid wsp:val=&quot;00E94A96&quot;/&gt;&lt;wsp:rsid wsp:val=&quot;00EA038E&quot;/&gt;&lt;wsp:rsid wsp:val=&quot;00EA7ABD&quot;/&gt;&lt;wsp:rsid wsp:val=&quot;00EB41E2&quot;/&gt;&lt;wsp:rsid wsp:val=&quot;00EC1BBE&quot;/&gt;&lt;wsp:rsid wsp:val=&quot;00EC2C17&quot;/&gt;&lt;wsp:rsid wsp:val=&quot;00EE5ECB&quot;/&gt;&lt;wsp:rsid wsp:val=&quot;00F23C2A&quot;/&gt;&lt;wsp:rsid wsp:val=&quot;00F3456A&quot;/&gt;&lt;wsp:rsid wsp:val=&quot;00F3761F&quot;/&gt;&lt;wsp:rsid wsp:val=&quot;00F37AC7&quot;/&gt;&lt;wsp:rsid wsp:val=&quot;00F411F5&quot;/&gt;&lt;wsp:rsid wsp:val=&quot;00F434AD&quot;/&gt;&lt;wsp:rsid wsp:val=&quot;00F718B3&quot;/&gt;&lt;wsp:rsid wsp:val=&quot;00F85428&quot;/&gt;&lt;wsp:rsid wsp:val=&quot;00F9317C&quot;/&gt;&lt;wsp:rsid wsp:val=&quot;00FB6100&quot;/&gt;&lt;wsp:rsid wsp:val=&quot;00FC28E4&quot;/&gt;&lt;wsp:rsid wsp:val=&quot;00FC5026&quot;/&gt;&lt;wsp:rsid wsp:val=&quot;00FC7012&quot;/&gt;&lt;wsp:rsid wsp:val=&quot;00FD385B&quot;/&gt;&lt;wsp:rsid wsp:val=&quot;00FE0298&quot;/&gt;&lt;wsp:rsid wsp:val=&quot;00FE4461&quot;/&gt;&lt;wsp:rsid wsp:val=&quot;00FE4879&quot;/&gt;&lt;wsp:rsid wsp:val=&quot;00FE6284&quot;/&gt;&lt;wsp:rsid wsp:val=&quot;00FF0660&quot;/&gt;&lt;wsp:rsid wsp:val=&quot;00FF60DA&quot;/&gt;&lt;/wsp:rsids&gt;&lt;/w:docPr&gt;&lt;w:body&gt;&lt;wx:sect&gt;&lt;w:p wsp:rsidR=&quot;00876B3E&quot; wsp:rsidRPr=&quot;00876B3E&quot; wsp:rsidRDefault=&quot;00876B3E&quot; wsp:rsidP=&quot;00876B3E&quot;&gt;&lt;m:oMathPara&gt;&lt;m:oMathParaPr&gt;&lt;m:jc m:val=&quot;left&quot;/&gt;&lt;/m:oMathParaPr&gt;&lt;m:oMath&gt;&lt;m:r&gt;&lt;m:rPr&gt;&lt;m:sty m:val=&quot;b&quot;/&gt;&lt;/m:rPr&gt;&lt;w:rPr&gt;&lt;w:rFonts w:ascii=&quot;Cambria Math&quot; w:h-ansi=&quot;Cambria Math&quot;/&gt;&lt;wx:font wx:val=&quot;Cambria Math&quot;/&gt;&lt;w:b/&gt;&lt;/w:rPr&gt;&lt;m:t&gt;L2=L1 ?ů &lt;/m:t&gt;&lt;/m:r&gt;&lt;m:d&gt;&lt;m:dPr&gt;&lt;m:ctrlPr&gt;&lt;w:rPr&gt;&lt;w:rFonts w:ascii=&quot;Cambria Math&quot; w:h-ansi=&quot;Cambria Math&quot;/&gt;&lt;wx:font wx:val=&quot;Cambria Math&quot;/&gt;&lt;w:b/&gt;&lt;w:b-cs/&gt;&lt;w:i-cs/&gt;&lt;/w:rPr&gt;&lt;/m:ctrlPr&gt;&lt;/m:dPr&gt;&lt;m:e&gt;&lt;m:r&gt;&lt;m:rPr&gt;&lt;m:sty m:val=&quot;b&quot;/&gt;&lt;/m:rPr&gt;&lt;w:rPr&gt;&lt;w:rFonts w:ascii=&quot;Cambria Math&quot; w:h-ansi=&quot;Cambria Math&quot;/&gt;&lt;wx:font wx:val=&quot;Cambria Math&quot;/&gt;&lt;w:b/&gt;&lt;/w:rPr&gt;&lt;m:t&gt;1+&lt;/m:t&gt;&lt;/m:r&gt;&lt;m:f&gt;&lt;m:fPr&gt;&lt;m:ctrlPr&gt;&lt;w:rPr&gt;&lt;w:rFonts w:ascii=&quot;Cambria Math&quot; w:h-ansi=&quot;Cambria Math&quot;/&gt;&lt;wx:font wx:val=&quot;Cambria Math&quot;/&gt;&lt;w:b/&gt;&lt;w:b-cs/&gt;&lt;w:i-cs/&gt;&lt;/w:rPr&gt;&lt;/m:ctrlPr&gt;&lt;/m:fPr&gt;&lt;m:num&gt;&lt;m:r&gt;&lt;m:rPr&gt;&lt;m:sty m:val=&quot;b&quot;/&gt;&lt;/m:rPr&gt;&lt;w:rPr&gt;&lt;w:rFonts w:ascii=&quot;Cambria Math&quot; w:h-ansi=&quot;Cambria Math&quot;/&gt;&lt;wx:font wx:val=&quot;Cambria Math&quot;/&gt;&lt;w:b/&gt;&lt;/w:rPr&gt;&lt;m:t&gt;INFL 1+INFL 0&lt;/m:t&gt;&lt;/m:r&gt;&lt;/m:num&gt;&lt;m:den&gt;&lt;m:r&gt;&lt;m:rPr&gt;&lt;m:sty m:val=&quot;b&quot;/&gt;&lt;/m:rPr&gt;&lt;w:rPr&gt;&lt;w:rFonts w:ascii=&quot;Cambria Math&quot; w:h-ansi=&quot;Cambria Math&quot;/&gt;&lt;wx:font wx:val=&quot;Cambria Math&quot;/&gt;&lt;w:b/&gt;&lt;/w:rPr&gt;&lt;m:t&gt;100&lt;/m:t&gt;&lt;/m:r&gt;&lt;/m:den&gt;&lt;/m:f&gt;&lt;/m:e&gt;&lt;/m:d&gt;&lt;/m:oMath&gt;&lt;/m:oMathPara&gt;&lt;/w:p&gt;&lt;w:sectPr wsp:rsidR=&quot;00000000&quot; wsp:rsidRPr=&quot;00876B3E&quot;&gt;&lt;w:pgSz w:w=&quot;12240&quot; w:h=&quot;15840&quot;/&gt;&lt;w:pgMar w:top=&quot;1417&quot; w:right=&quot;1417&quot; w:bottom=&quot;1417&quot; w:left=&quot;1417&quot; w:header=&quot;708&quot; w:footer=&quot;708&quot; w:gutter=&quot;0&quot;/&gt;&lt;w:cols w:space=&quot;708&quot;/&gt;&lt;/w:sectPr&gt;&lt;/wx:sect&gt;&lt;/w:body&gt;&lt;/w:wordDocument&gt;">
            <v:imagedata r:id="rId11" o:title="" chromakey="white"/>
          </v:shape>
        </w:pict>
      </w:r>
    </w:p>
    <w:p w14:paraId="74DB309A" w14:textId="77777777" w:rsidR="00107F04" w:rsidRPr="00BC28F2" w:rsidRDefault="00107F04" w:rsidP="00107F04">
      <w:pPr>
        <w:ind w:left="540"/>
        <w:jc w:val="both"/>
      </w:pPr>
    </w:p>
    <w:p w14:paraId="17E467E7" w14:textId="77777777" w:rsidR="00107F04" w:rsidRPr="00BC28F2" w:rsidRDefault="00107F04" w:rsidP="00107F04">
      <w:pPr>
        <w:ind w:left="426"/>
        <w:jc w:val="both"/>
      </w:pPr>
      <w:r w:rsidRPr="00BC28F2">
        <w:t>kde:</w:t>
      </w:r>
    </w:p>
    <w:p w14:paraId="3072C83C" w14:textId="77777777" w:rsidR="00107F04" w:rsidRPr="00BC28F2" w:rsidRDefault="00107F04" w:rsidP="00107F04">
      <w:pPr>
        <w:ind w:left="426"/>
        <w:jc w:val="both"/>
      </w:pPr>
      <w:r w:rsidRPr="00BC28F2">
        <w:t>L2 = nové Nájemné po úpravách;</w:t>
      </w:r>
    </w:p>
    <w:p w14:paraId="3E786BEE" w14:textId="77777777" w:rsidR="00107F04" w:rsidRPr="00BC28F2" w:rsidRDefault="00107F04" w:rsidP="00107F04">
      <w:pPr>
        <w:ind w:left="426"/>
        <w:jc w:val="both"/>
      </w:pPr>
      <w:r w:rsidRPr="00BC28F2">
        <w:t>L1 = Nájemné za poslední měsíc předchozího kalendářního roku;</w:t>
      </w:r>
    </w:p>
    <w:p w14:paraId="2CD163E7" w14:textId="77777777" w:rsidR="00107F04" w:rsidRPr="00BC28F2" w:rsidRDefault="00107F04" w:rsidP="00107F04">
      <w:pPr>
        <w:ind w:left="426"/>
        <w:jc w:val="both"/>
      </w:pPr>
      <w:r w:rsidRPr="00BC28F2">
        <w:t xml:space="preserve">INFL 1 = Průměrná roční Inflace za předchozí kalendářní rok vyjádřená přírůstkem průměrného ročního indexu spotřebitelských cen v procentech (CPI) publikovaná na </w:t>
      </w:r>
      <w:r w:rsidRPr="00BC28F2">
        <w:lastRenderedPageBreak/>
        <w:t>stránkách ČSÚ; pokud bude průměrná roční Inflace za předchozí kalendářní větší než hodnota 8%, bude hodnota INFL 1 ve výši max. 8%, s tím, že ke zbývající části Indexu (tj. přesahující 8%) se v daném roce nepřihlíží, ale tato část bude připočtena k indexu v bezprostředně následujícím roce, a to s omezením uvedeným dále (tj. omezení max. hodnoty součtu INFL 1+ INFL 0</w:t>
      </w:r>
      <w:r w:rsidRPr="00BC28F2">
        <w:rPr>
          <w:b/>
        </w:rPr>
        <w:t>)</w:t>
      </w:r>
      <w:r w:rsidRPr="00BC28F2">
        <w:t>.</w:t>
      </w:r>
    </w:p>
    <w:p w14:paraId="77F2519B" w14:textId="77777777" w:rsidR="00107F04" w:rsidRPr="00BC28F2" w:rsidRDefault="00107F04" w:rsidP="00107F04">
      <w:pPr>
        <w:ind w:left="426"/>
        <w:jc w:val="both"/>
      </w:pPr>
      <w:r w:rsidRPr="00BC28F2">
        <w:t>INFL 0 = zbývající část inflace vyjádřená v procentech za bezprostředně předcházející kalendářní rok (tj. část indexu přesahující 8%), která ve výpočtu úpravy nájemného v bezprostředně předcházejícím kalendářním roce nebyla při výpočtu úpravy Nájemného využita.</w:t>
      </w:r>
    </w:p>
    <w:p w14:paraId="2631AC75" w14:textId="77777777" w:rsidR="00107F04" w:rsidRPr="00BC28F2" w:rsidRDefault="00107F04" w:rsidP="00107F04">
      <w:pPr>
        <w:ind w:left="540"/>
        <w:jc w:val="both"/>
      </w:pPr>
    </w:p>
    <w:p w14:paraId="5AB1D5CD" w14:textId="77777777" w:rsidR="00107F04" w:rsidRPr="00BC28F2" w:rsidRDefault="00107F04" w:rsidP="00107F04">
      <w:pPr>
        <w:ind w:left="426"/>
        <w:jc w:val="both"/>
      </w:pPr>
      <w:r w:rsidRPr="00BC28F2">
        <w:t>Pokud bude hodnota součtu INFL 1+ INFL 0</w:t>
      </w:r>
      <w:r w:rsidRPr="00BC28F2">
        <w:rPr>
          <w:b/>
        </w:rPr>
        <w:t xml:space="preserve"> </w:t>
      </w:r>
      <w:r w:rsidRPr="00BC28F2">
        <w:rPr>
          <w:bCs/>
        </w:rPr>
        <w:t>větší než 8%,</w:t>
      </w:r>
      <w:r w:rsidRPr="00BC28F2">
        <w:t xml:space="preserve"> uplatní se pro účely výpočtu úpravy Nájemného max. 8%, s tím, že ke zbývající části součtu (tj. přesahující 8%) bude přihlédnuto v roce následujícím jako hodnota INFL 0.</w:t>
      </w:r>
    </w:p>
    <w:p w14:paraId="7363F662" w14:textId="77777777" w:rsidR="00107F04" w:rsidRPr="00BC28F2" w:rsidRDefault="00107F04" w:rsidP="00107F04">
      <w:pPr>
        <w:ind w:left="426"/>
        <w:jc w:val="both"/>
      </w:pPr>
    </w:p>
    <w:p w14:paraId="5CEFF06E" w14:textId="1F150C8F" w:rsidR="00107F04" w:rsidRPr="00BC28F2" w:rsidRDefault="00107F04" w:rsidP="00107F04">
      <w:pPr>
        <w:ind w:left="426"/>
        <w:jc w:val="both"/>
      </w:pPr>
      <w:r w:rsidRPr="00BC28F2">
        <w:t>Pro úpravu Nájemného pro kalendářní rok 202</w:t>
      </w:r>
      <w:r w:rsidR="009A1F15" w:rsidRPr="00BC28F2">
        <w:t>7</w:t>
      </w:r>
      <w:r w:rsidRPr="00BC28F2">
        <w:t xml:space="preserve"> platí, že INFL 0 odpovídá hodnotě „0“.</w:t>
      </w:r>
    </w:p>
    <w:p w14:paraId="7BE79C46" w14:textId="77777777" w:rsidR="00107F04" w:rsidRPr="00BC28F2" w:rsidRDefault="00107F04" w:rsidP="00107F04">
      <w:pPr>
        <w:tabs>
          <w:tab w:val="num" w:pos="540"/>
        </w:tabs>
        <w:ind w:left="426"/>
        <w:jc w:val="both"/>
      </w:pPr>
    </w:p>
    <w:p w14:paraId="7F633458" w14:textId="77777777" w:rsidR="00107F04" w:rsidRPr="00BC28F2" w:rsidRDefault="00107F04" w:rsidP="00107F04">
      <w:pPr>
        <w:ind w:left="426"/>
        <w:jc w:val="both"/>
      </w:pPr>
      <w:r w:rsidRPr="00BC28F2">
        <w:rPr>
          <w:u w:val="single"/>
        </w:rPr>
        <w:t>Ukončení publikace Inflace nebo nemožnost její aplikace</w:t>
      </w:r>
      <w:r w:rsidRPr="00BC28F2">
        <w:t xml:space="preserve">. Pokud se Inflace přestane publikovat nebo nemůže být z jakéhokoliv důvodu aplikován, určí Pronajímatel jiný platný index, jehož vývoj za několik uplynulých let se nejvíce podobá vývoji dosud používaného Indexu. </w:t>
      </w:r>
    </w:p>
    <w:p w14:paraId="1BDC0B08" w14:textId="77777777" w:rsidR="00E51798" w:rsidRPr="00BC28F2" w:rsidRDefault="00E51798" w:rsidP="00E51798">
      <w:pPr>
        <w:pStyle w:val="Zkladntextodsazen"/>
        <w:ind w:firstLine="0"/>
      </w:pPr>
    </w:p>
    <w:p w14:paraId="639FFD82" w14:textId="572282AF" w:rsidR="00BC6525" w:rsidRPr="00BC28F2" w:rsidRDefault="00F364BA" w:rsidP="00C30959">
      <w:pPr>
        <w:pStyle w:val="Zkladntextodsazen"/>
        <w:ind w:left="426" w:firstLine="0"/>
      </w:pPr>
      <w:r w:rsidRPr="00BC28F2">
        <w:rPr>
          <w:u w:val="single"/>
        </w:rPr>
        <w:t>Platba upraveného Nájemného za první měsíce každého kalendářního roku</w:t>
      </w:r>
      <w:r w:rsidRPr="00BC28F2">
        <w:t xml:space="preserve">. Pronajímatel je povinen spočítat upravené Nájemné dle těchto ustanovení této Smlouvy bez zbytečného odkladu poté, co ČSÚ publikoval údaje o Inflaci za předchozí kalendářní rok. Poté je Pronajímatel povinen písemně informovat Nájemce o výsledcích kalkulace. Nebude-li možné vypočítat upravené Nájemné před datem jeho obvyklé splatnosti, Nájemce zaplatí Pronajímateli předběžné neupravené Nájemné. Pokud dosáhne upravené Nájemné vyšší částky než Nájemné za předchozí kalendářní rok, Pronajímatel zašle Nájemci bez zbytečného odkladu fakturu na doplatek. Upravené Nájemné bude splatné počínaje další splátkou. </w:t>
      </w:r>
    </w:p>
    <w:p w14:paraId="0BCD48A2" w14:textId="77777777" w:rsidR="000D2EB7" w:rsidRPr="00BC28F2" w:rsidRDefault="000D2EB7" w:rsidP="000D2EB7">
      <w:pPr>
        <w:ind w:left="360"/>
        <w:jc w:val="both"/>
      </w:pPr>
    </w:p>
    <w:p w14:paraId="5D68319C" w14:textId="77777777" w:rsidR="006D567D" w:rsidRPr="00BC28F2" w:rsidRDefault="006D567D" w:rsidP="00924133">
      <w:pPr>
        <w:pStyle w:val="Zkladntextodsazen"/>
        <w:numPr>
          <w:ilvl w:val="0"/>
          <w:numId w:val="6"/>
        </w:numPr>
        <w:tabs>
          <w:tab w:val="clear" w:pos="360"/>
          <w:tab w:val="num" w:pos="426"/>
        </w:tabs>
        <w:ind w:left="426" w:hanging="426"/>
        <w:rPr>
          <w:szCs w:val="24"/>
        </w:rPr>
      </w:pPr>
      <w:r w:rsidRPr="00BC28F2">
        <w:rPr>
          <w:szCs w:val="24"/>
        </w:rPr>
        <w:t xml:space="preserve">V případě prodlení </w:t>
      </w:r>
      <w:r w:rsidR="00736484" w:rsidRPr="00BC28F2">
        <w:rPr>
          <w:szCs w:val="24"/>
        </w:rPr>
        <w:t>Nájemc</w:t>
      </w:r>
      <w:r w:rsidRPr="00BC28F2">
        <w:rPr>
          <w:szCs w:val="24"/>
        </w:rPr>
        <w:t xml:space="preserve">e s úhradou </w:t>
      </w:r>
      <w:r w:rsidR="00822BE6" w:rsidRPr="00BC28F2">
        <w:rPr>
          <w:szCs w:val="24"/>
        </w:rPr>
        <w:t>Nájemné</w:t>
      </w:r>
      <w:r w:rsidRPr="00BC28F2">
        <w:rPr>
          <w:szCs w:val="24"/>
        </w:rPr>
        <w:t xml:space="preserve">ho dle </w:t>
      </w:r>
      <w:r w:rsidR="00C84665" w:rsidRPr="00BC28F2">
        <w:rPr>
          <w:szCs w:val="24"/>
        </w:rPr>
        <w:t>tohoto článku</w:t>
      </w:r>
      <w:r w:rsidRPr="00BC28F2">
        <w:rPr>
          <w:szCs w:val="24"/>
        </w:rPr>
        <w:t xml:space="preserve"> je </w:t>
      </w:r>
      <w:r w:rsidR="00736484" w:rsidRPr="00BC28F2">
        <w:rPr>
          <w:szCs w:val="24"/>
        </w:rPr>
        <w:t>Nájemc</w:t>
      </w:r>
      <w:r w:rsidRPr="00BC28F2">
        <w:rPr>
          <w:szCs w:val="24"/>
        </w:rPr>
        <w:t xml:space="preserve">e povinen uhradit </w:t>
      </w:r>
      <w:r w:rsidR="00BE4EF7" w:rsidRPr="00BC28F2">
        <w:rPr>
          <w:szCs w:val="24"/>
        </w:rPr>
        <w:t>Pronajímatel</w:t>
      </w:r>
      <w:r w:rsidRPr="00BC28F2">
        <w:rPr>
          <w:szCs w:val="24"/>
        </w:rPr>
        <w:t>i smluvní pokutu ve výši 0,0</w:t>
      </w:r>
      <w:r w:rsidR="000D2ED4" w:rsidRPr="00BC28F2">
        <w:rPr>
          <w:szCs w:val="24"/>
        </w:rPr>
        <w:t>5</w:t>
      </w:r>
      <w:r w:rsidRPr="00BC28F2">
        <w:rPr>
          <w:szCs w:val="24"/>
        </w:rPr>
        <w:t xml:space="preserve"> % dlužného </w:t>
      </w:r>
      <w:r w:rsidR="00822BE6" w:rsidRPr="00BC28F2">
        <w:rPr>
          <w:szCs w:val="24"/>
        </w:rPr>
        <w:t>Nájemné</w:t>
      </w:r>
      <w:r w:rsidRPr="00BC28F2">
        <w:rPr>
          <w:szCs w:val="24"/>
        </w:rPr>
        <w:t xml:space="preserve">ho za každý den prodlení. Smluvní pokuta je splatná na základě daňového dokladu vystaveného </w:t>
      </w:r>
      <w:r w:rsidR="00BE4EF7" w:rsidRPr="00BC28F2">
        <w:rPr>
          <w:szCs w:val="24"/>
        </w:rPr>
        <w:t>Pronajímatel</w:t>
      </w:r>
      <w:r w:rsidRPr="00BC28F2">
        <w:rPr>
          <w:szCs w:val="24"/>
        </w:rPr>
        <w:t>em.</w:t>
      </w:r>
    </w:p>
    <w:p w14:paraId="014427CF" w14:textId="77777777" w:rsidR="00AA4E21" w:rsidRPr="00BC28F2" w:rsidRDefault="00AA4E21">
      <w:pPr>
        <w:pStyle w:val="Zkladntextodsazen"/>
        <w:ind w:firstLine="0"/>
        <w:jc w:val="center"/>
        <w:rPr>
          <w:szCs w:val="24"/>
        </w:rPr>
      </w:pPr>
    </w:p>
    <w:p w14:paraId="2EB7E686" w14:textId="77777777" w:rsidR="00780057" w:rsidRPr="00BC28F2" w:rsidRDefault="00780057" w:rsidP="00780057">
      <w:pPr>
        <w:jc w:val="center"/>
        <w:rPr>
          <w:b/>
          <w:szCs w:val="24"/>
        </w:rPr>
      </w:pPr>
      <w:r w:rsidRPr="00BC28F2">
        <w:rPr>
          <w:b/>
          <w:szCs w:val="24"/>
        </w:rPr>
        <w:t>VII.</w:t>
      </w:r>
    </w:p>
    <w:p w14:paraId="6013709B" w14:textId="77777777" w:rsidR="00780057" w:rsidRPr="00BC28F2" w:rsidRDefault="00780057">
      <w:pPr>
        <w:pStyle w:val="Zkladntextodsazen"/>
        <w:ind w:firstLine="0"/>
        <w:jc w:val="center"/>
        <w:rPr>
          <w:szCs w:val="24"/>
        </w:rPr>
      </w:pPr>
    </w:p>
    <w:p w14:paraId="64D3CC0D" w14:textId="4DFA8DBC" w:rsidR="00780057" w:rsidRPr="00BC28F2" w:rsidRDefault="00780057" w:rsidP="006B77AE">
      <w:pPr>
        <w:numPr>
          <w:ilvl w:val="0"/>
          <w:numId w:val="22"/>
        </w:numPr>
        <w:tabs>
          <w:tab w:val="clear" w:pos="720"/>
          <w:tab w:val="num" w:pos="426"/>
        </w:tabs>
        <w:ind w:left="425" w:hanging="425"/>
        <w:jc w:val="both"/>
        <w:rPr>
          <w:iCs/>
        </w:rPr>
      </w:pPr>
      <w:r w:rsidRPr="00BC28F2">
        <w:t>Nájemce bude dále hradit fixní poplatek za veškeré služby poskytované v souvislosti s</w:t>
      </w:r>
      <w:r w:rsidR="00697BAF" w:rsidRPr="00BC28F2">
        <w:t xml:space="preserve"> Pylonem a umístěním Loga na Pylonu, které nenese Nájemce </w:t>
      </w:r>
      <w:r w:rsidRPr="00BC28F2">
        <w:t>(dále jen „</w:t>
      </w:r>
      <w:r w:rsidR="00697BAF" w:rsidRPr="00BC28F2">
        <w:rPr>
          <w:b/>
        </w:rPr>
        <w:t>P</w:t>
      </w:r>
      <w:r w:rsidRPr="00BC28F2">
        <w:rPr>
          <w:b/>
        </w:rPr>
        <w:t>oplatek</w:t>
      </w:r>
      <w:r w:rsidR="00697BAF" w:rsidRPr="00BC28F2">
        <w:rPr>
          <w:b/>
        </w:rPr>
        <w:t xml:space="preserve"> za Logo</w:t>
      </w:r>
      <w:r w:rsidRPr="00BC28F2">
        <w:t xml:space="preserve">“), a to ve výši </w:t>
      </w:r>
      <w:r w:rsidR="00D734E2" w:rsidRPr="00BC28F2">
        <w:rPr>
          <w:b/>
          <w:iCs/>
        </w:rPr>
        <w:t>350</w:t>
      </w:r>
      <w:r w:rsidRPr="00BC28F2">
        <w:t xml:space="preserve"> </w:t>
      </w:r>
      <w:r w:rsidRPr="00BC28F2">
        <w:rPr>
          <w:b/>
        </w:rPr>
        <w:t xml:space="preserve">Kč měsíčně </w:t>
      </w:r>
      <w:r w:rsidRPr="00BC28F2">
        <w:t>plus zákonná DPH</w:t>
      </w:r>
      <w:r w:rsidRPr="00BC28F2">
        <w:rPr>
          <w:iCs/>
        </w:rPr>
        <w:t xml:space="preserve">. Tyto služby budou považovány v souladu s příslušnými ustanoveními zákona o DPH za dílčí plnění, které bude uskutečněné vždy k prvnímu dni kalendářního čtvrtletí. </w:t>
      </w:r>
      <w:r w:rsidR="00697BAF" w:rsidRPr="00BC28F2">
        <w:rPr>
          <w:iCs/>
        </w:rPr>
        <w:t>Poplatek za Logo</w:t>
      </w:r>
      <w:r w:rsidR="003600F8" w:rsidRPr="00BC28F2">
        <w:rPr>
          <w:iCs/>
        </w:rPr>
        <w:t xml:space="preserve"> </w:t>
      </w:r>
      <w:r w:rsidRPr="00BC28F2">
        <w:rPr>
          <w:iCs/>
        </w:rPr>
        <w:t xml:space="preserve">bude hrazen Nájemcem </w:t>
      </w:r>
      <w:r w:rsidRPr="00BC28F2">
        <w:t>formou čtvrtletních úhrad na základě faktury-daňového dokladu vystaveného Pronajímatelem</w:t>
      </w:r>
      <w:r w:rsidRPr="00BC28F2">
        <w:rPr>
          <w:iCs/>
        </w:rPr>
        <w:t xml:space="preserve"> ve stejných termínech a se stejnou splatností jako Nájemné bezhotovostním převodem na účet Pronajímatele uvedený v daňovém dokladu. </w:t>
      </w:r>
      <w:r w:rsidR="00F364BA" w:rsidRPr="00BC28F2">
        <w:t xml:space="preserve">V případě, že Pronajímatel v daný kalendářní rok uplatní úpravu Nájemného podle § 6 odst. </w:t>
      </w:r>
      <w:r w:rsidR="00C40CA5" w:rsidRPr="00BC28F2">
        <w:t xml:space="preserve">4. a </w:t>
      </w:r>
      <w:r w:rsidR="00F364BA" w:rsidRPr="00BC28F2">
        <w:t>5 této Smlouvy, dojde za stejných podmínek i k úpravě Poplatku za Logo.</w:t>
      </w:r>
    </w:p>
    <w:p w14:paraId="2C47F9DF" w14:textId="77777777" w:rsidR="00780057" w:rsidRPr="00BC28F2" w:rsidRDefault="00780057">
      <w:pPr>
        <w:pStyle w:val="Zkladntextodsazen"/>
        <w:ind w:firstLine="0"/>
        <w:jc w:val="center"/>
        <w:rPr>
          <w:szCs w:val="24"/>
        </w:rPr>
      </w:pPr>
    </w:p>
    <w:p w14:paraId="6049B01C" w14:textId="77777777" w:rsidR="0029295E" w:rsidRPr="00BC28F2" w:rsidRDefault="0029295E">
      <w:pPr>
        <w:jc w:val="center"/>
        <w:rPr>
          <w:b/>
          <w:szCs w:val="24"/>
        </w:rPr>
      </w:pPr>
      <w:r w:rsidRPr="00BC28F2">
        <w:rPr>
          <w:b/>
          <w:szCs w:val="24"/>
        </w:rPr>
        <w:t>V</w:t>
      </w:r>
      <w:r w:rsidR="00A426E3" w:rsidRPr="00BC28F2">
        <w:rPr>
          <w:b/>
          <w:szCs w:val="24"/>
        </w:rPr>
        <w:t>I</w:t>
      </w:r>
      <w:r w:rsidR="00F3456A" w:rsidRPr="00BC28F2">
        <w:rPr>
          <w:b/>
          <w:szCs w:val="24"/>
        </w:rPr>
        <w:t>I</w:t>
      </w:r>
      <w:r w:rsidR="00780057" w:rsidRPr="00BC28F2">
        <w:rPr>
          <w:b/>
          <w:szCs w:val="24"/>
        </w:rPr>
        <w:t>I</w:t>
      </w:r>
      <w:r w:rsidRPr="00BC28F2">
        <w:rPr>
          <w:b/>
          <w:szCs w:val="24"/>
        </w:rPr>
        <w:t>.</w:t>
      </w:r>
    </w:p>
    <w:p w14:paraId="05F602AF" w14:textId="77777777" w:rsidR="008634A7" w:rsidRPr="00BC28F2" w:rsidRDefault="008634A7" w:rsidP="00C12257">
      <w:pPr>
        <w:pStyle w:val="Zkladntextodsazen"/>
        <w:ind w:firstLine="0"/>
        <w:rPr>
          <w:szCs w:val="24"/>
        </w:rPr>
      </w:pPr>
    </w:p>
    <w:p w14:paraId="49D1A540" w14:textId="66135BAD" w:rsidR="008634A7" w:rsidRPr="00BC28F2" w:rsidRDefault="00D76363" w:rsidP="00C12257">
      <w:pPr>
        <w:pStyle w:val="Zkladntextodsazen"/>
        <w:ind w:firstLine="0"/>
        <w:rPr>
          <w:szCs w:val="24"/>
        </w:rPr>
      </w:pPr>
      <w:r w:rsidRPr="00BC28F2">
        <w:rPr>
          <w:szCs w:val="24"/>
        </w:rPr>
        <w:lastRenderedPageBreak/>
        <w:t xml:space="preserve">Smlouva se uzavírá na dobu </w:t>
      </w:r>
      <w:r w:rsidR="00CF0BAF" w:rsidRPr="00BC28F2">
        <w:rPr>
          <w:szCs w:val="24"/>
        </w:rPr>
        <w:t xml:space="preserve">neurčitou s výpovědní lhůtou 3 měsíce. Výpovědní doba začíná běžet 1.dne následujícího měsíce po obdržení </w:t>
      </w:r>
      <w:r w:rsidR="00BB2E22" w:rsidRPr="00BC28F2">
        <w:rPr>
          <w:szCs w:val="24"/>
        </w:rPr>
        <w:t xml:space="preserve">písemné </w:t>
      </w:r>
      <w:r w:rsidR="00CF0BAF" w:rsidRPr="00BC28F2">
        <w:rPr>
          <w:szCs w:val="24"/>
        </w:rPr>
        <w:t>výpovědi druhou smluvní stranou.</w:t>
      </w:r>
    </w:p>
    <w:p w14:paraId="0ABD7280" w14:textId="77777777" w:rsidR="00047131" w:rsidRPr="00BC28F2" w:rsidRDefault="00047131" w:rsidP="00FB6100">
      <w:pPr>
        <w:pStyle w:val="Zkladntextodsazen"/>
        <w:ind w:firstLine="0"/>
        <w:rPr>
          <w:szCs w:val="24"/>
        </w:rPr>
      </w:pPr>
    </w:p>
    <w:p w14:paraId="20DE61B5" w14:textId="77777777" w:rsidR="008A0A12" w:rsidRPr="00BC28F2" w:rsidRDefault="00780057" w:rsidP="00C42349">
      <w:pPr>
        <w:jc w:val="center"/>
        <w:rPr>
          <w:b/>
          <w:szCs w:val="24"/>
        </w:rPr>
      </w:pPr>
      <w:r w:rsidRPr="00BC28F2">
        <w:rPr>
          <w:b/>
          <w:szCs w:val="24"/>
        </w:rPr>
        <w:t>IX.</w:t>
      </w:r>
    </w:p>
    <w:p w14:paraId="0E5721FE" w14:textId="77777777" w:rsidR="008634A7" w:rsidRPr="00BC28F2" w:rsidRDefault="008634A7" w:rsidP="00C42349">
      <w:pPr>
        <w:jc w:val="center"/>
        <w:rPr>
          <w:b/>
          <w:szCs w:val="24"/>
        </w:rPr>
      </w:pPr>
    </w:p>
    <w:p w14:paraId="3FBFBA75" w14:textId="77777777" w:rsidR="008A0A12" w:rsidRPr="00BC28F2" w:rsidRDefault="008A0A12" w:rsidP="006B77AE">
      <w:pPr>
        <w:numPr>
          <w:ilvl w:val="0"/>
          <w:numId w:val="21"/>
        </w:numPr>
        <w:tabs>
          <w:tab w:val="clear" w:pos="360"/>
        </w:tabs>
        <w:ind w:left="425" w:hanging="425"/>
        <w:jc w:val="both"/>
        <w:rPr>
          <w:iCs/>
        </w:rPr>
      </w:pPr>
      <w:r w:rsidRPr="00BC28F2">
        <w:rPr>
          <w:iCs/>
        </w:rPr>
        <w:t xml:space="preserve">Pokud se </w:t>
      </w:r>
      <w:r w:rsidR="008634A7" w:rsidRPr="00BC28F2">
        <w:rPr>
          <w:iCs/>
        </w:rPr>
        <w:t>s</w:t>
      </w:r>
      <w:r w:rsidRPr="00BC28F2">
        <w:rPr>
          <w:iCs/>
        </w:rPr>
        <w:t xml:space="preserve">trany nedohodnou jinak, všechna oznámení podle této Smlouvy budou zasílána doporučenou poštou nebo osobně. </w:t>
      </w:r>
    </w:p>
    <w:p w14:paraId="3960E249" w14:textId="77777777" w:rsidR="008A0A12" w:rsidRPr="00BC28F2" w:rsidRDefault="008A0A12" w:rsidP="008A0A12">
      <w:pPr>
        <w:tabs>
          <w:tab w:val="num" w:pos="540"/>
        </w:tabs>
        <w:ind w:left="720" w:hanging="720"/>
        <w:jc w:val="both"/>
        <w:rPr>
          <w:iCs/>
        </w:rPr>
      </w:pPr>
    </w:p>
    <w:p w14:paraId="54D5E4CF" w14:textId="77777777" w:rsidR="008A0A12" w:rsidRPr="00BC28F2" w:rsidRDefault="008A0A12" w:rsidP="006B77AE">
      <w:pPr>
        <w:numPr>
          <w:ilvl w:val="0"/>
          <w:numId w:val="21"/>
        </w:numPr>
        <w:tabs>
          <w:tab w:val="clear" w:pos="360"/>
        </w:tabs>
        <w:ind w:left="425" w:hanging="425"/>
        <w:jc w:val="both"/>
        <w:rPr>
          <w:iCs/>
        </w:rPr>
      </w:pPr>
      <w:r w:rsidRPr="00BC28F2">
        <w:rPr>
          <w:iCs/>
        </w:rPr>
        <w:t xml:space="preserve">Každá ze </w:t>
      </w:r>
      <w:r w:rsidR="008634A7" w:rsidRPr="00BC28F2">
        <w:rPr>
          <w:iCs/>
        </w:rPr>
        <w:t>s</w:t>
      </w:r>
      <w:r w:rsidRPr="00BC28F2">
        <w:rPr>
          <w:iCs/>
        </w:rPr>
        <w:t>tran může změnit svou adresu pro doručování písemným oznám</w:t>
      </w:r>
      <w:r w:rsidR="008634A7" w:rsidRPr="00BC28F2">
        <w:rPr>
          <w:iCs/>
        </w:rPr>
        <w:t>ením druhé s</w:t>
      </w:r>
      <w:r w:rsidRPr="00BC28F2">
        <w:rPr>
          <w:iCs/>
        </w:rPr>
        <w:t>traně.</w:t>
      </w:r>
    </w:p>
    <w:p w14:paraId="2CB7AE52" w14:textId="77777777" w:rsidR="008A0A12" w:rsidRPr="00BC28F2" w:rsidRDefault="008A0A12" w:rsidP="008A0A12">
      <w:pPr>
        <w:tabs>
          <w:tab w:val="num" w:pos="540"/>
        </w:tabs>
        <w:ind w:left="540" w:hanging="540"/>
        <w:jc w:val="both"/>
        <w:rPr>
          <w:iCs/>
        </w:rPr>
      </w:pPr>
    </w:p>
    <w:p w14:paraId="1DA74074" w14:textId="77777777" w:rsidR="008A0A12" w:rsidRPr="00BC28F2" w:rsidRDefault="008A0A12" w:rsidP="006B77AE">
      <w:pPr>
        <w:numPr>
          <w:ilvl w:val="0"/>
          <w:numId w:val="21"/>
        </w:numPr>
        <w:tabs>
          <w:tab w:val="clear" w:pos="360"/>
        </w:tabs>
        <w:ind w:left="425" w:hanging="425"/>
        <w:jc w:val="both"/>
        <w:rPr>
          <w:iCs/>
        </w:rPr>
      </w:pPr>
      <w:r w:rsidRPr="00BC28F2">
        <w:rPr>
          <w:iCs/>
        </w:rPr>
        <w:t>Oznámení budou považována za doručená následovně:</w:t>
      </w:r>
    </w:p>
    <w:p w14:paraId="3460729D" w14:textId="77777777" w:rsidR="008A0A12" w:rsidRPr="00BC28F2" w:rsidRDefault="008A0A12" w:rsidP="006B77AE">
      <w:pPr>
        <w:tabs>
          <w:tab w:val="num" w:pos="540"/>
        </w:tabs>
        <w:ind w:left="425" w:hanging="425"/>
        <w:jc w:val="both"/>
        <w:rPr>
          <w:iCs/>
        </w:rPr>
      </w:pPr>
    </w:p>
    <w:p w14:paraId="643A280B" w14:textId="767855D7" w:rsidR="00BB2E22" w:rsidRPr="00BC28F2" w:rsidRDefault="008A0A12" w:rsidP="00C30959">
      <w:pPr>
        <w:numPr>
          <w:ilvl w:val="0"/>
          <w:numId w:val="23"/>
        </w:numPr>
        <w:tabs>
          <w:tab w:val="left" w:pos="-3060"/>
        </w:tabs>
        <w:jc w:val="both"/>
        <w:rPr>
          <w:iCs/>
        </w:rPr>
      </w:pPr>
      <w:r w:rsidRPr="00BC28F2">
        <w:rPr>
          <w:iCs/>
        </w:rPr>
        <w:t>při zaslání doporučeného dopisu: následující den po převzetí dopisu poštou;</w:t>
      </w:r>
    </w:p>
    <w:p w14:paraId="4ADB9AAC" w14:textId="36CA0AD1" w:rsidR="00BB2E22" w:rsidRPr="00BC28F2" w:rsidRDefault="00BB2E22" w:rsidP="00BB2E22">
      <w:pPr>
        <w:numPr>
          <w:ilvl w:val="0"/>
          <w:numId w:val="23"/>
        </w:numPr>
        <w:tabs>
          <w:tab w:val="left" w:pos="-3060"/>
        </w:tabs>
        <w:jc w:val="both"/>
        <w:rPr>
          <w:iCs/>
        </w:rPr>
      </w:pPr>
      <w:r w:rsidRPr="00BC28F2">
        <w:rPr>
          <w:iCs/>
        </w:rPr>
        <w:t>při zaslání datovou zprávou: následující den po dodání datové zprávy;</w:t>
      </w:r>
    </w:p>
    <w:p w14:paraId="40017F9E" w14:textId="77777777" w:rsidR="008A0A12" w:rsidRPr="00BC28F2" w:rsidRDefault="006B77AE" w:rsidP="006B77AE">
      <w:pPr>
        <w:tabs>
          <w:tab w:val="left" w:pos="-3060"/>
          <w:tab w:val="num" w:pos="-2880"/>
        </w:tabs>
        <w:ind w:left="425" w:hanging="425"/>
        <w:jc w:val="both"/>
        <w:rPr>
          <w:iCs/>
        </w:rPr>
      </w:pPr>
      <w:r w:rsidRPr="00BC28F2">
        <w:rPr>
          <w:iCs/>
        </w:rPr>
        <w:tab/>
      </w:r>
      <w:r w:rsidR="008A0A12" w:rsidRPr="00BC28F2">
        <w:rPr>
          <w:iCs/>
        </w:rPr>
        <w:t>b)</w:t>
      </w:r>
      <w:r w:rsidR="008A0A12" w:rsidRPr="00BC28F2">
        <w:rPr>
          <w:iCs/>
        </w:rPr>
        <w:tab/>
        <w:t xml:space="preserve">při osobním doručení: okamžikem osobního doručení. </w:t>
      </w:r>
    </w:p>
    <w:p w14:paraId="14899629" w14:textId="77777777" w:rsidR="008A0A12" w:rsidRPr="00BC28F2" w:rsidRDefault="008A0A12" w:rsidP="006B77AE">
      <w:pPr>
        <w:tabs>
          <w:tab w:val="num" w:pos="540"/>
        </w:tabs>
        <w:ind w:left="425" w:hanging="425"/>
        <w:jc w:val="both"/>
        <w:rPr>
          <w:iCs/>
        </w:rPr>
      </w:pPr>
    </w:p>
    <w:p w14:paraId="7D525A7D" w14:textId="77777777" w:rsidR="008A0A12" w:rsidRPr="00BC28F2" w:rsidRDefault="008A0A12" w:rsidP="006B77AE">
      <w:pPr>
        <w:numPr>
          <w:ilvl w:val="0"/>
          <w:numId w:val="21"/>
        </w:numPr>
        <w:tabs>
          <w:tab w:val="clear" w:pos="360"/>
        </w:tabs>
        <w:ind w:left="425" w:hanging="425"/>
        <w:jc w:val="both"/>
        <w:rPr>
          <w:iCs/>
        </w:rPr>
      </w:pPr>
      <w:r w:rsidRPr="00BC28F2">
        <w:rPr>
          <w:iCs/>
        </w:rPr>
        <w:t xml:space="preserve">Oznámení budou zasílána na následující adresy:  </w:t>
      </w:r>
    </w:p>
    <w:p w14:paraId="5B666512" w14:textId="77777777" w:rsidR="008A0A12" w:rsidRPr="00BC28F2" w:rsidRDefault="008A0A12" w:rsidP="006B77AE">
      <w:pPr>
        <w:tabs>
          <w:tab w:val="num" w:pos="540"/>
        </w:tabs>
        <w:ind w:left="425" w:hanging="425"/>
        <w:jc w:val="both"/>
        <w:rPr>
          <w:iCs/>
        </w:rPr>
      </w:pPr>
    </w:p>
    <w:p w14:paraId="02404087" w14:textId="77777777" w:rsidR="008A0A12" w:rsidRPr="00BC28F2" w:rsidRDefault="008A0A12" w:rsidP="006B77AE">
      <w:pPr>
        <w:tabs>
          <w:tab w:val="num" w:pos="540"/>
        </w:tabs>
        <w:ind w:left="425" w:hanging="425"/>
        <w:jc w:val="both"/>
        <w:rPr>
          <w:b/>
          <w:iCs/>
        </w:rPr>
      </w:pPr>
      <w:r w:rsidRPr="00BC28F2">
        <w:rPr>
          <w:iCs/>
        </w:rPr>
        <w:t xml:space="preserve">   </w:t>
      </w:r>
      <w:r w:rsidR="006B77AE" w:rsidRPr="00BC28F2">
        <w:rPr>
          <w:iCs/>
        </w:rPr>
        <w:tab/>
      </w:r>
      <w:r w:rsidRPr="00BC28F2">
        <w:rPr>
          <w:b/>
          <w:iCs/>
        </w:rPr>
        <w:t xml:space="preserve">Pronajímatel: </w:t>
      </w:r>
    </w:p>
    <w:tbl>
      <w:tblPr>
        <w:tblW w:w="0" w:type="auto"/>
        <w:tblInd w:w="534" w:type="dxa"/>
        <w:tblLayout w:type="fixed"/>
        <w:tblLook w:val="0000" w:firstRow="0" w:lastRow="0" w:firstColumn="0" w:lastColumn="0" w:noHBand="0" w:noVBand="0"/>
      </w:tblPr>
      <w:tblGrid>
        <w:gridCol w:w="4643"/>
        <w:gridCol w:w="3829"/>
      </w:tblGrid>
      <w:tr w:rsidR="008A0A12" w:rsidRPr="00BC28F2" w14:paraId="3EDA7604" w14:textId="77777777" w:rsidTr="008228FC">
        <w:tc>
          <w:tcPr>
            <w:tcW w:w="4643" w:type="dxa"/>
          </w:tcPr>
          <w:p w14:paraId="75F83E7A" w14:textId="77777777" w:rsidR="008A0A12" w:rsidRPr="00BC28F2" w:rsidRDefault="008A0A12" w:rsidP="006B77AE">
            <w:pPr>
              <w:ind w:left="425" w:hanging="533"/>
              <w:jc w:val="both"/>
              <w:rPr>
                <w:iCs/>
              </w:rPr>
            </w:pPr>
            <w:r w:rsidRPr="00BC28F2">
              <w:rPr>
                <w:iCs/>
              </w:rPr>
              <w:t>Společnost:</w:t>
            </w:r>
          </w:p>
        </w:tc>
        <w:tc>
          <w:tcPr>
            <w:tcW w:w="3829" w:type="dxa"/>
          </w:tcPr>
          <w:p w14:paraId="4F81BA72" w14:textId="01821A70" w:rsidR="008A0A12" w:rsidRPr="00BC28F2" w:rsidRDefault="00C2198F" w:rsidP="006B77AE">
            <w:pPr>
              <w:tabs>
                <w:tab w:val="num" w:pos="540"/>
              </w:tabs>
              <w:ind w:left="425" w:hanging="425"/>
              <w:jc w:val="both"/>
              <w:rPr>
                <w:iCs/>
              </w:rPr>
            </w:pPr>
            <w:r w:rsidRPr="00BC28F2">
              <w:rPr>
                <w:b/>
                <w:iCs/>
                <w:shd w:val="clear" w:color="auto" w:fill="FFFFFF"/>
              </w:rPr>
              <w:t>Art</w:t>
            </w:r>
            <w:r w:rsidR="00CE34EA" w:rsidRPr="00BC28F2">
              <w:rPr>
                <w:b/>
                <w:iCs/>
                <w:shd w:val="clear" w:color="auto" w:fill="FFFFFF"/>
              </w:rPr>
              <w:t xml:space="preserve"> </w:t>
            </w:r>
            <w:r w:rsidR="008A0A12" w:rsidRPr="00BC28F2">
              <w:rPr>
                <w:b/>
                <w:iCs/>
                <w:shd w:val="clear" w:color="auto" w:fill="FFFFFF"/>
              </w:rPr>
              <w:t>Office</w:t>
            </w:r>
            <w:r w:rsidR="008A0A12" w:rsidRPr="00BC28F2">
              <w:rPr>
                <w:b/>
                <w:iCs/>
              </w:rPr>
              <w:t xml:space="preserve"> Gallery a.s.</w:t>
            </w:r>
          </w:p>
        </w:tc>
      </w:tr>
      <w:tr w:rsidR="008A0A12" w:rsidRPr="00BC28F2" w14:paraId="6B488B74" w14:textId="77777777" w:rsidTr="008228FC">
        <w:tc>
          <w:tcPr>
            <w:tcW w:w="4643" w:type="dxa"/>
          </w:tcPr>
          <w:p w14:paraId="5DEE3FAF" w14:textId="77777777" w:rsidR="008A0A12" w:rsidRPr="00BC28F2" w:rsidRDefault="008A0A12" w:rsidP="006B77AE">
            <w:pPr>
              <w:tabs>
                <w:tab w:val="num" w:pos="540"/>
              </w:tabs>
              <w:ind w:left="425" w:hanging="533"/>
              <w:jc w:val="both"/>
              <w:rPr>
                <w:iCs/>
              </w:rPr>
            </w:pPr>
            <w:r w:rsidRPr="00BC28F2">
              <w:rPr>
                <w:iCs/>
              </w:rPr>
              <w:t>K rukám:</w:t>
            </w:r>
          </w:p>
        </w:tc>
        <w:tc>
          <w:tcPr>
            <w:tcW w:w="3829" w:type="dxa"/>
          </w:tcPr>
          <w:p w14:paraId="180DFA50" w14:textId="77777777" w:rsidR="008A0A12" w:rsidRPr="00BC28F2" w:rsidRDefault="00126495" w:rsidP="006B77AE">
            <w:pPr>
              <w:pStyle w:val="Styl1"/>
              <w:tabs>
                <w:tab w:val="num" w:pos="540"/>
              </w:tabs>
              <w:ind w:left="425" w:hanging="425"/>
              <w:rPr>
                <w:iCs/>
                <w:sz w:val="24"/>
                <w:szCs w:val="24"/>
              </w:rPr>
            </w:pPr>
            <w:r w:rsidRPr="00BC28F2">
              <w:rPr>
                <w:iCs/>
                <w:sz w:val="24"/>
                <w:szCs w:val="24"/>
              </w:rPr>
              <w:t>Jiří Tošek</w:t>
            </w:r>
          </w:p>
        </w:tc>
      </w:tr>
      <w:tr w:rsidR="008A0A12" w:rsidRPr="00BC28F2" w14:paraId="2CCDC04C" w14:textId="77777777" w:rsidTr="008228FC">
        <w:tc>
          <w:tcPr>
            <w:tcW w:w="4643" w:type="dxa"/>
          </w:tcPr>
          <w:p w14:paraId="591ACA6A" w14:textId="77777777" w:rsidR="008A0A12" w:rsidRPr="00BC28F2" w:rsidRDefault="008A0A12" w:rsidP="006B77AE">
            <w:pPr>
              <w:tabs>
                <w:tab w:val="num" w:pos="540"/>
              </w:tabs>
              <w:ind w:left="425" w:hanging="533"/>
              <w:jc w:val="both"/>
              <w:rPr>
                <w:iCs/>
              </w:rPr>
            </w:pPr>
            <w:r w:rsidRPr="00BC28F2">
              <w:rPr>
                <w:iCs/>
              </w:rPr>
              <w:t>Adresa:</w:t>
            </w:r>
          </w:p>
        </w:tc>
        <w:tc>
          <w:tcPr>
            <w:tcW w:w="3829" w:type="dxa"/>
          </w:tcPr>
          <w:p w14:paraId="73D42649" w14:textId="77777777" w:rsidR="008A0A12" w:rsidRPr="00BC28F2" w:rsidRDefault="008A0A12" w:rsidP="006B77AE">
            <w:pPr>
              <w:tabs>
                <w:tab w:val="num" w:pos="540"/>
              </w:tabs>
              <w:ind w:left="425" w:hanging="425"/>
              <w:jc w:val="both"/>
              <w:rPr>
                <w:iCs/>
              </w:rPr>
            </w:pPr>
            <w:r w:rsidRPr="00BC28F2">
              <w:rPr>
                <w:iCs/>
              </w:rPr>
              <w:t>Evropská 2690/17, 160 41 Praha 6</w:t>
            </w:r>
          </w:p>
        </w:tc>
      </w:tr>
      <w:tr w:rsidR="008A0A12" w:rsidRPr="00BC28F2" w14:paraId="16F01179" w14:textId="77777777" w:rsidTr="008228FC">
        <w:tc>
          <w:tcPr>
            <w:tcW w:w="4643" w:type="dxa"/>
          </w:tcPr>
          <w:p w14:paraId="6C56EE29" w14:textId="77777777" w:rsidR="008A0A12" w:rsidRPr="00BC28F2" w:rsidRDefault="008A0A12" w:rsidP="006B77AE">
            <w:pPr>
              <w:tabs>
                <w:tab w:val="num" w:pos="540"/>
              </w:tabs>
              <w:ind w:left="425" w:hanging="533"/>
              <w:jc w:val="both"/>
              <w:rPr>
                <w:iCs/>
              </w:rPr>
            </w:pPr>
            <w:r w:rsidRPr="00BC28F2">
              <w:rPr>
                <w:iCs/>
              </w:rPr>
              <w:t>E-mail:</w:t>
            </w:r>
          </w:p>
        </w:tc>
        <w:tc>
          <w:tcPr>
            <w:tcW w:w="3829" w:type="dxa"/>
          </w:tcPr>
          <w:p w14:paraId="5DFB90D5" w14:textId="5F8849B6" w:rsidR="008A0A12" w:rsidRPr="00BC28F2" w:rsidRDefault="00D73DD0" w:rsidP="006B77AE">
            <w:pPr>
              <w:tabs>
                <w:tab w:val="num" w:pos="540"/>
              </w:tabs>
              <w:ind w:left="425" w:hanging="425"/>
              <w:jc w:val="both"/>
              <w:rPr>
                <w:iCs/>
              </w:rPr>
            </w:pPr>
            <w:hyperlink r:id="rId12" w:history="1">
              <w:r w:rsidRPr="00915174">
                <w:rPr>
                  <w:rStyle w:val="Hypertextovodkaz"/>
                  <w:iCs/>
                </w:rPr>
                <w:t>xxxxxxxxxx@ppfreal.com</w:t>
              </w:r>
            </w:hyperlink>
            <w:r w:rsidR="008A0A12" w:rsidRPr="00BC28F2">
              <w:rPr>
                <w:iCs/>
              </w:rPr>
              <w:t xml:space="preserve"> </w:t>
            </w:r>
          </w:p>
        </w:tc>
      </w:tr>
      <w:tr w:rsidR="008A0A12" w:rsidRPr="00BC28F2" w14:paraId="51B1BB8E" w14:textId="77777777" w:rsidTr="008228FC">
        <w:tc>
          <w:tcPr>
            <w:tcW w:w="4643" w:type="dxa"/>
          </w:tcPr>
          <w:p w14:paraId="12DB1D7C" w14:textId="77777777" w:rsidR="008A0A12" w:rsidRPr="00BC28F2" w:rsidRDefault="008A0A12" w:rsidP="006B77AE">
            <w:pPr>
              <w:tabs>
                <w:tab w:val="num" w:pos="540"/>
              </w:tabs>
              <w:ind w:left="425" w:hanging="533"/>
              <w:jc w:val="both"/>
              <w:rPr>
                <w:iCs/>
              </w:rPr>
            </w:pPr>
            <w:r w:rsidRPr="00BC28F2">
              <w:rPr>
                <w:iCs/>
              </w:rPr>
              <w:t>S kopií pro:</w:t>
            </w:r>
          </w:p>
        </w:tc>
        <w:tc>
          <w:tcPr>
            <w:tcW w:w="3829" w:type="dxa"/>
          </w:tcPr>
          <w:p w14:paraId="7B06DF4E" w14:textId="65322B57" w:rsidR="008A0A12" w:rsidRPr="00BC28F2" w:rsidRDefault="00D73DD0" w:rsidP="006B77AE">
            <w:pPr>
              <w:tabs>
                <w:tab w:val="num" w:pos="540"/>
              </w:tabs>
              <w:ind w:left="425" w:hanging="425"/>
              <w:jc w:val="both"/>
              <w:rPr>
                <w:iCs/>
              </w:rPr>
            </w:pPr>
            <w:r>
              <w:rPr>
                <w:iCs/>
              </w:rPr>
              <w:t>xxxxxxxxxx</w:t>
            </w:r>
            <w:r w:rsidR="00126495" w:rsidRPr="00BC28F2">
              <w:rPr>
                <w:iCs/>
              </w:rPr>
              <w:t>@ppfreal.com</w:t>
            </w:r>
          </w:p>
        </w:tc>
      </w:tr>
      <w:tr w:rsidR="00F364BA" w:rsidRPr="00BC28F2" w14:paraId="168D12FF" w14:textId="77777777" w:rsidTr="00F364BA">
        <w:tc>
          <w:tcPr>
            <w:tcW w:w="4643" w:type="dxa"/>
          </w:tcPr>
          <w:p w14:paraId="2A7518F8" w14:textId="77777777" w:rsidR="00F364BA" w:rsidRPr="00BC28F2" w:rsidRDefault="00F364BA" w:rsidP="00F364BA">
            <w:pPr>
              <w:tabs>
                <w:tab w:val="num" w:pos="540"/>
              </w:tabs>
              <w:ind w:left="425" w:hanging="533"/>
              <w:jc w:val="both"/>
              <w:rPr>
                <w:iCs/>
              </w:rPr>
            </w:pPr>
            <w:r w:rsidRPr="00BC28F2">
              <w:rPr>
                <w:iCs/>
              </w:rPr>
              <w:t>Datová schránka:</w:t>
            </w:r>
          </w:p>
        </w:tc>
        <w:tc>
          <w:tcPr>
            <w:tcW w:w="3829" w:type="dxa"/>
          </w:tcPr>
          <w:p w14:paraId="694BA886" w14:textId="77777777" w:rsidR="00F364BA" w:rsidRPr="00BC28F2" w:rsidRDefault="00F364BA" w:rsidP="00F364BA">
            <w:pPr>
              <w:tabs>
                <w:tab w:val="num" w:pos="540"/>
              </w:tabs>
              <w:ind w:left="425" w:hanging="425"/>
              <w:jc w:val="both"/>
              <w:rPr>
                <w:iCs/>
              </w:rPr>
            </w:pPr>
            <w:r w:rsidRPr="00BC28F2">
              <w:rPr>
                <w:iCs/>
              </w:rPr>
              <w:t>kf79pnm</w:t>
            </w:r>
          </w:p>
        </w:tc>
      </w:tr>
    </w:tbl>
    <w:p w14:paraId="3D1E6CD8" w14:textId="77777777" w:rsidR="008A0A12" w:rsidRPr="00BC28F2" w:rsidRDefault="008A0A12" w:rsidP="008A0A12">
      <w:pPr>
        <w:tabs>
          <w:tab w:val="num" w:pos="540"/>
        </w:tabs>
        <w:ind w:left="426"/>
        <w:jc w:val="both"/>
        <w:rPr>
          <w:iCs/>
        </w:rPr>
      </w:pPr>
    </w:p>
    <w:p w14:paraId="53427AC0" w14:textId="77777777" w:rsidR="00F364BA" w:rsidRPr="00BC28F2" w:rsidRDefault="00F364BA" w:rsidP="00C30959">
      <w:pPr>
        <w:tabs>
          <w:tab w:val="num" w:pos="567"/>
        </w:tabs>
        <w:ind w:left="426"/>
        <w:jc w:val="both"/>
        <w:rPr>
          <w:b/>
          <w:iCs/>
        </w:rPr>
      </w:pPr>
      <w:r w:rsidRPr="00BC28F2">
        <w:rPr>
          <w:b/>
          <w:iCs/>
        </w:rPr>
        <w:t>Nájemce:</w:t>
      </w:r>
    </w:p>
    <w:tbl>
      <w:tblPr>
        <w:tblW w:w="0" w:type="auto"/>
        <w:tblInd w:w="534" w:type="dxa"/>
        <w:tblLayout w:type="fixed"/>
        <w:tblLook w:val="0000" w:firstRow="0" w:lastRow="0" w:firstColumn="0" w:lastColumn="0" w:noHBand="0" w:noVBand="0"/>
      </w:tblPr>
      <w:tblGrid>
        <w:gridCol w:w="4643"/>
        <w:gridCol w:w="3829"/>
      </w:tblGrid>
      <w:tr w:rsidR="00F364BA" w:rsidRPr="00BC28F2" w14:paraId="0E172A96" w14:textId="77777777" w:rsidTr="00EE6FCF">
        <w:tc>
          <w:tcPr>
            <w:tcW w:w="4643" w:type="dxa"/>
          </w:tcPr>
          <w:p w14:paraId="386C0140" w14:textId="77777777" w:rsidR="00F364BA" w:rsidRPr="00BC28F2" w:rsidRDefault="00F364BA" w:rsidP="00C30959">
            <w:pPr>
              <w:tabs>
                <w:tab w:val="num" w:pos="540"/>
              </w:tabs>
              <w:ind w:left="-105"/>
              <w:jc w:val="both"/>
              <w:rPr>
                <w:iCs/>
              </w:rPr>
            </w:pPr>
            <w:r w:rsidRPr="00BC28F2">
              <w:rPr>
                <w:iCs/>
              </w:rPr>
              <w:t>Společnost:</w:t>
            </w:r>
          </w:p>
        </w:tc>
        <w:tc>
          <w:tcPr>
            <w:tcW w:w="3829" w:type="dxa"/>
          </w:tcPr>
          <w:p w14:paraId="2278C480" w14:textId="773CDB94" w:rsidR="00F364BA" w:rsidRPr="00BC28F2" w:rsidRDefault="00F364BA" w:rsidP="00C30959">
            <w:pPr>
              <w:tabs>
                <w:tab w:val="num" w:pos="540"/>
              </w:tabs>
              <w:ind w:left="-105"/>
              <w:jc w:val="both"/>
              <w:rPr>
                <w:iCs/>
              </w:rPr>
            </w:pPr>
            <w:r w:rsidRPr="00BC28F2">
              <w:rPr>
                <w:b/>
                <w:iCs/>
              </w:rPr>
              <w:t>Centrum pro regionální rozvoj České republiky</w:t>
            </w:r>
          </w:p>
        </w:tc>
      </w:tr>
      <w:tr w:rsidR="00F364BA" w:rsidRPr="00BC28F2" w14:paraId="05D4213F" w14:textId="77777777" w:rsidTr="00EE6FCF">
        <w:tc>
          <w:tcPr>
            <w:tcW w:w="4643" w:type="dxa"/>
          </w:tcPr>
          <w:p w14:paraId="29C965EE" w14:textId="77777777" w:rsidR="00F364BA" w:rsidRPr="00BC28F2" w:rsidRDefault="00F364BA" w:rsidP="00C30959">
            <w:pPr>
              <w:tabs>
                <w:tab w:val="num" w:pos="540"/>
              </w:tabs>
              <w:ind w:left="-105"/>
              <w:jc w:val="both"/>
              <w:rPr>
                <w:iCs/>
              </w:rPr>
            </w:pPr>
            <w:r w:rsidRPr="00BC28F2">
              <w:rPr>
                <w:iCs/>
              </w:rPr>
              <w:t>K rukám:</w:t>
            </w:r>
          </w:p>
        </w:tc>
        <w:tc>
          <w:tcPr>
            <w:tcW w:w="3829" w:type="dxa"/>
          </w:tcPr>
          <w:p w14:paraId="2E582019" w14:textId="74C0B300" w:rsidR="00F364BA" w:rsidRPr="00BC28F2" w:rsidRDefault="00F364BA" w:rsidP="00C30959">
            <w:pPr>
              <w:tabs>
                <w:tab w:val="num" w:pos="540"/>
              </w:tabs>
              <w:ind w:left="-105"/>
              <w:jc w:val="both"/>
            </w:pPr>
            <w:r w:rsidRPr="00BC28F2">
              <w:rPr>
                <w:iCs/>
              </w:rPr>
              <w:t>Petr Štěpánek, Ph.D.</w:t>
            </w:r>
          </w:p>
        </w:tc>
      </w:tr>
      <w:tr w:rsidR="00F364BA" w:rsidRPr="00BC28F2" w14:paraId="281BB823" w14:textId="77777777" w:rsidTr="00EE6FCF">
        <w:tc>
          <w:tcPr>
            <w:tcW w:w="4643" w:type="dxa"/>
          </w:tcPr>
          <w:p w14:paraId="360C3046" w14:textId="77777777" w:rsidR="00F364BA" w:rsidRPr="00BC28F2" w:rsidRDefault="00F364BA" w:rsidP="00C30959">
            <w:pPr>
              <w:tabs>
                <w:tab w:val="num" w:pos="540"/>
              </w:tabs>
              <w:ind w:left="-105"/>
              <w:jc w:val="both"/>
              <w:rPr>
                <w:iCs/>
              </w:rPr>
            </w:pPr>
            <w:r w:rsidRPr="00BC28F2">
              <w:rPr>
                <w:iCs/>
              </w:rPr>
              <w:t>Adresa:</w:t>
            </w:r>
          </w:p>
        </w:tc>
        <w:tc>
          <w:tcPr>
            <w:tcW w:w="3829" w:type="dxa"/>
          </w:tcPr>
          <w:p w14:paraId="0CA4C4B9" w14:textId="3929B64E" w:rsidR="00F364BA" w:rsidRPr="00BC28F2" w:rsidRDefault="00C30959" w:rsidP="00C30959">
            <w:pPr>
              <w:ind w:left="-105"/>
              <w:jc w:val="both"/>
              <w:outlineLvl w:val="0"/>
              <w:rPr>
                <w:iCs/>
              </w:rPr>
            </w:pPr>
            <w:r w:rsidRPr="00BC28F2">
              <w:rPr>
                <w:iCs/>
              </w:rPr>
              <w:t>Argentinská 1610/4, 170 00  Praha 7-Holešovice</w:t>
            </w:r>
          </w:p>
        </w:tc>
      </w:tr>
      <w:tr w:rsidR="00F364BA" w:rsidRPr="00BC28F2" w14:paraId="60CB267B" w14:textId="77777777" w:rsidTr="00EE6FCF">
        <w:tc>
          <w:tcPr>
            <w:tcW w:w="4643" w:type="dxa"/>
          </w:tcPr>
          <w:p w14:paraId="4A73E2C4" w14:textId="77777777" w:rsidR="00F364BA" w:rsidRPr="00BC28F2" w:rsidRDefault="00F364BA" w:rsidP="00C30959">
            <w:pPr>
              <w:tabs>
                <w:tab w:val="num" w:pos="540"/>
              </w:tabs>
              <w:ind w:left="-105"/>
              <w:jc w:val="both"/>
              <w:rPr>
                <w:iCs/>
              </w:rPr>
            </w:pPr>
            <w:r w:rsidRPr="00BC28F2">
              <w:rPr>
                <w:iCs/>
              </w:rPr>
              <w:t>E-mail:</w:t>
            </w:r>
          </w:p>
        </w:tc>
        <w:tc>
          <w:tcPr>
            <w:tcW w:w="3829" w:type="dxa"/>
          </w:tcPr>
          <w:p w14:paraId="5ACF610D" w14:textId="57356482" w:rsidR="00F364BA" w:rsidRPr="00BC28F2" w:rsidRDefault="00D73DD0" w:rsidP="00C30959">
            <w:pPr>
              <w:tabs>
                <w:tab w:val="num" w:pos="540"/>
              </w:tabs>
              <w:ind w:left="-105"/>
              <w:jc w:val="both"/>
            </w:pPr>
            <w:hyperlink r:id="rId13" w:history="1">
              <w:r w:rsidRPr="00915174">
                <w:rPr>
                  <w:rStyle w:val="Hypertextovodkaz"/>
                  <w:iCs/>
                </w:rPr>
                <w:t>xxxxxxxxxxxx@crr.gov.cz</w:t>
              </w:r>
            </w:hyperlink>
            <w:r w:rsidR="00F364BA" w:rsidRPr="00BC28F2">
              <w:rPr>
                <w:iCs/>
              </w:rPr>
              <w:t xml:space="preserve"> </w:t>
            </w:r>
          </w:p>
        </w:tc>
      </w:tr>
      <w:tr w:rsidR="00F364BA" w:rsidRPr="00BC28F2" w14:paraId="745DD9C1" w14:textId="77777777" w:rsidTr="00EE6FCF">
        <w:tc>
          <w:tcPr>
            <w:tcW w:w="4643" w:type="dxa"/>
          </w:tcPr>
          <w:p w14:paraId="6C903910" w14:textId="77777777" w:rsidR="00F364BA" w:rsidRPr="00BC28F2" w:rsidRDefault="00F364BA" w:rsidP="00F364BA">
            <w:pPr>
              <w:tabs>
                <w:tab w:val="num" w:pos="540"/>
              </w:tabs>
              <w:ind w:left="-105"/>
              <w:jc w:val="both"/>
              <w:rPr>
                <w:iCs/>
              </w:rPr>
            </w:pPr>
            <w:r w:rsidRPr="00BC28F2">
              <w:rPr>
                <w:iCs/>
              </w:rPr>
              <w:t>S kopií pro:</w:t>
            </w:r>
          </w:p>
        </w:tc>
        <w:tc>
          <w:tcPr>
            <w:tcW w:w="3829" w:type="dxa"/>
          </w:tcPr>
          <w:p w14:paraId="73EA08BB" w14:textId="6B969215" w:rsidR="00F364BA" w:rsidRPr="00BC28F2" w:rsidRDefault="00C40CA5" w:rsidP="00F364BA">
            <w:pPr>
              <w:tabs>
                <w:tab w:val="num" w:pos="540"/>
              </w:tabs>
              <w:ind w:left="-105"/>
              <w:jc w:val="both"/>
            </w:pPr>
            <w:hyperlink r:id="rId14" w:history="1">
              <w:r w:rsidRPr="00BC28F2">
                <w:rPr>
                  <w:rStyle w:val="Hypertextovodkaz"/>
                  <w:iCs/>
                </w:rPr>
                <w:t>podatelna@crr.gov.cz</w:t>
              </w:r>
            </w:hyperlink>
            <w:r w:rsidRPr="00BC28F2">
              <w:rPr>
                <w:iCs/>
              </w:rPr>
              <w:t xml:space="preserve"> </w:t>
            </w:r>
          </w:p>
        </w:tc>
      </w:tr>
      <w:tr w:rsidR="00F364BA" w:rsidRPr="00BC28F2" w14:paraId="561B4CE4" w14:textId="77777777" w:rsidTr="00EE6FCF">
        <w:tc>
          <w:tcPr>
            <w:tcW w:w="4643" w:type="dxa"/>
          </w:tcPr>
          <w:p w14:paraId="4F77A9A3" w14:textId="77777777" w:rsidR="00F364BA" w:rsidRPr="00BC28F2" w:rsidRDefault="00F364BA" w:rsidP="00F364BA">
            <w:pPr>
              <w:tabs>
                <w:tab w:val="num" w:pos="540"/>
              </w:tabs>
              <w:ind w:left="-105"/>
              <w:jc w:val="both"/>
              <w:rPr>
                <w:iCs/>
              </w:rPr>
            </w:pPr>
            <w:r w:rsidRPr="00BC28F2">
              <w:rPr>
                <w:iCs/>
              </w:rPr>
              <w:t>Datová schránka:</w:t>
            </w:r>
          </w:p>
        </w:tc>
        <w:tc>
          <w:tcPr>
            <w:tcW w:w="3829" w:type="dxa"/>
          </w:tcPr>
          <w:p w14:paraId="3CB3BB0A" w14:textId="77777777" w:rsidR="00F364BA" w:rsidRPr="00BC28F2" w:rsidRDefault="00F364BA" w:rsidP="00F364BA">
            <w:pPr>
              <w:tabs>
                <w:tab w:val="num" w:pos="540"/>
              </w:tabs>
              <w:ind w:left="-105"/>
              <w:jc w:val="both"/>
            </w:pPr>
            <w:r w:rsidRPr="00BC28F2">
              <w:rPr>
                <w:iCs/>
              </w:rPr>
              <w:t>mt6427q</w:t>
            </w:r>
          </w:p>
        </w:tc>
      </w:tr>
    </w:tbl>
    <w:p w14:paraId="7061B3FF" w14:textId="77777777" w:rsidR="00F364BA" w:rsidRPr="00BC28F2" w:rsidRDefault="00F364BA" w:rsidP="00C30959">
      <w:pPr>
        <w:jc w:val="center"/>
        <w:rPr>
          <w:b/>
        </w:rPr>
      </w:pPr>
    </w:p>
    <w:p w14:paraId="6F43306D" w14:textId="77777777" w:rsidR="0029295E" w:rsidRPr="00BC28F2" w:rsidRDefault="008A0A12">
      <w:pPr>
        <w:jc w:val="center"/>
        <w:rPr>
          <w:b/>
          <w:szCs w:val="24"/>
        </w:rPr>
      </w:pPr>
      <w:r w:rsidRPr="00BC28F2">
        <w:rPr>
          <w:b/>
          <w:szCs w:val="24"/>
        </w:rPr>
        <w:t>X</w:t>
      </w:r>
      <w:r w:rsidR="0029295E" w:rsidRPr="00BC28F2">
        <w:rPr>
          <w:b/>
          <w:szCs w:val="24"/>
        </w:rPr>
        <w:t>.</w:t>
      </w:r>
    </w:p>
    <w:p w14:paraId="7FA5A9EC" w14:textId="77777777" w:rsidR="00AA4E21" w:rsidRPr="00BC28F2" w:rsidRDefault="00AA4E21">
      <w:pPr>
        <w:jc w:val="center"/>
        <w:rPr>
          <w:b/>
          <w:szCs w:val="24"/>
        </w:rPr>
      </w:pPr>
    </w:p>
    <w:p w14:paraId="1174CB55" w14:textId="77777777" w:rsidR="006D567D" w:rsidRPr="00BC28F2" w:rsidRDefault="006D567D" w:rsidP="00924133">
      <w:pPr>
        <w:pStyle w:val="Zkladntextodsazen"/>
        <w:numPr>
          <w:ilvl w:val="0"/>
          <w:numId w:val="5"/>
        </w:numPr>
        <w:tabs>
          <w:tab w:val="clear" w:pos="720"/>
          <w:tab w:val="num" w:pos="426"/>
        </w:tabs>
        <w:ind w:left="426" w:hanging="426"/>
        <w:rPr>
          <w:szCs w:val="24"/>
        </w:rPr>
      </w:pPr>
      <w:r w:rsidRPr="00BC28F2">
        <w:rPr>
          <w:szCs w:val="24"/>
        </w:rPr>
        <w:t xml:space="preserve">Práva a povinnosti touto </w:t>
      </w:r>
      <w:r w:rsidR="00736484" w:rsidRPr="00BC28F2">
        <w:rPr>
          <w:szCs w:val="24"/>
        </w:rPr>
        <w:t>Smlouv</w:t>
      </w:r>
      <w:r w:rsidRPr="00BC28F2">
        <w:rPr>
          <w:szCs w:val="24"/>
        </w:rPr>
        <w:t>ou výslovně neupravená se řídí zákonem č.</w:t>
      </w:r>
      <w:r w:rsidR="006B77AE" w:rsidRPr="00BC28F2">
        <w:rPr>
          <w:szCs w:val="24"/>
        </w:rPr>
        <w:t xml:space="preserve"> </w:t>
      </w:r>
      <w:r w:rsidR="00924133" w:rsidRPr="00BC28F2">
        <w:rPr>
          <w:szCs w:val="23"/>
        </w:rPr>
        <w:t>89/2012 Sb., občanský zákoník, v platném znění</w:t>
      </w:r>
      <w:r w:rsidR="006B77AE" w:rsidRPr="00BC28F2">
        <w:rPr>
          <w:szCs w:val="23"/>
        </w:rPr>
        <w:t xml:space="preserve"> (dále jen „</w:t>
      </w:r>
      <w:r w:rsidR="006B77AE" w:rsidRPr="00BC28F2">
        <w:rPr>
          <w:b/>
          <w:szCs w:val="23"/>
        </w:rPr>
        <w:t>Zákon</w:t>
      </w:r>
      <w:r w:rsidR="006B77AE" w:rsidRPr="00BC28F2">
        <w:rPr>
          <w:szCs w:val="23"/>
        </w:rPr>
        <w:t>“)</w:t>
      </w:r>
      <w:r w:rsidRPr="00BC28F2">
        <w:rPr>
          <w:szCs w:val="24"/>
        </w:rPr>
        <w:t>.</w:t>
      </w:r>
    </w:p>
    <w:p w14:paraId="48A93473" w14:textId="77777777" w:rsidR="002A5F78" w:rsidRPr="00BC28F2" w:rsidRDefault="002A5F78" w:rsidP="002A5F78">
      <w:pPr>
        <w:pStyle w:val="Zkladntextodsazen"/>
        <w:ind w:firstLine="0"/>
        <w:rPr>
          <w:szCs w:val="24"/>
        </w:rPr>
      </w:pPr>
    </w:p>
    <w:p w14:paraId="1E4DFEF0" w14:textId="7DE3ADD8" w:rsidR="006D567D" w:rsidRPr="00BC28F2" w:rsidRDefault="006D567D" w:rsidP="00924133">
      <w:pPr>
        <w:pStyle w:val="Zkladntextodsazen"/>
        <w:numPr>
          <w:ilvl w:val="0"/>
          <w:numId w:val="5"/>
        </w:numPr>
        <w:tabs>
          <w:tab w:val="clear" w:pos="720"/>
          <w:tab w:val="num" w:pos="426"/>
        </w:tabs>
        <w:ind w:left="426" w:hanging="426"/>
        <w:rPr>
          <w:szCs w:val="24"/>
        </w:rPr>
      </w:pPr>
      <w:r w:rsidRPr="00BC28F2">
        <w:rPr>
          <w:szCs w:val="24"/>
        </w:rPr>
        <w:t xml:space="preserve">Tato </w:t>
      </w:r>
      <w:r w:rsidR="00736484" w:rsidRPr="00BC28F2">
        <w:rPr>
          <w:szCs w:val="24"/>
        </w:rPr>
        <w:t>Smlouv</w:t>
      </w:r>
      <w:r w:rsidRPr="00BC28F2">
        <w:rPr>
          <w:szCs w:val="24"/>
        </w:rPr>
        <w:t>a nabývá platnosti dnem podpisu oběma smluvními stranami</w:t>
      </w:r>
      <w:r w:rsidR="00B128E5" w:rsidRPr="00BC28F2">
        <w:rPr>
          <w:szCs w:val="24"/>
        </w:rPr>
        <w:t xml:space="preserve"> a účinnosti dne</w:t>
      </w:r>
      <w:r w:rsidR="00506985" w:rsidRPr="00BC28F2">
        <w:rPr>
          <w:b/>
          <w:iCs/>
        </w:rPr>
        <w:t xml:space="preserve"> </w:t>
      </w:r>
      <w:r w:rsidR="000F3F3D" w:rsidRPr="00BC28F2">
        <w:rPr>
          <w:b/>
          <w:iCs/>
        </w:rPr>
        <w:t>1.</w:t>
      </w:r>
      <w:r w:rsidR="007B442B" w:rsidRPr="00BC28F2">
        <w:rPr>
          <w:b/>
          <w:iCs/>
        </w:rPr>
        <w:t>4</w:t>
      </w:r>
      <w:r w:rsidR="000F3F3D" w:rsidRPr="00BC28F2">
        <w:rPr>
          <w:b/>
          <w:iCs/>
        </w:rPr>
        <w:t>.202</w:t>
      </w:r>
      <w:r w:rsidR="009A1F15" w:rsidRPr="00BC28F2">
        <w:rPr>
          <w:b/>
          <w:iCs/>
        </w:rPr>
        <w:t>6</w:t>
      </w:r>
      <w:r w:rsidR="008634A7" w:rsidRPr="00BC28F2">
        <w:rPr>
          <w:iCs/>
        </w:rPr>
        <w:t>.</w:t>
      </w:r>
    </w:p>
    <w:p w14:paraId="313A0AE4" w14:textId="77777777" w:rsidR="00924133" w:rsidRPr="00BC28F2" w:rsidRDefault="00924133" w:rsidP="00924133">
      <w:pPr>
        <w:pStyle w:val="Odstavecseseznamem"/>
      </w:pPr>
    </w:p>
    <w:p w14:paraId="1AC08E2B" w14:textId="02D68868" w:rsidR="00924133" w:rsidRPr="00BC28F2" w:rsidRDefault="00924133" w:rsidP="00924133">
      <w:pPr>
        <w:pStyle w:val="Zkladntextodsazen"/>
        <w:numPr>
          <w:ilvl w:val="0"/>
          <w:numId w:val="5"/>
        </w:numPr>
        <w:tabs>
          <w:tab w:val="clear" w:pos="720"/>
          <w:tab w:val="num" w:pos="426"/>
        </w:tabs>
        <w:ind w:left="426" w:hanging="426"/>
        <w:rPr>
          <w:szCs w:val="24"/>
        </w:rPr>
      </w:pPr>
      <w:r w:rsidRPr="00BC28F2">
        <w:rPr>
          <w:iCs/>
        </w:rPr>
        <w:t xml:space="preserve">Strany se navzájem ujišťují, že ujednání této Smlouvy jsou učiněná v oboustranné dobré víře a v souladu s dobrými mravy. Strany si jsou při uzavírání této Smlouvy vědomy možnosti budoucích změn poměrů na trhu v oblasti jejich činnosti a prohlašují, že tyto změny představují riziko spojené s jejich činností, které nesou samy a dohodly se a považují za spravedlivé, že v důsledku takových případných změn nemohou uplatňovat vůči druhé </w:t>
      </w:r>
      <w:r w:rsidR="006B77AE" w:rsidRPr="00BC28F2">
        <w:rPr>
          <w:iCs/>
        </w:rPr>
        <w:t>s</w:t>
      </w:r>
      <w:r w:rsidRPr="00BC28F2">
        <w:rPr>
          <w:iCs/>
        </w:rPr>
        <w:t>traně žádná práva.</w:t>
      </w:r>
      <w:r w:rsidRPr="00BC28F2">
        <w:rPr>
          <w:szCs w:val="24"/>
        </w:rPr>
        <w:t xml:space="preserve">  </w:t>
      </w:r>
    </w:p>
    <w:p w14:paraId="681ACA15" w14:textId="77777777" w:rsidR="00924133" w:rsidRPr="00BC28F2" w:rsidRDefault="00924133" w:rsidP="00924133">
      <w:pPr>
        <w:pStyle w:val="Odstavecseseznamem"/>
        <w:rPr>
          <w:iCs/>
        </w:rPr>
      </w:pPr>
    </w:p>
    <w:p w14:paraId="66C765E3" w14:textId="77777777" w:rsidR="00924133" w:rsidRPr="00BC28F2" w:rsidRDefault="00924133" w:rsidP="00924133">
      <w:pPr>
        <w:numPr>
          <w:ilvl w:val="0"/>
          <w:numId w:val="5"/>
        </w:numPr>
        <w:tabs>
          <w:tab w:val="clear" w:pos="720"/>
          <w:tab w:val="num" w:pos="426"/>
        </w:tabs>
        <w:ind w:left="426" w:hanging="426"/>
        <w:jc w:val="both"/>
        <w:rPr>
          <w:iCs/>
        </w:rPr>
      </w:pPr>
      <w:r w:rsidRPr="00BC28F2">
        <w:rPr>
          <w:iCs/>
        </w:rPr>
        <w:t xml:space="preserve">Strany shodně prohlašují, že si sdělily všechny skutkové okolnosti, o nichž </w:t>
      </w:r>
      <w:r w:rsidR="006B77AE" w:rsidRPr="00BC28F2">
        <w:rPr>
          <w:iCs/>
        </w:rPr>
        <w:t>s</w:t>
      </w:r>
      <w:r w:rsidRPr="00BC28F2">
        <w:rPr>
          <w:iCs/>
        </w:rPr>
        <w:t>trany k datu podpisu této Smlouvy věděly nebo musely vědět, a které jsou podstatné ve vztahu k uzavření této S</w:t>
      </w:r>
      <w:r w:rsidR="006B77AE" w:rsidRPr="00BC28F2">
        <w:rPr>
          <w:iCs/>
        </w:rPr>
        <w:t>mlouvy. Vyjma ujištění, jež si s</w:t>
      </w:r>
      <w:r w:rsidRPr="00BC28F2">
        <w:rPr>
          <w:iCs/>
        </w:rPr>
        <w:t xml:space="preserve">trany poskytly v této Smlouvě, nebude mít žádná ze </w:t>
      </w:r>
      <w:r w:rsidR="006B77AE" w:rsidRPr="00BC28F2">
        <w:rPr>
          <w:iCs/>
        </w:rPr>
        <w:t>s</w:t>
      </w:r>
      <w:r w:rsidRPr="00BC28F2">
        <w:rPr>
          <w:iCs/>
        </w:rPr>
        <w:t xml:space="preserve">tran jakákoliv další práva a povinnosti v souvislosti se skutečnostmi, které vyjdou najevo a o kterých neposkytla druhá </w:t>
      </w:r>
      <w:r w:rsidR="006B77AE" w:rsidRPr="00BC28F2">
        <w:rPr>
          <w:iCs/>
        </w:rPr>
        <w:t>s</w:t>
      </w:r>
      <w:r w:rsidRPr="00BC28F2">
        <w:rPr>
          <w:iCs/>
        </w:rPr>
        <w:t xml:space="preserve">trana informace v rámci jednání o této Smlouvě. Toto ustanovení se nevztahuje na případy, kdy daná </w:t>
      </w:r>
      <w:r w:rsidR="006B77AE" w:rsidRPr="00BC28F2">
        <w:rPr>
          <w:iCs/>
        </w:rPr>
        <w:t>s</w:t>
      </w:r>
      <w:r w:rsidRPr="00BC28F2">
        <w:rPr>
          <w:iCs/>
        </w:rPr>
        <w:t xml:space="preserve">trana úmyslně uvedla druhou </w:t>
      </w:r>
      <w:r w:rsidR="006B77AE" w:rsidRPr="00BC28F2">
        <w:rPr>
          <w:iCs/>
        </w:rPr>
        <w:t>s</w:t>
      </w:r>
      <w:r w:rsidRPr="00BC28F2">
        <w:rPr>
          <w:iCs/>
        </w:rPr>
        <w:t>tranu ve skutkový omyl ohledně předmětu či podstatných náležitostí této Smlouvy.</w:t>
      </w:r>
    </w:p>
    <w:p w14:paraId="0A9CA2A4" w14:textId="77777777" w:rsidR="00924133" w:rsidRPr="00BC28F2" w:rsidRDefault="00924133" w:rsidP="00924133">
      <w:pPr>
        <w:pStyle w:val="Odstavecseseznamem"/>
        <w:rPr>
          <w:iCs/>
        </w:rPr>
      </w:pPr>
    </w:p>
    <w:p w14:paraId="361813A5" w14:textId="77777777" w:rsidR="00924133" w:rsidRPr="00BC28F2" w:rsidRDefault="00924133" w:rsidP="00924133">
      <w:pPr>
        <w:numPr>
          <w:ilvl w:val="0"/>
          <w:numId w:val="5"/>
        </w:numPr>
        <w:tabs>
          <w:tab w:val="clear" w:pos="720"/>
          <w:tab w:val="num" w:pos="426"/>
        </w:tabs>
        <w:ind w:left="426" w:hanging="426"/>
        <w:jc w:val="both"/>
        <w:rPr>
          <w:iCs/>
        </w:rPr>
      </w:pPr>
      <w:r w:rsidRPr="00BC28F2">
        <w:rPr>
          <w:iCs/>
        </w:rPr>
        <w:t xml:space="preserve">S ohledem na ustanovení § 1726 Zákona </w:t>
      </w:r>
      <w:r w:rsidR="006B77AE" w:rsidRPr="00BC28F2">
        <w:rPr>
          <w:iCs/>
        </w:rPr>
        <w:t>s</w:t>
      </w:r>
      <w:r w:rsidRPr="00BC28F2">
        <w:rPr>
          <w:iCs/>
        </w:rPr>
        <w:t xml:space="preserve">trany prohlašují, že tato Smlouva obsahuje ujednání o všech náležitostech, které </w:t>
      </w:r>
      <w:r w:rsidR="006B77AE" w:rsidRPr="00BC28F2">
        <w:rPr>
          <w:iCs/>
        </w:rPr>
        <w:t>s</w:t>
      </w:r>
      <w:r w:rsidRPr="00BC28F2">
        <w:rPr>
          <w:iCs/>
        </w:rPr>
        <w:t xml:space="preserve">trany měly a chtěly ve Smlouvě ujednat a </w:t>
      </w:r>
      <w:r w:rsidR="006B77AE" w:rsidRPr="00BC28F2">
        <w:rPr>
          <w:iCs/>
        </w:rPr>
        <w:t>s</w:t>
      </w:r>
      <w:r w:rsidRPr="00BC28F2">
        <w:rPr>
          <w:iCs/>
        </w:rPr>
        <w:t xml:space="preserve">trany dospěly ke shodě ohledně všech </w:t>
      </w:r>
      <w:r w:rsidR="006B77AE" w:rsidRPr="00BC28F2">
        <w:rPr>
          <w:iCs/>
        </w:rPr>
        <w:t>náležitostí, které si každá ze s</w:t>
      </w:r>
      <w:r w:rsidRPr="00BC28F2">
        <w:rPr>
          <w:iCs/>
        </w:rPr>
        <w:t xml:space="preserve">tran stanovila jako předpoklad pro uzavření této Smlouvy.  </w:t>
      </w:r>
    </w:p>
    <w:p w14:paraId="54B65EE8" w14:textId="77777777" w:rsidR="00924133" w:rsidRPr="00BC28F2" w:rsidRDefault="00924133" w:rsidP="00924133">
      <w:pPr>
        <w:pStyle w:val="Odstavecseseznamem"/>
        <w:rPr>
          <w:iCs/>
        </w:rPr>
      </w:pPr>
    </w:p>
    <w:p w14:paraId="7363CC6F" w14:textId="77777777" w:rsidR="00924133" w:rsidRPr="00BC28F2" w:rsidRDefault="00924133" w:rsidP="00924133">
      <w:pPr>
        <w:numPr>
          <w:ilvl w:val="0"/>
          <w:numId w:val="5"/>
        </w:numPr>
        <w:tabs>
          <w:tab w:val="clear" w:pos="720"/>
          <w:tab w:val="num" w:pos="426"/>
        </w:tabs>
        <w:ind w:left="426" w:hanging="426"/>
        <w:jc w:val="both"/>
        <w:rPr>
          <w:iCs/>
        </w:rPr>
      </w:pPr>
      <w:r w:rsidRPr="00BC28F2">
        <w:rPr>
          <w:iCs/>
        </w:rPr>
        <w:t>Tato Smlou</w:t>
      </w:r>
      <w:r w:rsidR="006B77AE" w:rsidRPr="00BC28F2">
        <w:rPr>
          <w:iCs/>
        </w:rPr>
        <w:t>va tedy obsahuje úplnou dohodu s</w:t>
      </w:r>
      <w:r w:rsidRPr="00BC28F2">
        <w:rPr>
          <w:iCs/>
        </w:rPr>
        <w:t xml:space="preserve">tran a neexistují žádná jiná ujednání, ústní či písemná, která by upravovala předmět této Smlouvy, anebo pokud taková ujednání existovala, jsou tímto zrušena a nahrazena touto Smlouvou. Žádný projev </w:t>
      </w:r>
      <w:r w:rsidR="006B77AE" w:rsidRPr="00BC28F2">
        <w:rPr>
          <w:iCs/>
        </w:rPr>
        <w:t>s</w:t>
      </w:r>
      <w:r w:rsidRPr="00BC28F2">
        <w:rPr>
          <w:iCs/>
        </w:rPr>
        <w:t>tran učiněný při jednání o této Smlouvě ani projev učiněný po uzavření této Smlouvy nesmí být vykládán v rozporu s výslovnými ustanoveními této Smlouvy a nezakládá ž</w:t>
      </w:r>
      <w:r w:rsidR="006B77AE" w:rsidRPr="00BC28F2">
        <w:rPr>
          <w:iCs/>
        </w:rPr>
        <w:t>ádný závazek žádné ze s</w:t>
      </w:r>
      <w:r w:rsidRPr="00BC28F2">
        <w:rPr>
          <w:iCs/>
        </w:rPr>
        <w:t>tran.</w:t>
      </w:r>
    </w:p>
    <w:p w14:paraId="56A6BC94" w14:textId="77777777" w:rsidR="00924133" w:rsidRPr="00BC28F2" w:rsidRDefault="00924133" w:rsidP="00924133">
      <w:pPr>
        <w:pStyle w:val="Odstavecseseznamem"/>
        <w:rPr>
          <w:iCs/>
        </w:rPr>
      </w:pPr>
    </w:p>
    <w:p w14:paraId="559D5627" w14:textId="77777777" w:rsidR="00924133" w:rsidRPr="00BC28F2" w:rsidRDefault="00924133" w:rsidP="00924133">
      <w:pPr>
        <w:numPr>
          <w:ilvl w:val="0"/>
          <w:numId w:val="5"/>
        </w:numPr>
        <w:tabs>
          <w:tab w:val="clear" w:pos="720"/>
          <w:tab w:val="num" w:pos="426"/>
        </w:tabs>
        <w:ind w:left="426" w:hanging="426"/>
        <w:jc w:val="both"/>
        <w:rPr>
          <w:iCs/>
        </w:rPr>
      </w:pPr>
      <w:r w:rsidRPr="00BC28F2">
        <w:rPr>
          <w:iCs/>
        </w:rPr>
        <w:t xml:space="preserve">Smlouva byla dohodou </w:t>
      </w:r>
      <w:r w:rsidR="006B77AE" w:rsidRPr="00BC28F2">
        <w:rPr>
          <w:iCs/>
        </w:rPr>
        <w:t>s</w:t>
      </w:r>
      <w:r w:rsidRPr="00BC28F2">
        <w:rPr>
          <w:iCs/>
        </w:rPr>
        <w:t xml:space="preserve">tran sjednána v písemné formě. Strany sjednávají, že nebudou vázány žádným ujednáním, které nebude uzavřeno ve sjednané formě tedy písemně a zároveň nebude učiněno v podobě, která je sjednána ve větě třetí odst. </w:t>
      </w:r>
      <w:r w:rsidR="00B36304" w:rsidRPr="00BC28F2">
        <w:rPr>
          <w:iCs/>
        </w:rPr>
        <w:t>7</w:t>
      </w:r>
      <w:r w:rsidRPr="00BC28F2">
        <w:rPr>
          <w:iCs/>
        </w:rPr>
        <w:t xml:space="preserve">, tohoto § této Smlouvy. Veškeré změny či doplňky této Smlouvy je možné činit pouze písemnými vzestupně očíslovanými dodatky, podepsanými oprávněnými zástupci </w:t>
      </w:r>
      <w:r w:rsidR="006B77AE" w:rsidRPr="00BC28F2">
        <w:rPr>
          <w:iCs/>
        </w:rPr>
        <w:t>s</w:t>
      </w:r>
      <w:r w:rsidRPr="00BC28F2">
        <w:rPr>
          <w:iCs/>
        </w:rPr>
        <w:t xml:space="preserve">tran, stvrzujícími úplný a vzájemný konsensu obou </w:t>
      </w:r>
      <w:r w:rsidR="006B77AE" w:rsidRPr="00BC28F2">
        <w:rPr>
          <w:iCs/>
        </w:rPr>
        <w:t>s</w:t>
      </w:r>
      <w:r w:rsidRPr="00BC28F2">
        <w:rPr>
          <w:iCs/>
        </w:rPr>
        <w:t xml:space="preserve">tran. Změny či doplňky pořízené v této Smlouvě rukou, jsou-li opatřeny datem a podpisy oprávněných zástupců </w:t>
      </w:r>
      <w:r w:rsidR="006B77AE" w:rsidRPr="00BC28F2">
        <w:rPr>
          <w:iCs/>
        </w:rPr>
        <w:t>s</w:t>
      </w:r>
      <w:r w:rsidRPr="00BC28F2">
        <w:rPr>
          <w:iCs/>
        </w:rPr>
        <w:t xml:space="preserve">tran, mají přednost před ustanoveními této Smlouvy, která jsou v tištěné podobě. </w:t>
      </w:r>
    </w:p>
    <w:p w14:paraId="0FFEEE96" w14:textId="77777777" w:rsidR="00924133" w:rsidRPr="00BC28F2" w:rsidRDefault="00924133" w:rsidP="00924133">
      <w:pPr>
        <w:jc w:val="both"/>
        <w:rPr>
          <w:iCs/>
        </w:rPr>
      </w:pPr>
    </w:p>
    <w:p w14:paraId="4213B0DB" w14:textId="3DE64D50" w:rsidR="00924133" w:rsidRPr="00BC28F2" w:rsidRDefault="006B77AE" w:rsidP="00924133">
      <w:pPr>
        <w:numPr>
          <w:ilvl w:val="0"/>
          <w:numId w:val="5"/>
        </w:numPr>
        <w:tabs>
          <w:tab w:val="clear" w:pos="720"/>
          <w:tab w:val="num" w:pos="426"/>
        </w:tabs>
        <w:ind w:left="426" w:hanging="426"/>
        <w:jc w:val="both"/>
        <w:rPr>
          <w:iCs/>
        </w:rPr>
      </w:pPr>
      <w:r w:rsidRPr="00BC28F2">
        <w:rPr>
          <w:iCs/>
        </w:rPr>
        <w:t>Dohodou s</w:t>
      </w:r>
      <w:r w:rsidR="00924133" w:rsidRPr="00BC28F2">
        <w:rPr>
          <w:iCs/>
        </w:rPr>
        <w:t xml:space="preserve">tran se vylučují § 1765 až 1766 Zákona. Strany </w:t>
      </w:r>
      <w:r w:rsidR="00C2198F" w:rsidRPr="00BC28F2">
        <w:rPr>
          <w:iCs/>
        </w:rPr>
        <w:t xml:space="preserve">jí </w:t>
      </w:r>
      <w:r w:rsidR="00924133" w:rsidRPr="00BC28F2">
        <w:rPr>
          <w:iCs/>
        </w:rPr>
        <w:t>budou plně vázány, bez ohledu na změnu okolností, není-li tato v této Smlouvě výslovně předvídána a upravena.</w:t>
      </w:r>
    </w:p>
    <w:p w14:paraId="08749C86" w14:textId="77777777" w:rsidR="002A5F78" w:rsidRPr="00BC28F2" w:rsidRDefault="002A5F78" w:rsidP="002A5F78">
      <w:pPr>
        <w:pStyle w:val="Zkladntextodsazen"/>
        <w:ind w:firstLine="0"/>
        <w:rPr>
          <w:szCs w:val="24"/>
        </w:rPr>
      </w:pPr>
    </w:p>
    <w:p w14:paraId="7CA587C9" w14:textId="77777777" w:rsidR="002A4118" w:rsidRPr="00BC28F2" w:rsidRDefault="002A4118" w:rsidP="002A4118">
      <w:pPr>
        <w:numPr>
          <w:ilvl w:val="0"/>
          <w:numId w:val="5"/>
        </w:numPr>
        <w:tabs>
          <w:tab w:val="clear" w:pos="720"/>
          <w:tab w:val="num" w:pos="426"/>
        </w:tabs>
        <w:ind w:left="426" w:hanging="426"/>
        <w:jc w:val="both"/>
        <w:rPr>
          <w:iCs/>
        </w:rPr>
      </w:pPr>
      <w:r w:rsidRPr="00BC28F2">
        <w:rPr>
          <w:iCs/>
        </w:rPr>
        <w:t xml:space="preserve">Nájemce není oprávněn započíst si jakékoli své pohledávky vůči pohledávkám Pronajímatele vzniklých na základě nebo v souvislosti s touto Smlouvou, a to ani si započíst to, co může po Pronajímateli žádat podle § 2208, odst. 1 Zákona. </w:t>
      </w:r>
    </w:p>
    <w:p w14:paraId="75571251" w14:textId="77777777" w:rsidR="002A4118" w:rsidRPr="00BC28F2" w:rsidRDefault="002A4118" w:rsidP="002A4118">
      <w:pPr>
        <w:pStyle w:val="Odstavecseseznamem"/>
        <w:rPr>
          <w:iCs/>
        </w:rPr>
      </w:pPr>
    </w:p>
    <w:p w14:paraId="2866A7A3" w14:textId="77777777" w:rsidR="002A4118" w:rsidRPr="00BC28F2" w:rsidRDefault="002A4118" w:rsidP="002A4118">
      <w:pPr>
        <w:numPr>
          <w:ilvl w:val="0"/>
          <w:numId w:val="5"/>
        </w:numPr>
        <w:tabs>
          <w:tab w:val="clear" w:pos="720"/>
          <w:tab w:val="num" w:pos="426"/>
        </w:tabs>
        <w:ind w:left="426" w:hanging="426"/>
        <w:jc w:val="both"/>
        <w:rPr>
          <w:iCs/>
        </w:rPr>
      </w:pPr>
      <w:r w:rsidRPr="00BC28F2">
        <w:rPr>
          <w:iCs/>
        </w:rPr>
        <w:t xml:space="preserve">Nájemce není oprávněn bez písemného souhlasu Pronajímatele postoupit či zastavit jakékoli své pohledávky či práva za Pronajímatelem vzniklá na základě nebo v souvislosti s touto Smlouvou, a to včetně pohledávek či práv Nájemce, která vzniknou Nájemci na základě nebo v souvislosti s touto Smlouvou v budoucnu. </w:t>
      </w:r>
    </w:p>
    <w:p w14:paraId="0539D596" w14:textId="77777777" w:rsidR="002A4118" w:rsidRPr="00BC28F2" w:rsidRDefault="002A4118" w:rsidP="002A4118">
      <w:pPr>
        <w:tabs>
          <w:tab w:val="num" w:pos="540"/>
        </w:tabs>
        <w:ind w:left="540" w:hanging="540"/>
        <w:jc w:val="both"/>
        <w:rPr>
          <w:iCs/>
        </w:rPr>
      </w:pPr>
    </w:p>
    <w:p w14:paraId="16C385E8" w14:textId="4730CAA8" w:rsidR="002A4118" w:rsidRPr="00BC28F2" w:rsidRDefault="002A4118" w:rsidP="002A4118">
      <w:pPr>
        <w:numPr>
          <w:ilvl w:val="0"/>
          <w:numId w:val="5"/>
        </w:numPr>
        <w:tabs>
          <w:tab w:val="clear" w:pos="720"/>
          <w:tab w:val="num" w:pos="426"/>
        </w:tabs>
        <w:ind w:left="426" w:hanging="426"/>
        <w:jc w:val="both"/>
        <w:rPr>
          <w:iCs/>
        </w:rPr>
      </w:pPr>
      <w:r w:rsidRPr="00BC28F2">
        <w:rPr>
          <w:iCs/>
        </w:rPr>
        <w:t xml:space="preserve">Nájemce není oprávněn bez předchozího písemného souhlasu Pronajímatele postoupit tuto Smlouvu na třetí osobu. Souhlas Pronajímatele může být odepřen i bez udání důvodu. </w:t>
      </w:r>
      <w:r w:rsidR="00C2198F" w:rsidRPr="00BC28F2">
        <w:rPr>
          <w:iCs/>
        </w:rPr>
        <w:t xml:space="preserve">Pronajímatel dává souhlas s postoupením této Smlouvy na </w:t>
      </w:r>
      <w:r w:rsidR="00C2198F" w:rsidRPr="00BC28F2">
        <w:t>Ministerstvo pro místní rozvoj a jemu podřízené či řízené třetí osoby či jiné organizační složky státu nebo státní příspěvkové organizace nebo jim podřízeným či řízeným třetím osobám s výjimkou obchodních korporací, tak jak jsou definovány v § 1 zákona č. 90/2012 Sb., o obchodních společnostech a družstvech.</w:t>
      </w:r>
    </w:p>
    <w:p w14:paraId="65F4C169" w14:textId="77777777" w:rsidR="002A4118" w:rsidRPr="00BC28F2" w:rsidRDefault="002A4118" w:rsidP="002A4118">
      <w:pPr>
        <w:pStyle w:val="Odstavecseseznamem"/>
        <w:rPr>
          <w:iCs/>
        </w:rPr>
      </w:pPr>
    </w:p>
    <w:p w14:paraId="79ACD8D2" w14:textId="77777777" w:rsidR="002A4118" w:rsidRPr="00BC28F2" w:rsidRDefault="002A4118" w:rsidP="002A4118">
      <w:pPr>
        <w:pStyle w:val="Zkladntextodsazen"/>
        <w:numPr>
          <w:ilvl w:val="0"/>
          <w:numId w:val="5"/>
        </w:numPr>
        <w:tabs>
          <w:tab w:val="clear" w:pos="720"/>
          <w:tab w:val="num" w:pos="426"/>
        </w:tabs>
        <w:ind w:left="426" w:hanging="426"/>
        <w:rPr>
          <w:szCs w:val="24"/>
        </w:rPr>
      </w:pPr>
      <w:r w:rsidRPr="00BC28F2">
        <w:rPr>
          <w:iCs/>
        </w:rPr>
        <w:lastRenderedPageBreak/>
        <w:t>Strany se dohodly, že pojem obtíže, které nejsou jen nepodstatné, bude pro účely této Smlouvy vykládán tak, že Nájemci je buď zcela znemožněno užívat významnou část</w:t>
      </w:r>
      <w:r w:rsidR="006B77AE" w:rsidRPr="00BC28F2">
        <w:rPr>
          <w:iCs/>
        </w:rPr>
        <w:t xml:space="preserve"> plochy pro Logo</w:t>
      </w:r>
      <w:r w:rsidRPr="00BC28F2">
        <w:rPr>
          <w:iCs/>
        </w:rPr>
        <w:t>, nebo je Nájemce Pronajímatelem rušen v</w:t>
      </w:r>
      <w:r w:rsidR="006B77AE" w:rsidRPr="00BC28F2">
        <w:rPr>
          <w:iCs/>
        </w:rPr>
        <w:t> </w:t>
      </w:r>
      <w:r w:rsidRPr="00BC28F2">
        <w:rPr>
          <w:iCs/>
        </w:rPr>
        <w:t>užívání</w:t>
      </w:r>
      <w:r w:rsidR="006B77AE" w:rsidRPr="00BC28F2">
        <w:rPr>
          <w:iCs/>
        </w:rPr>
        <w:t xml:space="preserve"> Loga</w:t>
      </w:r>
      <w:r w:rsidRPr="00BC28F2">
        <w:rPr>
          <w:iCs/>
        </w:rPr>
        <w:t xml:space="preserve">, způsobem, který nelze rozumně očekávat a zároveň toto rušení způsobuje buď nemožnost užívání </w:t>
      </w:r>
      <w:r w:rsidR="006B77AE" w:rsidRPr="00BC28F2">
        <w:rPr>
          <w:iCs/>
        </w:rPr>
        <w:t xml:space="preserve">Loga </w:t>
      </w:r>
      <w:r w:rsidRPr="00BC28F2">
        <w:rPr>
          <w:iCs/>
        </w:rPr>
        <w:t>pro touto Smlouvou sjednaný účel, nebo imise zcela zjevně nepřiměřené daným okolnostem.</w:t>
      </w:r>
    </w:p>
    <w:p w14:paraId="7706DDE8" w14:textId="77777777" w:rsidR="002A4118" w:rsidRPr="00BC28F2" w:rsidRDefault="002A4118" w:rsidP="002A4118">
      <w:pPr>
        <w:pStyle w:val="Odstavecseseznamem"/>
      </w:pPr>
    </w:p>
    <w:p w14:paraId="5D7C0397" w14:textId="2514D4EC" w:rsidR="002A4118" w:rsidRPr="00BC28F2" w:rsidRDefault="002A4118" w:rsidP="002A4118">
      <w:pPr>
        <w:pStyle w:val="Zkladntextodsazen"/>
        <w:numPr>
          <w:ilvl w:val="0"/>
          <w:numId w:val="5"/>
        </w:numPr>
        <w:tabs>
          <w:tab w:val="clear" w:pos="720"/>
          <w:tab w:val="num" w:pos="426"/>
        </w:tabs>
        <w:ind w:left="426" w:hanging="426"/>
        <w:rPr>
          <w:szCs w:val="24"/>
        </w:rPr>
      </w:pPr>
      <w:r w:rsidRPr="00BC28F2">
        <w:rPr>
          <w:iCs/>
        </w:rPr>
        <w:t xml:space="preserve">Strany shodně prohlašují, že se ani jedna z nich necítí vůči druhé </w:t>
      </w:r>
      <w:r w:rsidR="008634A7" w:rsidRPr="00BC28F2">
        <w:rPr>
          <w:iCs/>
        </w:rPr>
        <w:t>s</w:t>
      </w:r>
      <w:r w:rsidRPr="00BC28F2">
        <w:rPr>
          <w:iCs/>
        </w:rPr>
        <w:t>traně v postavení slabší strany.</w:t>
      </w:r>
    </w:p>
    <w:p w14:paraId="79A2B0DD" w14:textId="77777777" w:rsidR="002A4118" w:rsidRPr="00BC28F2" w:rsidRDefault="002A4118" w:rsidP="002A4118">
      <w:pPr>
        <w:pStyle w:val="Odstavecseseznamem"/>
      </w:pPr>
    </w:p>
    <w:p w14:paraId="7167F589" w14:textId="77777777" w:rsidR="000E24CC" w:rsidRPr="00BC28F2" w:rsidRDefault="00736484" w:rsidP="002A4118">
      <w:pPr>
        <w:pStyle w:val="Zkladntextodsazen"/>
        <w:numPr>
          <w:ilvl w:val="0"/>
          <w:numId w:val="5"/>
        </w:numPr>
        <w:tabs>
          <w:tab w:val="clear" w:pos="720"/>
          <w:tab w:val="num" w:pos="426"/>
        </w:tabs>
        <w:ind w:left="426" w:hanging="426"/>
        <w:rPr>
          <w:szCs w:val="24"/>
        </w:rPr>
      </w:pPr>
      <w:r w:rsidRPr="00BC28F2">
        <w:rPr>
          <w:szCs w:val="24"/>
        </w:rPr>
        <w:t>Smlouv</w:t>
      </w:r>
      <w:r w:rsidR="000E24CC" w:rsidRPr="00BC28F2">
        <w:rPr>
          <w:szCs w:val="24"/>
        </w:rPr>
        <w:t xml:space="preserve">a je vyhotovena ve </w:t>
      </w:r>
      <w:r w:rsidR="004E2B66" w:rsidRPr="00BC28F2">
        <w:rPr>
          <w:szCs w:val="24"/>
        </w:rPr>
        <w:t>dvou</w:t>
      </w:r>
      <w:r w:rsidR="000E24CC" w:rsidRPr="00BC28F2">
        <w:rPr>
          <w:szCs w:val="24"/>
        </w:rPr>
        <w:t xml:space="preserve"> stejnopisech</w:t>
      </w:r>
      <w:r w:rsidR="0071539F" w:rsidRPr="00BC28F2">
        <w:rPr>
          <w:szCs w:val="24"/>
        </w:rPr>
        <w:t xml:space="preserve"> </w:t>
      </w:r>
      <w:r w:rsidR="000E24CC" w:rsidRPr="00BC28F2">
        <w:rPr>
          <w:szCs w:val="24"/>
        </w:rPr>
        <w:t xml:space="preserve">přičemž každá strana obdrží po </w:t>
      </w:r>
      <w:r w:rsidR="008512BB" w:rsidRPr="00BC28F2">
        <w:rPr>
          <w:szCs w:val="24"/>
        </w:rPr>
        <w:t xml:space="preserve">jednom </w:t>
      </w:r>
      <w:r w:rsidR="000E24CC" w:rsidRPr="00BC28F2">
        <w:rPr>
          <w:szCs w:val="24"/>
        </w:rPr>
        <w:t>vyhotovení</w:t>
      </w:r>
      <w:r w:rsidR="0071539F" w:rsidRPr="00BC28F2">
        <w:rPr>
          <w:szCs w:val="24"/>
        </w:rPr>
        <w:t>.</w:t>
      </w:r>
    </w:p>
    <w:p w14:paraId="3C436E26" w14:textId="77777777" w:rsidR="0098746E" w:rsidRPr="00BC28F2" w:rsidRDefault="0098746E" w:rsidP="00C30959">
      <w:pPr>
        <w:pStyle w:val="Odstavecseseznamem"/>
      </w:pPr>
    </w:p>
    <w:p w14:paraId="01E57882" w14:textId="77777777" w:rsidR="0098746E" w:rsidRPr="00BC28F2" w:rsidRDefault="0098746E" w:rsidP="002A4118">
      <w:pPr>
        <w:pStyle w:val="Zkladntextodsazen"/>
        <w:numPr>
          <w:ilvl w:val="0"/>
          <w:numId w:val="5"/>
        </w:numPr>
        <w:tabs>
          <w:tab w:val="clear" w:pos="720"/>
          <w:tab w:val="num" w:pos="426"/>
        </w:tabs>
        <w:ind w:left="426" w:hanging="426"/>
        <w:rPr>
          <w:szCs w:val="24"/>
        </w:rPr>
      </w:pPr>
      <w:r w:rsidRPr="00BC28F2">
        <w:t>Tato Smlouva nabývá platnosti dnem podpisu Nájemcem a Pronajímatelem. Smluvní strany berou na vědomí, že tato Smlouva ke své účinnosti vyžaduje uveřejnění v registru smluv podle zákona č. 340/2015 Sb., o zvláštních podmínkách účinnosti některých smluv, uveřejňování těchto smluv a o registru smluv (zákon o registru smluv) a s tímto uveřejněním souhlasí. Zveřejnění této Smlouvy v registru smluv provede Nájemce.</w:t>
      </w:r>
    </w:p>
    <w:p w14:paraId="5B4CB864" w14:textId="77777777" w:rsidR="004E2B66" w:rsidRPr="00BC28F2" w:rsidRDefault="004E2B66" w:rsidP="004E2B66">
      <w:pPr>
        <w:pStyle w:val="Zkladntextodsazen"/>
        <w:ind w:left="426" w:firstLine="0"/>
        <w:rPr>
          <w:szCs w:val="24"/>
        </w:rPr>
      </w:pPr>
    </w:p>
    <w:p w14:paraId="294AB1C5" w14:textId="77777777" w:rsidR="004E2B66" w:rsidRPr="00BC28F2" w:rsidRDefault="004E2B66" w:rsidP="004E2B66">
      <w:pPr>
        <w:pStyle w:val="Zkladntextodsazen"/>
        <w:ind w:left="426" w:firstLine="0"/>
        <w:rPr>
          <w:szCs w:val="24"/>
        </w:rPr>
      </w:pPr>
    </w:p>
    <w:p w14:paraId="31928A17" w14:textId="77777777" w:rsidR="006D567D" w:rsidRPr="00BC28F2" w:rsidRDefault="006D567D" w:rsidP="00B36304">
      <w:pPr>
        <w:pStyle w:val="Zkladntextodsazen"/>
        <w:numPr>
          <w:ilvl w:val="0"/>
          <w:numId w:val="5"/>
        </w:numPr>
        <w:tabs>
          <w:tab w:val="clear" w:pos="720"/>
        </w:tabs>
        <w:ind w:left="426" w:hanging="426"/>
        <w:rPr>
          <w:szCs w:val="24"/>
        </w:rPr>
      </w:pPr>
      <w:r w:rsidRPr="00BC28F2">
        <w:rPr>
          <w:szCs w:val="24"/>
        </w:rPr>
        <w:t xml:space="preserve">Nedílnou součástí této </w:t>
      </w:r>
      <w:r w:rsidR="00736484" w:rsidRPr="00BC28F2">
        <w:rPr>
          <w:szCs w:val="24"/>
        </w:rPr>
        <w:t>Smlouv</w:t>
      </w:r>
      <w:r w:rsidRPr="00BC28F2">
        <w:rPr>
          <w:szCs w:val="24"/>
        </w:rPr>
        <w:t>y jsou tyto přílohy:</w:t>
      </w:r>
    </w:p>
    <w:p w14:paraId="5DC85EAF" w14:textId="77777777" w:rsidR="00CF2E5C" w:rsidRPr="00BC28F2" w:rsidRDefault="00CF2E5C" w:rsidP="0068111E">
      <w:pPr>
        <w:ind w:left="426"/>
        <w:rPr>
          <w:szCs w:val="24"/>
        </w:rPr>
      </w:pPr>
      <w:r w:rsidRPr="00BC28F2">
        <w:rPr>
          <w:szCs w:val="24"/>
        </w:rPr>
        <w:t xml:space="preserve">Příloha č. </w:t>
      </w:r>
      <w:r w:rsidR="001536F9" w:rsidRPr="00BC28F2">
        <w:rPr>
          <w:szCs w:val="24"/>
        </w:rPr>
        <w:t>1</w:t>
      </w:r>
      <w:r w:rsidRPr="00BC28F2">
        <w:rPr>
          <w:szCs w:val="24"/>
        </w:rPr>
        <w:t xml:space="preserve">: </w:t>
      </w:r>
      <w:r w:rsidR="00C3112A" w:rsidRPr="00BC28F2">
        <w:rPr>
          <w:szCs w:val="24"/>
        </w:rPr>
        <w:t xml:space="preserve">Plánek </w:t>
      </w:r>
      <w:r w:rsidR="008634A7" w:rsidRPr="00BC28F2">
        <w:rPr>
          <w:szCs w:val="24"/>
        </w:rPr>
        <w:t>umístění Pylonu</w:t>
      </w:r>
    </w:p>
    <w:p w14:paraId="6AE5409B" w14:textId="77777777" w:rsidR="008634A7" w:rsidRPr="00BC28F2" w:rsidRDefault="008634A7" w:rsidP="0068111E">
      <w:pPr>
        <w:ind w:left="426"/>
        <w:rPr>
          <w:szCs w:val="24"/>
        </w:rPr>
      </w:pPr>
      <w:r w:rsidRPr="00BC28F2">
        <w:rPr>
          <w:szCs w:val="24"/>
        </w:rPr>
        <w:t>Příloha č. 2: Plánek a rozměry umístění Loga na Pylonu</w:t>
      </w:r>
    </w:p>
    <w:p w14:paraId="77EC5CC3" w14:textId="77777777" w:rsidR="0029295E" w:rsidRPr="00BC28F2" w:rsidRDefault="0029295E">
      <w:pPr>
        <w:rPr>
          <w:szCs w:val="24"/>
        </w:rPr>
      </w:pPr>
    </w:p>
    <w:p w14:paraId="41AF989B" w14:textId="77777777" w:rsidR="0029295E" w:rsidRPr="00BC28F2" w:rsidRDefault="0029295E">
      <w:pPr>
        <w:rPr>
          <w:szCs w:val="24"/>
        </w:rPr>
      </w:pPr>
    </w:p>
    <w:p w14:paraId="087E3E37" w14:textId="77777777" w:rsidR="00A32450" w:rsidRPr="00BC28F2" w:rsidRDefault="00A32450" w:rsidP="00A32450">
      <w:pPr>
        <w:jc w:val="both"/>
        <w:rPr>
          <w:iCs/>
        </w:rPr>
      </w:pPr>
    </w:p>
    <w:p w14:paraId="6E257787" w14:textId="77777777" w:rsidR="00A32450" w:rsidRPr="00BC28F2" w:rsidRDefault="00A32450" w:rsidP="00A32450">
      <w:pPr>
        <w:jc w:val="both"/>
        <w:rPr>
          <w:iCs/>
        </w:rPr>
      </w:pPr>
    </w:p>
    <w:tbl>
      <w:tblPr>
        <w:tblW w:w="0" w:type="auto"/>
        <w:tblLayout w:type="fixed"/>
        <w:tblLook w:val="0000" w:firstRow="0" w:lastRow="0" w:firstColumn="0" w:lastColumn="0" w:noHBand="0" w:noVBand="0"/>
      </w:tblPr>
      <w:tblGrid>
        <w:gridCol w:w="4643"/>
        <w:gridCol w:w="4643"/>
      </w:tblGrid>
      <w:tr w:rsidR="00A32450" w:rsidRPr="00BC28F2" w14:paraId="36FA28F6" w14:textId="77777777" w:rsidTr="00A32450">
        <w:tc>
          <w:tcPr>
            <w:tcW w:w="4643" w:type="dxa"/>
          </w:tcPr>
          <w:p w14:paraId="2E67750C" w14:textId="77777777" w:rsidR="00A32450" w:rsidRPr="00BC28F2" w:rsidRDefault="00A32450" w:rsidP="008634A7">
            <w:pPr>
              <w:pStyle w:val="Styl1"/>
              <w:tabs>
                <w:tab w:val="num" w:pos="540"/>
              </w:tabs>
              <w:ind w:left="540" w:hanging="540"/>
              <w:jc w:val="center"/>
              <w:rPr>
                <w:sz w:val="24"/>
              </w:rPr>
            </w:pPr>
            <w:r w:rsidRPr="00BC28F2">
              <w:rPr>
                <w:sz w:val="24"/>
              </w:rPr>
              <w:t>V</w:t>
            </w:r>
            <w:r w:rsidR="008634A7" w:rsidRPr="00BC28F2">
              <w:rPr>
                <w:sz w:val="24"/>
              </w:rPr>
              <w:t> </w:t>
            </w:r>
            <w:r w:rsidRPr="00BC28F2">
              <w:rPr>
                <w:sz w:val="24"/>
              </w:rPr>
              <w:t>Praze</w:t>
            </w:r>
            <w:r w:rsidR="008634A7" w:rsidRPr="00BC28F2">
              <w:rPr>
                <w:sz w:val="24"/>
              </w:rPr>
              <w:t>,</w:t>
            </w:r>
            <w:r w:rsidRPr="00BC28F2">
              <w:rPr>
                <w:sz w:val="24"/>
              </w:rPr>
              <w:t xml:space="preserve"> dne </w:t>
            </w:r>
            <w:r w:rsidR="000F3F3D" w:rsidRPr="00BC28F2">
              <w:rPr>
                <w:b/>
                <w:iCs/>
              </w:rPr>
              <w:t>………………………</w:t>
            </w:r>
          </w:p>
        </w:tc>
        <w:tc>
          <w:tcPr>
            <w:tcW w:w="4643" w:type="dxa"/>
          </w:tcPr>
          <w:p w14:paraId="520222B4" w14:textId="77777777" w:rsidR="00A32450" w:rsidRPr="00BC28F2" w:rsidRDefault="00A32450" w:rsidP="008634A7">
            <w:pPr>
              <w:tabs>
                <w:tab w:val="num" w:pos="540"/>
              </w:tabs>
              <w:ind w:left="540" w:hanging="540"/>
              <w:jc w:val="center"/>
            </w:pPr>
            <w:r w:rsidRPr="00BC28F2">
              <w:t>V Praze</w:t>
            </w:r>
            <w:r w:rsidR="008634A7" w:rsidRPr="00BC28F2">
              <w:t>,</w:t>
            </w:r>
            <w:r w:rsidRPr="00BC28F2">
              <w:t xml:space="preserve"> dne </w:t>
            </w:r>
            <w:r w:rsidR="000F3F3D" w:rsidRPr="00BC28F2">
              <w:rPr>
                <w:b/>
                <w:iCs/>
              </w:rPr>
              <w:t>……………………</w:t>
            </w:r>
          </w:p>
        </w:tc>
      </w:tr>
      <w:tr w:rsidR="00A32450" w:rsidRPr="00BC28F2" w14:paraId="6B099A47" w14:textId="77777777" w:rsidTr="00A32450">
        <w:tc>
          <w:tcPr>
            <w:tcW w:w="4643" w:type="dxa"/>
          </w:tcPr>
          <w:p w14:paraId="3602297A" w14:textId="77777777" w:rsidR="00A32450" w:rsidRPr="00BC28F2" w:rsidRDefault="00A32450" w:rsidP="00A32450">
            <w:pPr>
              <w:tabs>
                <w:tab w:val="num" w:pos="540"/>
              </w:tabs>
              <w:ind w:left="540" w:hanging="540"/>
              <w:jc w:val="center"/>
            </w:pPr>
          </w:p>
          <w:p w14:paraId="0BFE0B6F" w14:textId="77777777" w:rsidR="00A32450" w:rsidRPr="00BC28F2" w:rsidRDefault="00A32450" w:rsidP="00A32450">
            <w:pPr>
              <w:tabs>
                <w:tab w:val="num" w:pos="540"/>
              </w:tabs>
              <w:ind w:left="540" w:hanging="540"/>
              <w:jc w:val="center"/>
            </w:pPr>
          </w:p>
          <w:p w14:paraId="2C095A32" w14:textId="77777777" w:rsidR="008634A7" w:rsidRPr="00BC28F2" w:rsidRDefault="008634A7" w:rsidP="00A32450">
            <w:pPr>
              <w:tabs>
                <w:tab w:val="num" w:pos="540"/>
              </w:tabs>
              <w:ind w:left="540" w:hanging="540"/>
              <w:jc w:val="center"/>
            </w:pPr>
          </w:p>
          <w:p w14:paraId="7DD604D4" w14:textId="77777777" w:rsidR="008634A7" w:rsidRPr="00BC28F2" w:rsidRDefault="008634A7" w:rsidP="00A32450">
            <w:pPr>
              <w:tabs>
                <w:tab w:val="num" w:pos="540"/>
              </w:tabs>
              <w:ind w:left="540" w:hanging="540"/>
              <w:jc w:val="center"/>
            </w:pPr>
          </w:p>
        </w:tc>
        <w:tc>
          <w:tcPr>
            <w:tcW w:w="4643" w:type="dxa"/>
          </w:tcPr>
          <w:p w14:paraId="168442F6" w14:textId="77777777" w:rsidR="00A32450" w:rsidRPr="00BC28F2" w:rsidRDefault="00A32450" w:rsidP="00A32450">
            <w:pPr>
              <w:tabs>
                <w:tab w:val="num" w:pos="540"/>
              </w:tabs>
              <w:ind w:left="540" w:hanging="540"/>
              <w:jc w:val="center"/>
            </w:pPr>
          </w:p>
        </w:tc>
      </w:tr>
      <w:tr w:rsidR="00A32450" w:rsidRPr="00BC28F2" w14:paraId="19463B97" w14:textId="77777777" w:rsidTr="00A32450">
        <w:tc>
          <w:tcPr>
            <w:tcW w:w="4643" w:type="dxa"/>
          </w:tcPr>
          <w:p w14:paraId="6A70777F" w14:textId="77777777" w:rsidR="00A32450" w:rsidRPr="00BC28F2" w:rsidRDefault="00A32450" w:rsidP="00A32450">
            <w:pPr>
              <w:tabs>
                <w:tab w:val="num" w:pos="540"/>
              </w:tabs>
              <w:ind w:left="540" w:hanging="540"/>
              <w:jc w:val="center"/>
            </w:pPr>
            <w:r w:rsidRPr="00BC28F2">
              <w:t>_____________________________</w:t>
            </w:r>
          </w:p>
        </w:tc>
        <w:tc>
          <w:tcPr>
            <w:tcW w:w="4643" w:type="dxa"/>
          </w:tcPr>
          <w:p w14:paraId="77A53DF1" w14:textId="77777777" w:rsidR="00A32450" w:rsidRPr="00BC28F2" w:rsidRDefault="00A32450" w:rsidP="00A32450">
            <w:pPr>
              <w:tabs>
                <w:tab w:val="num" w:pos="540"/>
              </w:tabs>
              <w:ind w:left="540" w:hanging="540"/>
              <w:jc w:val="center"/>
            </w:pPr>
            <w:r w:rsidRPr="00BC28F2">
              <w:t>____________________________</w:t>
            </w:r>
          </w:p>
        </w:tc>
      </w:tr>
      <w:tr w:rsidR="00A32450" w:rsidRPr="00047834" w14:paraId="6F98334B" w14:textId="77777777" w:rsidTr="00A32450">
        <w:tc>
          <w:tcPr>
            <w:tcW w:w="4643" w:type="dxa"/>
          </w:tcPr>
          <w:p w14:paraId="59A66CA2" w14:textId="77777777" w:rsidR="00C2198F" w:rsidRPr="00BC28F2" w:rsidRDefault="00C2198F" w:rsidP="00A32450">
            <w:pPr>
              <w:tabs>
                <w:tab w:val="num" w:pos="540"/>
              </w:tabs>
              <w:ind w:left="540" w:hanging="540"/>
              <w:jc w:val="center"/>
              <w:rPr>
                <w:b/>
              </w:rPr>
            </w:pPr>
            <w:r w:rsidRPr="00BC28F2">
              <w:rPr>
                <w:b/>
                <w:shd w:val="clear" w:color="auto" w:fill="FFFFFF"/>
              </w:rPr>
              <w:t xml:space="preserve">Art </w:t>
            </w:r>
            <w:r w:rsidRPr="00BC28F2">
              <w:rPr>
                <w:b/>
              </w:rPr>
              <w:t>Office Gallery a.s.</w:t>
            </w:r>
          </w:p>
          <w:p w14:paraId="3668DF0E" w14:textId="60A25BA4" w:rsidR="00A32450" w:rsidRPr="00BC28F2" w:rsidRDefault="000F3F3D" w:rsidP="00A32450">
            <w:pPr>
              <w:tabs>
                <w:tab w:val="num" w:pos="540"/>
              </w:tabs>
              <w:ind w:left="540" w:hanging="540"/>
              <w:jc w:val="center"/>
            </w:pPr>
            <w:r w:rsidRPr="00BC28F2">
              <w:t>Jiří Tošek</w:t>
            </w:r>
          </w:p>
          <w:p w14:paraId="7041F5B3" w14:textId="2B391776" w:rsidR="00BE6D1D" w:rsidRPr="00BC28F2" w:rsidRDefault="00C2198F" w:rsidP="00A32450">
            <w:pPr>
              <w:tabs>
                <w:tab w:val="num" w:pos="540"/>
              </w:tabs>
              <w:ind w:left="540" w:hanging="540"/>
              <w:jc w:val="center"/>
            </w:pPr>
            <w:r w:rsidRPr="00BC28F2">
              <w:t>člen</w:t>
            </w:r>
            <w:r w:rsidR="00677D44" w:rsidRPr="00BC28F2">
              <w:t xml:space="preserve"> </w:t>
            </w:r>
            <w:r w:rsidR="00BE6D1D" w:rsidRPr="00BC28F2">
              <w:t>představenstva</w:t>
            </w:r>
          </w:p>
          <w:p w14:paraId="2D7BB729" w14:textId="7A1096DA" w:rsidR="00A32450" w:rsidRPr="00BC28F2" w:rsidRDefault="00A32450" w:rsidP="00677D44">
            <w:pPr>
              <w:tabs>
                <w:tab w:val="num" w:pos="540"/>
              </w:tabs>
              <w:ind w:left="1416" w:hanging="1416"/>
              <w:jc w:val="center"/>
              <w:rPr>
                <w:b/>
              </w:rPr>
            </w:pPr>
          </w:p>
        </w:tc>
        <w:tc>
          <w:tcPr>
            <w:tcW w:w="4643" w:type="dxa"/>
          </w:tcPr>
          <w:p w14:paraId="7E2E5F5B" w14:textId="77777777" w:rsidR="00107F04" w:rsidRPr="00BC28F2" w:rsidRDefault="00107F04" w:rsidP="00107F04">
            <w:pPr>
              <w:tabs>
                <w:tab w:val="num" w:pos="0"/>
              </w:tabs>
              <w:jc w:val="center"/>
              <w:rPr>
                <w:rFonts w:cs="Calibri"/>
                <w:b/>
              </w:rPr>
            </w:pPr>
            <w:r w:rsidRPr="00BC28F2">
              <w:rPr>
                <w:rFonts w:cs="Calibri"/>
                <w:b/>
              </w:rPr>
              <w:t xml:space="preserve">Centrum pro regionální rozvoj </w:t>
            </w:r>
          </w:p>
          <w:p w14:paraId="540D207E" w14:textId="77777777" w:rsidR="00107F04" w:rsidRPr="00BC28F2" w:rsidRDefault="00107F04" w:rsidP="00107F04">
            <w:pPr>
              <w:tabs>
                <w:tab w:val="num" w:pos="0"/>
              </w:tabs>
              <w:jc w:val="center"/>
            </w:pPr>
            <w:r w:rsidRPr="00BC28F2">
              <w:rPr>
                <w:rFonts w:cs="Calibri"/>
                <w:b/>
              </w:rPr>
              <w:t>České republiky</w:t>
            </w:r>
          </w:p>
          <w:p w14:paraId="16A453F9" w14:textId="77777777" w:rsidR="00107F04" w:rsidRPr="00BC28F2" w:rsidRDefault="00107F04" w:rsidP="00107F04">
            <w:pPr>
              <w:tabs>
                <w:tab w:val="num" w:pos="540"/>
              </w:tabs>
              <w:ind w:left="540" w:hanging="540"/>
              <w:jc w:val="center"/>
              <w:rPr>
                <w:rFonts w:cs="Calibri"/>
              </w:rPr>
            </w:pPr>
            <w:r w:rsidRPr="00BC28F2">
              <w:rPr>
                <w:rFonts w:cs="Calibri"/>
              </w:rPr>
              <w:t>Petr Štěpánek, Ph.D.</w:t>
            </w:r>
          </w:p>
          <w:p w14:paraId="393634E6" w14:textId="77777777" w:rsidR="00A32450" w:rsidRPr="00047834" w:rsidRDefault="00107F04" w:rsidP="00107F04">
            <w:pPr>
              <w:tabs>
                <w:tab w:val="num" w:pos="540"/>
              </w:tabs>
              <w:ind w:left="540" w:hanging="540"/>
              <w:jc w:val="center"/>
              <w:rPr>
                <w:b/>
              </w:rPr>
            </w:pPr>
            <w:r w:rsidRPr="00BC28F2">
              <w:rPr>
                <w:rFonts w:cs="Calibri"/>
              </w:rPr>
              <w:t>generální ředitel</w:t>
            </w:r>
          </w:p>
        </w:tc>
      </w:tr>
    </w:tbl>
    <w:p w14:paraId="3CF4B8FC" w14:textId="77777777" w:rsidR="00A32450" w:rsidRPr="00A06767" w:rsidRDefault="00A32450" w:rsidP="00A32450">
      <w:pPr>
        <w:jc w:val="both"/>
        <w:rPr>
          <w:iCs/>
        </w:rPr>
      </w:pPr>
    </w:p>
    <w:p w14:paraId="1369753D" w14:textId="77777777" w:rsidR="002E007A" w:rsidRPr="002E007A" w:rsidRDefault="002E007A" w:rsidP="00A32450"/>
    <w:sectPr w:rsidR="002E007A" w:rsidRPr="002E007A" w:rsidSect="0017650E">
      <w:footerReference w:type="even" r:id="rId15"/>
      <w:footerReference w:type="default" r:id="rId16"/>
      <w:headerReference w:type="first" r:id="rId17"/>
      <w:pgSz w:w="11907" w:h="16840" w:code="9"/>
      <w:pgMar w:top="1304" w:right="1134" w:bottom="1247" w:left="1701" w:header="73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BD4AB" w14:textId="77777777" w:rsidR="006B1EDA" w:rsidRDefault="006B1EDA">
      <w:r>
        <w:separator/>
      </w:r>
    </w:p>
  </w:endnote>
  <w:endnote w:type="continuationSeparator" w:id="0">
    <w:p w14:paraId="70D26E36" w14:textId="77777777" w:rsidR="006B1EDA" w:rsidRDefault="006B1EDA">
      <w:r>
        <w:continuationSeparator/>
      </w:r>
    </w:p>
  </w:endnote>
  <w:endnote w:type="continuationNotice" w:id="1">
    <w:p w14:paraId="1207CD25" w14:textId="77777777" w:rsidR="006B1EDA" w:rsidRDefault="006B1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263D" w14:textId="77777777" w:rsidR="00DC7259" w:rsidRDefault="00DC7259" w:rsidP="0071539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641AE07" w14:textId="77777777" w:rsidR="00DC7259" w:rsidRDefault="00DC72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449B" w14:textId="77777777" w:rsidR="00DC7259" w:rsidRPr="002F5D8D" w:rsidRDefault="00DC7259" w:rsidP="0071539F">
    <w:pPr>
      <w:pStyle w:val="Zpat"/>
      <w:framePr w:wrap="around" w:vAnchor="text" w:hAnchor="margin" w:xAlign="center" w:y="1"/>
      <w:rPr>
        <w:rStyle w:val="slostrnky"/>
        <w:sz w:val="16"/>
        <w:szCs w:val="16"/>
      </w:rPr>
    </w:pPr>
    <w:r w:rsidRPr="002F5D8D">
      <w:rPr>
        <w:rStyle w:val="slostrnky"/>
        <w:sz w:val="16"/>
        <w:szCs w:val="16"/>
      </w:rPr>
      <w:fldChar w:fldCharType="begin"/>
    </w:r>
    <w:r w:rsidRPr="002F5D8D">
      <w:rPr>
        <w:rStyle w:val="slostrnky"/>
        <w:sz w:val="16"/>
        <w:szCs w:val="16"/>
      </w:rPr>
      <w:instrText xml:space="preserve">PAGE  </w:instrText>
    </w:r>
    <w:r w:rsidRPr="002F5D8D">
      <w:rPr>
        <w:rStyle w:val="slostrnky"/>
        <w:sz w:val="16"/>
        <w:szCs w:val="16"/>
      </w:rPr>
      <w:fldChar w:fldCharType="separate"/>
    </w:r>
    <w:r w:rsidR="00306380">
      <w:rPr>
        <w:rStyle w:val="slostrnky"/>
        <w:noProof/>
        <w:sz w:val="16"/>
        <w:szCs w:val="16"/>
      </w:rPr>
      <w:t>2</w:t>
    </w:r>
    <w:r w:rsidRPr="002F5D8D">
      <w:rPr>
        <w:rStyle w:val="slostrnky"/>
        <w:sz w:val="16"/>
        <w:szCs w:val="16"/>
      </w:rPr>
      <w:fldChar w:fldCharType="end"/>
    </w:r>
  </w:p>
  <w:p w14:paraId="1998E67F" w14:textId="77777777" w:rsidR="00DC7259" w:rsidRDefault="00DC7259">
    <w:pPr>
      <w:pStyle w:val="Zpat"/>
      <w:rPr>
        <w:snapToGrid w:val="0"/>
        <w:sz w:val="17"/>
        <w:szCs w:val="17"/>
      </w:rPr>
    </w:pPr>
    <w:r>
      <w:rPr>
        <w:snapToGrid w:val="0"/>
        <w:sz w:val="17"/>
        <w:szCs w:val="17"/>
      </w:rPr>
      <w:tab/>
    </w:r>
  </w:p>
  <w:p w14:paraId="19CF571A" w14:textId="77777777" w:rsidR="00DC7259" w:rsidRDefault="00DC7259" w:rsidP="001608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7D826" w14:textId="77777777" w:rsidR="006B1EDA" w:rsidRDefault="006B1EDA">
      <w:r>
        <w:separator/>
      </w:r>
    </w:p>
  </w:footnote>
  <w:footnote w:type="continuationSeparator" w:id="0">
    <w:p w14:paraId="48D12542" w14:textId="77777777" w:rsidR="006B1EDA" w:rsidRDefault="006B1EDA">
      <w:r>
        <w:continuationSeparator/>
      </w:r>
    </w:p>
  </w:footnote>
  <w:footnote w:type="continuationNotice" w:id="1">
    <w:p w14:paraId="7FBC53D9" w14:textId="77777777" w:rsidR="006B1EDA" w:rsidRDefault="006B1E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097F" w14:textId="77777777" w:rsidR="0017650E" w:rsidRDefault="0017650E" w:rsidP="0017650E">
    <w:pPr>
      <w:pStyle w:val="Zhlav"/>
      <w:jc w:val="right"/>
    </w:pPr>
    <w:r>
      <w:t>20/2026</w:t>
    </w:r>
  </w:p>
  <w:p w14:paraId="3AA21897" w14:textId="77777777" w:rsidR="0017650E" w:rsidRDefault="0017650E" w:rsidP="0017650E">
    <w:pPr>
      <w:pStyle w:val="Zhlav"/>
      <w:jc w:val="right"/>
    </w:pPr>
    <w:r>
      <w:t>CENT 6019/2026</w:t>
    </w:r>
  </w:p>
  <w:p w14:paraId="3D0B8887" w14:textId="77777777" w:rsidR="0017650E" w:rsidRDefault="001765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EE2"/>
    <w:multiLevelType w:val="hybridMultilevel"/>
    <w:tmpl w:val="09EE74B2"/>
    <w:lvl w:ilvl="0" w:tplc="9670C5D6">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53EE5"/>
    <w:multiLevelType w:val="hybridMultilevel"/>
    <w:tmpl w:val="953E02E6"/>
    <w:lvl w:ilvl="0" w:tplc="87345A36">
      <w:start w:val="20"/>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F4905"/>
    <w:multiLevelType w:val="singleLevel"/>
    <w:tmpl w:val="B7363182"/>
    <w:lvl w:ilvl="0">
      <w:start w:val="1"/>
      <w:numFmt w:val="decimal"/>
      <w:lvlText w:val="%1."/>
      <w:lvlJc w:val="left"/>
      <w:pPr>
        <w:tabs>
          <w:tab w:val="num" w:pos="360"/>
        </w:tabs>
        <w:ind w:left="360" w:hanging="360"/>
      </w:pPr>
      <w:rPr>
        <w:rFonts w:hint="default"/>
      </w:rPr>
    </w:lvl>
  </w:abstractNum>
  <w:abstractNum w:abstractNumId="3" w15:restartNumberingAfterBreak="0">
    <w:nsid w:val="076736D3"/>
    <w:multiLevelType w:val="hybridMultilevel"/>
    <w:tmpl w:val="517A3172"/>
    <w:lvl w:ilvl="0" w:tplc="4D88E8D2">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 w15:restartNumberingAfterBreak="0">
    <w:nsid w:val="08752DDF"/>
    <w:multiLevelType w:val="hybridMultilevel"/>
    <w:tmpl w:val="FADC7CDE"/>
    <w:lvl w:ilvl="0" w:tplc="AD201B86">
      <w:start w:val="1"/>
      <w:numFmt w:val="decimal"/>
      <w:lvlText w:val="%1."/>
      <w:lvlJc w:val="left"/>
      <w:pPr>
        <w:tabs>
          <w:tab w:val="num" w:pos="720"/>
        </w:tabs>
        <w:ind w:left="720" w:hanging="360"/>
      </w:pPr>
      <w:rPr>
        <w:i w:val="0"/>
        <w:sz w:val="24"/>
        <w:szCs w:val="24"/>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D61676C"/>
    <w:multiLevelType w:val="singleLevel"/>
    <w:tmpl w:val="B59E1CC4"/>
    <w:lvl w:ilvl="0">
      <w:start w:val="1"/>
      <w:numFmt w:val="lowerLetter"/>
      <w:lvlText w:val="%1)"/>
      <w:lvlJc w:val="left"/>
      <w:pPr>
        <w:tabs>
          <w:tab w:val="num" w:pos="720"/>
        </w:tabs>
        <w:ind w:left="720" w:hanging="360"/>
      </w:pPr>
      <w:rPr>
        <w:rFonts w:hint="default"/>
      </w:rPr>
    </w:lvl>
  </w:abstractNum>
  <w:abstractNum w:abstractNumId="6" w15:restartNumberingAfterBreak="0">
    <w:nsid w:val="10B81920"/>
    <w:multiLevelType w:val="multilevel"/>
    <w:tmpl w:val="7F183E3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9F57BC"/>
    <w:multiLevelType w:val="multilevel"/>
    <w:tmpl w:val="953E02E6"/>
    <w:lvl w:ilvl="0">
      <w:start w:val="20"/>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45F6A"/>
    <w:multiLevelType w:val="hybridMultilevel"/>
    <w:tmpl w:val="A112B0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EC02DA"/>
    <w:multiLevelType w:val="hybridMultilevel"/>
    <w:tmpl w:val="089CAA26"/>
    <w:lvl w:ilvl="0" w:tplc="9670C5D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EC09EA"/>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32F3493D"/>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32FD59DA"/>
    <w:multiLevelType w:val="hybridMultilevel"/>
    <w:tmpl w:val="BE0EC65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B451296"/>
    <w:multiLevelType w:val="hybridMultilevel"/>
    <w:tmpl w:val="17240788"/>
    <w:lvl w:ilvl="0" w:tplc="66C074A4">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9DB1796"/>
    <w:multiLevelType w:val="hybridMultilevel"/>
    <w:tmpl w:val="CAB4F4F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E723438"/>
    <w:multiLevelType w:val="hybridMultilevel"/>
    <w:tmpl w:val="024A459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4157736"/>
    <w:multiLevelType w:val="hybridMultilevel"/>
    <w:tmpl w:val="2A1A832E"/>
    <w:lvl w:ilvl="0" w:tplc="0405000F">
      <w:start w:val="1"/>
      <w:numFmt w:val="decimal"/>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17" w15:restartNumberingAfterBreak="0">
    <w:nsid w:val="5654151C"/>
    <w:multiLevelType w:val="hybridMultilevel"/>
    <w:tmpl w:val="297014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C28467C"/>
    <w:multiLevelType w:val="hybridMultilevel"/>
    <w:tmpl w:val="1C6E2D18"/>
    <w:lvl w:ilvl="0" w:tplc="6C8EECA6">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CF19AA"/>
    <w:multiLevelType w:val="multilevel"/>
    <w:tmpl w:val="2C88D6A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BF4515"/>
    <w:multiLevelType w:val="hybridMultilevel"/>
    <w:tmpl w:val="DCCC0BB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F60131E"/>
    <w:multiLevelType w:val="hybridMultilevel"/>
    <w:tmpl w:val="1C10E2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47C160A"/>
    <w:multiLevelType w:val="hybridMultilevel"/>
    <w:tmpl w:val="4AB434C0"/>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4810935">
    <w:abstractNumId w:val="11"/>
  </w:num>
  <w:num w:numId="2" w16cid:durableId="1711689598">
    <w:abstractNumId w:val="14"/>
  </w:num>
  <w:num w:numId="3" w16cid:durableId="1436444011">
    <w:abstractNumId w:val="18"/>
  </w:num>
  <w:num w:numId="4" w16cid:durableId="265188824">
    <w:abstractNumId w:val="17"/>
  </w:num>
  <w:num w:numId="5" w16cid:durableId="507449486">
    <w:abstractNumId w:val="21"/>
  </w:num>
  <w:num w:numId="6" w16cid:durableId="1111585200">
    <w:abstractNumId w:val="20"/>
  </w:num>
  <w:num w:numId="7" w16cid:durableId="1139688759">
    <w:abstractNumId w:val="5"/>
  </w:num>
  <w:num w:numId="8" w16cid:durableId="280382973">
    <w:abstractNumId w:val="2"/>
  </w:num>
  <w:num w:numId="9" w16cid:durableId="535629784">
    <w:abstractNumId w:val="12"/>
  </w:num>
  <w:num w:numId="10" w16cid:durableId="1918896815">
    <w:abstractNumId w:val="0"/>
  </w:num>
  <w:num w:numId="11" w16cid:durableId="265578762">
    <w:abstractNumId w:val="1"/>
  </w:num>
  <w:num w:numId="12" w16cid:durableId="1713533609">
    <w:abstractNumId w:val="19"/>
  </w:num>
  <w:num w:numId="13" w16cid:durableId="414133039">
    <w:abstractNumId w:val="7"/>
  </w:num>
  <w:num w:numId="14" w16cid:durableId="1961065766">
    <w:abstractNumId w:val="9"/>
  </w:num>
  <w:num w:numId="15" w16cid:durableId="1804538536">
    <w:abstractNumId w:val="6"/>
  </w:num>
  <w:num w:numId="16" w16cid:durableId="1673335484">
    <w:abstractNumId w:val="22"/>
  </w:num>
  <w:num w:numId="17" w16cid:durableId="1875338361">
    <w:abstractNumId w:val="8"/>
  </w:num>
  <w:num w:numId="18" w16cid:durableId="918447180">
    <w:abstractNumId w:val="16"/>
  </w:num>
  <w:num w:numId="19" w16cid:durableId="197207231">
    <w:abstractNumId w:val="4"/>
  </w:num>
  <w:num w:numId="20" w16cid:durableId="2016957053">
    <w:abstractNumId w:val="15"/>
  </w:num>
  <w:num w:numId="21" w16cid:durableId="1482968396">
    <w:abstractNumId w:val="10"/>
  </w:num>
  <w:num w:numId="22" w16cid:durableId="842168087">
    <w:abstractNumId w:val="13"/>
  </w:num>
  <w:num w:numId="23" w16cid:durableId="861556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E5"/>
    <w:rsid w:val="00006B26"/>
    <w:rsid w:val="00007B63"/>
    <w:rsid w:val="00011CA7"/>
    <w:rsid w:val="000179F3"/>
    <w:rsid w:val="00022D45"/>
    <w:rsid w:val="00023CB6"/>
    <w:rsid w:val="0002620C"/>
    <w:rsid w:val="00031A61"/>
    <w:rsid w:val="000340C0"/>
    <w:rsid w:val="00036382"/>
    <w:rsid w:val="0004016D"/>
    <w:rsid w:val="00047131"/>
    <w:rsid w:val="00051CA9"/>
    <w:rsid w:val="00054BF2"/>
    <w:rsid w:val="000737F3"/>
    <w:rsid w:val="00073CEE"/>
    <w:rsid w:val="00082F9E"/>
    <w:rsid w:val="00083975"/>
    <w:rsid w:val="000848FF"/>
    <w:rsid w:val="00092DFF"/>
    <w:rsid w:val="000957FC"/>
    <w:rsid w:val="00097580"/>
    <w:rsid w:val="000A4E6B"/>
    <w:rsid w:val="000B27BD"/>
    <w:rsid w:val="000C21B8"/>
    <w:rsid w:val="000D2EB7"/>
    <w:rsid w:val="000D2ED4"/>
    <w:rsid w:val="000E24CC"/>
    <w:rsid w:val="000F159F"/>
    <w:rsid w:val="000F3F3D"/>
    <w:rsid w:val="000F6C4C"/>
    <w:rsid w:val="00101BB1"/>
    <w:rsid w:val="00107F04"/>
    <w:rsid w:val="001124AD"/>
    <w:rsid w:val="00126495"/>
    <w:rsid w:val="00135041"/>
    <w:rsid w:val="00137D4B"/>
    <w:rsid w:val="0014128B"/>
    <w:rsid w:val="0014622A"/>
    <w:rsid w:val="00147336"/>
    <w:rsid w:val="001536F9"/>
    <w:rsid w:val="0016083C"/>
    <w:rsid w:val="00166ABF"/>
    <w:rsid w:val="0017065F"/>
    <w:rsid w:val="0017650E"/>
    <w:rsid w:val="0018054D"/>
    <w:rsid w:val="00186F98"/>
    <w:rsid w:val="001953C6"/>
    <w:rsid w:val="001D1BB6"/>
    <w:rsid w:val="001E3FD8"/>
    <w:rsid w:val="001F4676"/>
    <w:rsid w:val="001F75CD"/>
    <w:rsid w:val="0020259F"/>
    <w:rsid w:val="00203211"/>
    <w:rsid w:val="00210B36"/>
    <w:rsid w:val="00217689"/>
    <w:rsid w:val="00220AC9"/>
    <w:rsid w:val="00227DA2"/>
    <w:rsid w:val="00233991"/>
    <w:rsid w:val="00235DF6"/>
    <w:rsid w:val="002402CF"/>
    <w:rsid w:val="00244B93"/>
    <w:rsid w:val="00257315"/>
    <w:rsid w:val="00263B37"/>
    <w:rsid w:val="00267656"/>
    <w:rsid w:val="00267C1E"/>
    <w:rsid w:val="00271245"/>
    <w:rsid w:val="002800BD"/>
    <w:rsid w:val="00285949"/>
    <w:rsid w:val="0029295E"/>
    <w:rsid w:val="00293586"/>
    <w:rsid w:val="002A4118"/>
    <w:rsid w:val="002A5F78"/>
    <w:rsid w:val="002C17D9"/>
    <w:rsid w:val="002C78B2"/>
    <w:rsid w:val="002D189B"/>
    <w:rsid w:val="002D3DB8"/>
    <w:rsid w:val="002E007A"/>
    <w:rsid w:val="002F5D8D"/>
    <w:rsid w:val="00301F36"/>
    <w:rsid w:val="00306380"/>
    <w:rsid w:val="00306FE5"/>
    <w:rsid w:val="003073BA"/>
    <w:rsid w:val="00307CA1"/>
    <w:rsid w:val="00310DA8"/>
    <w:rsid w:val="00335826"/>
    <w:rsid w:val="003442E8"/>
    <w:rsid w:val="00351E8B"/>
    <w:rsid w:val="00355578"/>
    <w:rsid w:val="003600F8"/>
    <w:rsid w:val="00370C12"/>
    <w:rsid w:val="003A17E6"/>
    <w:rsid w:val="003A3DA8"/>
    <w:rsid w:val="003A6FFA"/>
    <w:rsid w:val="003B11F3"/>
    <w:rsid w:val="003B1A97"/>
    <w:rsid w:val="003B2CAF"/>
    <w:rsid w:val="003B375D"/>
    <w:rsid w:val="003C26FC"/>
    <w:rsid w:val="003C4D39"/>
    <w:rsid w:val="003D04C4"/>
    <w:rsid w:val="003E0A06"/>
    <w:rsid w:val="00400D07"/>
    <w:rsid w:val="00406EB6"/>
    <w:rsid w:val="004106E4"/>
    <w:rsid w:val="00411974"/>
    <w:rsid w:val="0041558A"/>
    <w:rsid w:val="00423D4C"/>
    <w:rsid w:val="004320E3"/>
    <w:rsid w:val="00435062"/>
    <w:rsid w:val="00454BD0"/>
    <w:rsid w:val="00460786"/>
    <w:rsid w:val="00463D91"/>
    <w:rsid w:val="00467EC9"/>
    <w:rsid w:val="00474386"/>
    <w:rsid w:val="00474773"/>
    <w:rsid w:val="004903BE"/>
    <w:rsid w:val="004A425B"/>
    <w:rsid w:val="004C0C4A"/>
    <w:rsid w:val="004C4E7A"/>
    <w:rsid w:val="004D365D"/>
    <w:rsid w:val="004E2B66"/>
    <w:rsid w:val="004E7D34"/>
    <w:rsid w:val="004F0CBD"/>
    <w:rsid w:val="004F7985"/>
    <w:rsid w:val="005014EC"/>
    <w:rsid w:val="005042C2"/>
    <w:rsid w:val="00505224"/>
    <w:rsid w:val="00506985"/>
    <w:rsid w:val="005153B7"/>
    <w:rsid w:val="005275A7"/>
    <w:rsid w:val="00530B16"/>
    <w:rsid w:val="00531FFF"/>
    <w:rsid w:val="005322B1"/>
    <w:rsid w:val="00534277"/>
    <w:rsid w:val="00545D90"/>
    <w:rsid w:val="005476E1"/>
    <w:rsid w:val="00562512"/>
    <w:rsid w:val="00573F90"/>
    <w:rsid w:val="00577287"/>
    <w:rsid w:val="00577D58"/>
    <w:rsid w:val="0058254B"/>
    <w:rsid w:val="0058637E"/>
    <w:rsid w:val="005C494F"/>
    <w:rsid w:val="005E05B6"/>
    <w:rsid w:val="005F50D8"/>
    <w:rsid w:val="00601CF0"/>
    <w:rsid w:val="006077D9"/>
    <w:rsid w:val="00610131"/>
    <w:rsid w:val="00612B9F"/>
    <w:rsid w:val="00613B5D"/>
    <w:rsid w:val="00615A58"/>
    <w:rsid w:val="006450C4"/>
    <w:rsid w:val="00645C1F"/>
    <w:rsid w:val="00646062"/>
    <w:rsid w:val="00677D44"/>
    <w:rsid w:val="0068111E"/>
    <w:rsid w:val="00681FAD"/>
    <w:rsid w:val="00683E0D"/>
    <w:rsid w:val="006944DF"/>
    <w:rsid w:val="00696392"/>
    <w:rsid w:val="00697BAF"/>
    <w:rsid w:val="006A08EA"/>
    <w:rsid w:val="006A0B32"/>
    <w:rsid w:val="006B0ABC"/>
    <w:rsid w:val="006B1EDA"/>
    <w:rsid w:val="006B77AE"/>
    <w:rsid w:val="006C221A"/>
    <w:rsid w:val="006C3518"/>
    <w:rsid w:val="006C548D"/>
    <w:rsid w:val="006C55BD"/>
    <w:rsid w:val="006D0FFD"/>
    <w:rsid w:val="006D567D"/>
    <w:rsid w:val="006F2C2B"/>
    <w:rsid w:val="0070068E"/>
    <w:rsid w:val="0071539F"/>
    <w:rsid w:val="007175CE"/>
    <w:rsid w:val="00736484"/>
    <w:rsid w:val="00740B50"/>
    <w:rsid w:val="00745827"/>
    <w:rsid w:val="007463FA"/>
    <w:rsid w:val="00762570"/>
    <w:rsid w:val="00767430"/>
    <w:rsid w:val="00770A2E"/>
    <w:rsid w:val="007718A1"/>
    <w:rsid w:val="007757AE"/>
    <w:rsid w:val="00780057"/>
    <w:rsid w:val="007811FB"/>
    <w:rsid w:val="007A072F"/>
    <w:rsid w:val="007B2F54"/>
    <w:rsid w:val="007B442B"/>
    <w:rsid w:val="007C1536"/>
    <w:rsid w:val="007C2348"/>
    <w:rsid w:val="007D5E52"/>
    <w:rsid w:val="007E7762"/>
    <w:rsid w:val="007F01AD"/>
    <w:rsid w:val="00813B13"/>
    <w:rsid w:val="008228FC"/>
    <w:rsid w:val="00822BE6"/>
    <w:rsid w:val="00827A4C"/>
    <w:rsid w:val="0083224F"/>
    <w:rsid w:val="008332A1"/>
    <w:rsid w:val="008435B4"/>
    <w:rsid w:val="00846BA1"/>
    <w:rsid w:val="008501D9"/>
    <w:rsid w:val="008512BB"/>
    <w:rsid w:val="00861276"/>
    <w:rsid w:val="008634A7"/>
    <w:rsid w:val="00863BBE"/>
    <w:rsid w:val="008670C3"/>
    <w:rsid w:val="00881598"/>
    <w:rsid w:val="0089551A"/>
    <w:rsid w:val="008A0A12"/>
    <w:rsid w:val="008A3F8B"/>
    <w:rsid w:val="008A5016"/>
    <w:rsid w:val="008A6701"/>
    <w:rsid w:val="008A7274"/>
    <w:rsid w:val="008C18AD"/>
    <w:rsid w:val="008D248A"/>
    <w:rsid w:val="008D75E5"/>
    <w:rsid w:val="008E0B25"/>
    <w:rsid w:val="008E0C73"/>
    <w:rsid w:val="008E0D85"/>
    <w:rsid w:val="008E2C1B"/>
    <w:rsid w:val="008E61FA"/>
    <w:rsid w:val="008F0B41"/>
    <w:rsid w:val="0090030C"/>
    <w:rsid w:val="00911F1F"/>
    <w:rsid w:val="00920FFA"/>
    <w:rsid w:val="00924133"/>
    <w:rsid w:val="009265E8"/>
    <w:rsid w:val="009306C4"/>
    <w:rsid w:val="00934CCE"/>
    <w:rsid w:val="00942B3A"/>
    <w:rsid w:val="00945618"/>
    <w:rsid w:val="00976314"/>
    <w:rsid w:val="0098005A"/>
    <w:rsid w:val="00982B94"/>
    <w:rsid w:val="0098746E"/>
    <w:rsid w:val="00987595"/>
    <w:rsid w:val="00987B22"/>
    <w:rsid w:val="009903A3"/>
    <w:rsid w:val="009942E4"/>
    <w:rsid w:val="009952E1"/>
    <w:rsid w:val="009A1F15"/>
    <w:rsid w:val="009A6163"/>
    <w:rsid w:val="009B6E00"/>
    <w:rsid w:val="009C6542"/>
    <w:rsid w:val="009D67D7"/>
    <w:rsid w:val="009E1D9B"/>
    <w:rsid w:val="009E348D"/>
    <w:rsid w:val="009E798D"/>
    <w:rsid w:val="009F03C0"/>
    <w:rsid w:val="00A04E49"/>
    <w:rsid w:val="00A27B6B"/>
    <w:rsid w:val="00A32450"/>
    <w:rsid w:val="00A426E3"/>
    <w:rsid w:val="00A50118"/>
    <w:rsid w:val="00A5265C"/>
    <w:rsid w:val="00A52C50"/>
    <w:rsid w:val="00A54CD9"/>
    <w:rsid w:val="00A5517C"/>
    <w:rsid w:val="00A62A2E"/>
    <w:rsid w:val="00A71131"/>
    <w:rsid w:val="00A71E03"/>
    <w:rsid w:val="00A83FFA"/>
    <w:rsid w:val="00A900D7"/>
    <w:rsid w:val="00A9736D"/>
    <w:rsid w:val="00AA3A7F"/>
    <w:rsid w:val="00AA4E21"/>
    <w:rsid w:val="00AB002A"/>
    <w:rsid w:val="00AB2C62"/>
    <w:rsid w:val="00AC1108"/>
    <w:rsid w:val="00AC2751"/>
    <w:rsid w:val="00AC591A"/>
    <w:rsid w:val="00AD6EED"/>
    <w:rsid w:val="00AE23C4"/>
    <w:rsid w:val="00AF1D15"/>
    <w:rsid w:val="00AF3A9B"/>
    <w:rsid w:val="00AF70A9"/>
    <w:rsid w:val="00B02698"/>
    <w:rsid w:val="00B05C02"/>
    <w:rsid w:val="00B103ED"/>
    <w:rsid w:val="00B128E5"/>
    <w:rsid w:val="00B1363D"/>
    <w:rsid w:val="00B211BC"/>
    <w:rsid w:val="00B23328"/>
    <w:rsid w:val="00B305D9"/>
    <w:rsid w:val="00B30F46"/>
    <w:rsid w:val="00B36304"/>
    <w:rsid w:val="00B36AE5"/>
    <w:rsid w:val="00B4230E"/>
    <w:rsid w:val="00B56CEA"/>
    <w:rsid w:val="00B73052"/>
    <w:rsid w:val="00B73D89"/>
    <w:rsid w:val="00B941B8"/>
    <w:rsid w:val="00B948AC"/>
    <w:rsid w:val="00B96CF1"/>
    <w:rsid w:val="00B97B56"/>
    <w:rsid w:val="00BB2E22"/>
    <w:rsid w:val="00BC28F2"/>
    <w:rsid w:val="00BC2F40"/>
    <w:rsid w:val="00BC3499"/>
    <w:rsid w:val="00BC4F5C"/>
    <w:rsid w:val="00BC6525"/>
    <w:rsid w:val="00BC7E7C"/>
    <w:rsid w:val="00BD286C"/>
    <w:rsid w:val="00BE49D4"/>
    <w:rsid w:val="00BE4EF7"/>
    <w:rsid w:val="00BE6D1D"/>
    <w:rsid w:val="00BF6FF8"/>
    <w:rsid w:val="00C01B12"/>
    <w:rsid w:val="00C12257"/>
    <w:rsid w:val="00C2198F"/>
    <w:rsid w:val="00C22A2E"/>
    <w:rsid w:val="00C259E0"/>
    <w:rsid w:val="00C30959"/>
    <w:rsid w:val="00C3112A"/>
    <w:rsid w:val="00C40CA5"/>
    <w:rsid w:val="00C42349"/>
    <w:rsid w:val="00C5393C"/>
    <w:rsid w:val="00C60797"/>
    <w:rsid w:val="00C84665"/>
    <w:rsid w:val="00C90775"/>
    <w:rsid w:val="00C94CD7"/>
    <w:rsid w:val="00CA13EA"/>
    <w:rsid w:val="00CA2831"/>
    <w:rsid w:val="00CD1B25"/>
    <w:rsid w:val="00CE1B37"/>
    <w:rsid w:val="00CE34EA"/>
    <w:rsid w:val="00CE39FE"/>
    <w:rsid w:val="00CE7793"/>
    <w:rsid w:val="00CF0BAF"/>
    <w:rsid w:val="00CF2E5C"/>
    <w:rsid w:val="00CF3403"/>
    <w:rsid w:val="00D00AFE"/>
    <w:rsid w:val="00D02C06"/>
    <w:rsid w:val="00D067A0"/>
    <w:rsid w:val="00D1075D"/>
    <w:rsid w:val="00D10A12"/>
    <w:rsid w:val="00D11745"/>
    <w:rsid w:val="00D15E70"/>
    <w:rsid w:val="00D231BA"/>
    <w:rsid w:val="00D23B7F"/>
    <w:rsid w:val="00D3755E"/>
    <w:rsid w:val="00D47BBB"/>
    <w:rsid w:val="00D50EE8"/>
    <w:rsid w:val="00D53782"/>
    <w:rsid w:val="00D664A5"/>
    <w:rsid w:val="00D734E2"/>
    <w:rsid w:val="00D73DD0"/>
    <w:rsid w:val="00D76363"/>
    <w:rsid w:val="00D7724A"/>
    <w:rsid w:val="00D77537"/>
    <w:rsid w:val="00D81D80"/>
    <w:rsid w:val="00D93689"/>
    <w:rsid w:val="00DA35E0"/>
    <w:rsid w:val="00DA3682"/>
    <w:rsid w:val="00DA3FD9"/>
    <w:rsid w:val="00DB4826"/>
    <w:rsid w:val="00DB5333"/>
    <w:rsid w:val="00DC7259"/>
    <w:rsid w:val="00DE2789"/>
    <w:rsid w:val="00E01DE7"/>
    <w:rsid w:val="00E05BD5"/>
    <w:rsid w:val="00E065DF"/>
    <w:rsid w:val="00E110B8"/>
    <w:rsid w:val="00E2004F"/>
    <w:rsid w:val="00E2704A"/>
    <w:rsid w:val="00E31C2E"/>
    <w:rsid w:val="00E34ABA"/>
    <w:rsid w:val="00E40A94"/>
    <w:rsid w:val="00E441EF"/>
    <w:rsid w:val="00E51798"/>
    <w:rsid w:val="00E543A7"/>
    <w:rsid w:val="00E60E78"/>
    <w:rsid w:val="00E620B2"/>
    <w:rsid w:val="00E66511"/>
    <w:rsid w:val="00E73731"/>
    <w:rsid w:val="00E76A38"/>
    <w:rsid w:val="00E77D7D"/>
    <w:rsid w:val="00E866B2"/>
    <w:rsid w:val="00E947A2"/>
    <w:rsid w:val="00E94A96"/>
    <w:rsid w:val="00EA038E"/>
    <w:rsid w:val="00EA7ABD"/>
    <w:rsid w:val="00EB41E2"/>
    <w:rsid w:val="00EC1BBE"/>
    <w:rsid w:val="00EC2C17"/>
    <w:rsid w:val="00ED22D0"/>
    <w:rsid w:val="00EE5ECB"/>
    <w:rsid w:val="00EE6FCF"/>
    <w:rsid w:val="00F10BF9"/>
    <w:rsid w:val="00F23C2A"/>
    <w:rsid w:val="00F3456A"/>
    <w:rsid w:val="00F364BA"/>
    <w:rsid w:val="00F37AC7"/>
    <w:rsid w:val="00F40C13"/>
    <w:rsid w:val="00F40E11"/>
    <w:rsid w:val="00F411F5"/>
    <w:rsid w:val="00F434AD"/>
    <w:rsid w:val="00F4366E"/>
    <w:rsid w:val="00F718B3"/>
    <w:rsid w:val="00F85428"/>
    <w:rsid w:val="00F9317C"/>
    <w:rsid w:val="00FB6100"/>
    <w:rsid w:val="00FC28E4"/>
    <w:rsid w:val="00FC5026"/>
    <w:rsid w:val="00FC7012"/>
    <w:rsid w:val="00FD385B"/>
    <w:rsid w:val="00FD7444"/>
    <w:rsid w:val="00FE0298"/>
    <w:rsid w:val="00FE4461"/>
    <w:rsid w:val="00FE4879"/>
    <w:rsid w:val="00FE6284"/>
    <w:rsid w:val="00FE6317"/>
    <w:rsid w:val="00FF0660"/>
    <w:rsid w:val="00FF239C"/>
    <w:rsid w:val="00FF60DA"/>
    <w:rsid w:val="00FF7D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C65014A"/>
  <w15:chartTrackingRefBased/>
  <w15:docId w15:val="{714399C9-C213-4FC5-B81C-CF5BFA87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rPr>
  </w:style>
  <w:style w:type="paragraph" w:styleId="Nadpis2">
    <w:name w:val="heading 2"/>
    <w:basedOn w:val="Normln"/>
    <w:next w:val="Normln"/>
    <w:link w:val="Nadpis2Char"/>
    <w:semiHidden/>
    <w:unhideWhenUsed/>
    <w:qFormat/>
    <w:rsid w:val="008A0A12"/>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2A4118"/>
    <w:pPr>
      <w:keepNext/>
      <w:jc w:val="center"/>
      <w:outlineLvl w:val="2"/>
    </w:pPr>
    <w:rPr>
      <w:iCs/>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i/>
      <w:sz w:val="32"/>
    </w:rPr>
  </w:style>
  <w:style w:type="paragraph" w:styleId="Zkladntext">
    <w:name w:val="Body Text"/>
    <w:basedOn w:val="Normln"/>
    <w:pPr>
      <w:jc w:val="both"/>
    </w:pPr>
  </w:style>
  <w:style w:type="paragraph" w:styleId="Zkladntextodsazen">
    <w:name w:val="Body Text Indent"/>
    <w:basedOn w:val="Normln"/>
    <w:pPr>
      <w:ind w:firstLine="708"/>
      <w:jc w:val="both"/>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semiHidden/>
    <w:rsid w:val="00B103ED"/>
    <w:rPr>
      <w:rFonts w:ascii="Tahoma" w:hAnsi="Tahoma" w:cs="Tahoma"/>
      <w:sz w:val="16"/>
      <w:szCs w:val="16"/>
    </w:rPr>
  </w:style>
  <w:style w:type="character" w:styleId="Odkaznakoment">
    <w:name w:val="annotation reference"/>
    <w:semiHidden/>
    <w:rsid w:val="00D15E70"/>
    <w:rPr>
      <w:sz w:val="16"/>
      <w:szCs w:val="16"/>
    </w:rPr>
  </w:style>
  <w:style w:type="paragraph" w:styleId="Textkomente">
    <w:name w:val="annotation text"/>
    <w:basedOn w:val="Normln"/>
    <w:semiHidden/>
    <w:rsid w:val="00D15E70"/>
    <w:rPr>
      <w:sz w:val="20"/>
    </w:rPr>
  </w:style>
  <w:style w:type="paragraph" w:styleId="Pedmtkomente">
    <w:name w:val="annotation subject"/>
    <w:basedOn w:val="Textkomente"/>
    <w:next w:val="Textkomente"/>
    <w:semiHidden/>
    <w:rsid w:val="00D15E70"/>
    <w:rPr>
      <w:b/>
      <w:bCs/>
    </w:rPr>
  </w:style>
  <w:style w:type="character" w:customStyle="1" w:styleId="platne1">
    <w:name w:val="platne1"/>
    <w:basedOn w:val="Standardnpsmoodstavce"/>
    <w:rsid w:val="00135041"/>
  </w:style>
  <w:style w:type="paragraph" w:customStyle="1" w:styleId="Prosttext1">
    <w:name w:val="Prostý text1"/>
    <w:basedOn w:val="Normln"/>
    <w:rsid w:val="000D2EB7"/>
    <w:pPr>
      <w:jc w:val="both"/>
    </w:pPr>
    <w:rPr>
      <w:rFonts w:ascii="Courier New" w:hAnsi="Courier New"/>
    </w:rPr>
  </w:style>
  <w:style w:type="paragraph" w:customStyle="1" w:styleId="PlainText1">
    <w:name w:val="Plain Text1"/>
    <w:basedOn w:val="Normln"/>
    <w:rsid w:val="000D2EB7"/>
    <w:pPr>
      <w:jc w:val="both"/>
    </w:pPr>
    <w:rPr>
      <w:rFonts w:ascii="Courier New" w:hAnsi="Courier New"/>
    </w:rPr>
  </w:style>
  <w:style w:type="paragraph" w:styleId="Zkladntextodsazen2">
    <w:name w:val="Body Text Indent 2"/>
    <w:basedOn w:val="Normln"/>
    <w:rsid w:val="006450C4"/>
    <w:pPr>
      <w:spacing w:after="120" w:line="480" w:lineRule="auto"/>
      <w:ind w:left="283"/>
    </w:pPr>
  </w:style>
  <w:style w:type="character" w:styleId="slostrnky">
    <w:name w:val="page number"/>
    <w:basedOn w:val="Standardnpsmoodstavce"/>
    <w:rsid w:val="0071539F"/>
  </w:style>
  <w:style w:type="paragraph" w:customStyle="1" w:styleId="Styl1">
    <w:name w:val="Styl1"/>
    <w:basedOn w:val="Normln"/>
    <w:rsid w:val="00A32450"/>
    <w:pPr>
      <w:jc w:val="both"/>
    </w:pPr>
    <w:rPr>
      <w:sz w:val="22"/>
    </w:rPr>
  </w:style>
  <w:style w:type="paragraph" w:styleId="Odstavecseseznamem">
    <w:name w:val="List Paragraph"/>
    <w:basedOn w:val="Normln"/>
    <w:uiPriority w:val="34"/>
    <w:qFormat/>
    <w:rsid w:val="00924133"/>
    <w:pPr>
      <w:ind w:left="708"/>
    </w:pPr>
    <w:rPr>
      <w:szCs w:val="24"/>
    </w:rPr>
  </w:style>
  <w:style w:type="character" w:customStyle="1" w:styleId="Nadpis3Char">
    <w:name w:val="Nadpis 3 Char"/>
    <w:link w:val="Nadpis3"/>
    <w:rsid w:val="002A4118"/>
    <w:rPr>
      <w:iCs/>
      <w:sz w:val="24"/>
      <w:szCs w:val="24"/>
    </w:rPr>
  </w:style>
  <w:style w:type="character" w:customStyle="1" w:styleId="Nadpis2Char">
    <w:name w:val="Nadpis 2 Char"/>
    <w:link w:val="Nadpis2"/>
    <w:semiHidden/>
    <w:rsid w:val="008A0A12"/>
    <w:rPr>
      <w:rFonts w:ascii="Cambria" w:eastAsia="Times New Roman" w:hAnsi="Cambria" w:cs="Times New Roman"/>
      <w:b/>
      <w:bCs/>
      <w:i/>
      <w:iCs/>
      <w:sz w:val="28"/>
      <w:szCs w:val="28"/>
    </w:rPr>
  </w:style>
  <w:style w:type="character" w:styleId="Hypertextovodkaz">
    <w:name w:val="Hyperlink"/>
    <w:rsid w:val="008A0A12"/>
    <w:rPr>
      <w:color w:val="0000FF"/>
      <w:u w:val="single"/>
    </w:rPr>
  </w:style>
  <w:style w:type="character" w:styleId="Nevyeenzmnka">
    <w:name w:val="Unresolved Mention"/>
    <w:uiPriority w:val="99"/>
    <w:semiHidden/>
    <w:unhideWhenUsed/>
    <w:rsid w:val="00126495"/>
    <w:rPr>
      <w:color w:val="605E5C"/>
      <w:shd w:val="clear" w:color="auto" w:fill="E1DFDD"/>
    </w:rPr>
  </w:style>
  <w:style w:type="character" w:styleId="Sledovanodkaz">
    <w:name w:val="FollowedHyperlink"/>
    <w:basedOn w:val="Standardnpsmoodstavce"/>
    <w:rsid w:val="00C40CA5"/>
    <w:rPr>
      <w:color w:val="96607D" w:themeColor="followedHyperlink"/>
      <w:u w:val="single"/>
    </w:rPr>
  </w:style>
  <w:style w:type="paragraph" w:styleId="Revize">
    <w:name w:val="Revision"/>
    <w:hidden/>
    <w:uiPriority w:val="99"/>
    <w:semiHidden/>
    <w:rsid w:val="00FE63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439395">
      <w:bodyDiv w:val="1"/>
      <w:marLeft w:val="0"/>
      <w:marRight w:val="0"/>
      <w:marTop w:val="0"/>
      <w:marBottom w:val="0"/>
      <w:divBdr>
        <w:top w:val="none" w:sz="0" w:space="0" w:color="auto"/>
        <w:left w:val="none" w:sz="0" w:space="0" w:color="auto"/>
        <w:bottom w:val="none" w:sz="0" w:space="0" w:color="auto"/>
        <w:right w:val="none" w:sz="0" w:space="0" w:color="auto"/>
      </w:divBdr>
      <w:divsChild>
        <w:div w:id="195629223">
          <w:marLeft w:val="0"/>
          <w:marRight w:val="0"/>
          <w:marTop w:val="0"/>
          <w:marBottom w:val="0"/>
          <w:divBdr>
            <w:top w:val="none" w:sz="0" w:space="0" w:color="auto"/>
            <w:left w:val="none" w:sz="0" w:space="0" w:color="auto"/>
            <w:bottom w:val="none" w:sz="0" w:space="0" w:color="auto"/>
            <w:right w:val="none" w:sz="0" w:space="0" w:color="auto"/>
          </w:divBdr>
          <w:divsChild>
            <w:div w:id="1432699168">
              <w:marLeft w:val="0"/>
              <w:marRight w:val="0"/>
              <w:marTop w:val="0"/>
              <w:marBottom w:val="0"/>
              <w:divBdr>
                <w:top w:val="none" w:sz="0" w:space="0" w:color="auto"/>
                <w:left w:val="none" w:sz="0" w:space="0" w:color="auto"/>
                <w:bottom w:val="none" w:sz="0" w:space="0" w:color="auto"/>
                <w:right w:val="none" w:sz="0" w:space="0" w:color="auto"/>
              </w:divBdr>
              <w:divsChild>
                <w:div w:id="1337539677">
                  <w:marLeft w:val="0"/>
                  <w:marRight w:val="0"/>
                  <w:marTop w:val="0"/>
                  <w:marBottom w:val="0"/>
                  <w:divBdr>
                    <w:top w:val="none" w:sz="0" w:space="0" w:color="auto"/>
                    <w:left w:val="none" w:sz="0" w:space="0" w:color="auto"/>
                    <w:bottom w:val="none" w:sz="0" w:space="0" w:color="auto"/>
                    <w:right w:val="none" w:sz="0" w:space="0" w:color="auto"/>
                  </w:divBdr>
                  <w:divsChild>
                    <w:div w:id="435709285">
                      <w:marLeft w:val="0"/>
                      <w:marRight w:val="0"/>
                      <w:marTop w:val="0"/>
                      <w:marBottom w:val="0"/>
                      <w:divBdr>
                        <w:top w:val="none" w:sz="0" w:space="0" w:color="auto"/>
                        <w:left w:val="none" w:sz="0" w:space="0" w:color="auto"/>
                        <w:bottom w:val="none" w:sz="0" w:space="0" w:color="auto"/>
                        <w:right w:val="none" w:sz="0" w:space="0" w:color="auto"/>
                      </w:divBdr>
                    </w:div>
                    <w:div w:id="2011445124">
                      <w:marLeft w:val="0"/>
                      <w:marRight w:val="0"/>
                      <w:marTop w:val="0"/>
                      <w:marBottom w:val="150"/>
                      <w:divBdr>
                        <w:top w:val="none" w:sz="0" w:space="0" w:color="auto"/>
                        <w:left w:val="none" w:sz="0" w:space="0" w:color="auto"/>
                        <w:bottom w:val="none" w:sz="0" w:space="0" w:color="auto"/>
                        <w:right w:val="none" w:sz="0" w:space="0" w:color="auto"/>
                      </w:divBdr>
                      <w:divsChild>
                        <w:div w:id="2082555535">
                          <w:marLeft w:val="0"/>
                          <w:marRight w:val="0"/>
                          <w:marTop w:val="0"/>
                          <w:marBottom w:val="0"/>
                          <w:divBdr>
                            <w:top w:val="none" w:sz="0" w:space="0" w:color="auto"/>
                            <w:left w:val="none" w:sz="0" w:space="0" w:color="auto"/>
                            <w:bottom w:val="none" w:sz="0" w:space="0" w:color="auto"/>
                            <w:right w:val="none" w:sz="0" w:space="0" w:color="auto"/>
                          </w:divBdr>
                          <w:divsChild>
                            <w:div w:id="615529362">
                              <w:marLeft w:val="0"/>
                              <w:marRight w:val="0"/>
                              <w:marTop w:val="0"/>
                              <w:marBottom w:val="0"/>
                              <w:divBdr>
                                <w:top w:val="none" w:sz="0" w:space="0" w:color="auto"/>
                                <w:left w:val="none" w:sz="0" w:space="0" w:color="auto"/>
                                <w:bottom w:val="none" w:sz="0" w:space="0" w:color="auto"/>
                                <w:right w:val="none" w:sz="0" w:space="0" w:color="auto"/>
                              </w:divBdr>
                              <w:divsChild>
                                <w:div w:id="173347048">
                                  <w:marLeft w:val="0"/>
                                  <w:marRight w:val="0"/>
                                  <w:marTop w:val="0"/>
                                  <w:marBottom w:val="0"/>
                                  <w:divBdr>
                                    <w:top w:val="none" w:sz="0" w:space="0" w:color="auto"/>
                                    <w:left w:val="none" w:sz="0" w:space="0" w:color="auto"/>
                                    <w:bottom w:val="none" w:sz="0" w:space="0" w:color="auto"/>
                                    <w:right w:val="none" w:sz="0" w:space="0" w:color="auto"/>
                                  </w:divBdr>
                                </w:div>
                              </w:divsChild>
                            </w:div>
                            <w:div w:id="1749230261">
                              <w:marLeft w:val="0"/>
                              <w:marRight w:val="0"/>
                              <w:marTop w:val="0"/>
                              <w:marBottom w:val="0"/>
                              <w:divBdr>
                                <w:top w:val="none" w:sz="0" w:space="0" w:color="auto"/>
                                <w:left w:val="none" w:sz="0" w:space="0" w:color="auto"/>
                                <w:bottom w:val="none" w:sz="0" w:space="0" w:color="auto"/>
                                <w:right w:val="none" w:sz="0" w:space="0" w:color="auto"/>
                              </w:divBdr>
                              <w:divsChild>
                                <w:div w:id="19254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063351">
          <w:marLeft w:val="0"/>
          <w:marRight w:val="0"/>
          <w:marTop w:val="0"/>
          <w:marBottom w:val="0"/>
          <w:divBdr>
            <w:top w:val="none" w:sz="0" w:space="0" w:color="auto"/>
            <w:left w:val="none" w:sz="0" w:space="0" w:color="auto"/>
            <w:bottom w:val="none" w:sz="0" w:space="0" w:color="auto"/>
            <w:right w:val="none" w:sz="0" w:space="0" w:color="auto"/>
          </w:divBdr>
          <w:divsChild>
            <w:div w:id="823425370">
              <w:marLeft w:val="0"/>
              <w:marRight w:val="0"/>
              <w:marTop w:val="0"/>
              <w:marBottom w:val="0"/>
              <w:divBdr>
                <w:top w:val="none" w:sz="0" w:space="0" w:color="auto"/>
                <w:left w:val="none" w:sz="0" w:space="0" w:color="auto"/>
                <w:bottom w:val="none" w:sz="0" w:space="0" w:color="auto"/>
                <w:right w:val="none" w:sz="0" w:space="0" w:color="auto"/>
              </w:divBdr>
              <w:divsChild>
                <w:div w:id="353268615">
                  <w:marLeft w:val="0"/>
                  <w:marRight w:val="0"/>
                  <w:marTop w:val="0"/>
                  <w:marBottom w:val="0"/>
                  <w:divBdr>
                    <w:top w:val="none" w:sz="0" w:space="0" w:color="auto"/>
                    <w:left w:val="none" w:sz="0" w:space="0" w:color="auto"/>
                    <w:bottom w:val="none" w:sz="0" w:space="0" w:color="auto"/>
                    <w:right w:val="none" w:sz="0" w:space="0" w:color="auto"/>
                  </w:divBdr>
                  <w:divsChild>
                    <w:div w:id="1305698591">
                      <w:marLeft w:val="0"/>
                      <w:marRight w:val="0"/>
                      <w:marTop w:val="0"/>
                      <w:marBottom w:val="150"/>
                      <w:divBdr>
                        <w:top w:val="none" w:sz="0" w:space="0" w:color="auto"/>
                        <w:left w:val="none" w:sz="0" w:space="0" w:color="auto"/>
                        <w:bottom w:val="none" w:sz="0" w:space="0" w:color="auto"/>
                        <w:right w:val="none" w:sz="0" w:space="0" w:color="auto"/>
                      </w:divBdr>
                      <w:divsChild>
                        <w:div w:id="1133669572">
                          <w:marLeft w:val="0"/>
                          <w:marRight w:val="0"/>
                          <w:marTop w:val="0"/>
                          <w:marBottom w:val="0"/>
                          <w:divBdr>
                            <w:top w:val="none" w:sz="0" w:space="0" w:color="auto"/>
                            <w:left w:val="none" w:sz="0" w:space="0" w:color="auto"/>
                            <w:bottom w:val="none" w:sz="0" w:space="0" w:color="auto"/>
                            <w:right w:val="none" w:sz="0" w:space="0" w:color="auto"/>
                          </w:divBdr>
                          <w:divsChild>
                            <w:div w:id="1813861357">
                              <w:marLeft w:val="0"/>
                              <w:marRight w:val="0"/>
                              <w:marTop w:val="0"/>
                              <w:marBottom w:val="0"/>
                              <w:divBdr>
                                <w:top w:val="none" w:sz="0" w:space="0" w:color="auto"/>
                                <w:left w:val="none" w:sz="0" w:space="0" w:color="auto"/>
                                <w:bottom w:val="none" w:sz="0" w:space="0" w:color="auto"/>
                                <w:right w:val="none" w:sz="0" w:space="0" w:color="auto"/>
                              </w:divBdr>
                              <w:divsChild>
                                <w:div w:id="78219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326046">
          <w:marLeft w:val="0"/>
          <w:marRight w:val="0"/>
          <w:marTop w:val="0"/>
          <w:marBottom w:val="0"/>
          <w:divBdr>
            <w:top w:val="none" w:sz="0" w:space="0" w:color="auto"/>
            <w:left w:val="none" w:sz="0" w:space="0" w:color="auto"/>
            <w:bottom w:val="none" w:sz="0" w:space="0" w:color="auto"/>
            <w:right w:val="none" w:sz="0" w:space="0" w:color="auto"/>
          </w:divBdr>
          <w:divsChild>
            <w:div w:id="1973827002">
              <w:marLeft w:val="0"/>
              <w:marRight w:val="0"/>
              <w:marTop w:val="0"/>
              <w:marBottom w:val="0"/>
              <w:divBdr>
                <w:top w:val="none" w:sz="0" w:space="0" w:color="auto"/>
                <w:left w:val="none" w:sz="0" w:space="0" w:color="auto"/>
                <w:bottom w:val="none" w:sz="0" w:space="0" w:color="auto"/>
                <w:right w:val="none" w:sz="0" w:space="0" w:color="auto"/>
              </w:divBdr>
              <w:divsChild>
                <w:div w:id="220361389">
                  <w:marLeft w:val="0"/>
                  <w:marRight w:val="0"/>
                  <w:marTop w:val="0"/>
                  <w:marBottom w:val="0"/>
                  <w:divBdr>
                    <w:top w:val="none" w:sz="0" w:space="0" w:color="auto"/>
                    <w:left w:val="none" w:sz="0" w:space="0" w:color="auto"/>
                    <w:bottom w:val="none" w:sz="0" w:space="0" w:color="auto"/>
                    <w:right w:val="none" w:sz="0" w:space="0" w:color="auto"/>
                  </w:divBdr>
                  <w:divsChild>
                    <w:div w:id="249123915">
                      <w:marLeft w:val="0"/>
                      <w:marRight w:val="0"/>
                      <w:marTop w:val="0"/>
                      <w:marBottom w:val="0"/>
                      <w:divBdr>
                        <w:top w:val="none" w:sz="0" w:space="0" w:color="auto"/>
                        <w:left w:val="none" w:sz="0" w:space="0" w:color="auto"/>
                        <w:bottom w:val="none" w:sz="0" w:space="0" w:color="auto"/>
                        <w:right w:val="none" w:sz="0" w:space="0" w:color="auto"/>
                      </w:divBdr>
                    </w:div>
                    <w:div w:id="1215969197">
                      <w:marLeft w:val="0"/>
                      <w:marRight w:val="0"/>
                      <w:marTop w:val="0"/>
                      <w:marBottom w:val="150"/>
                      <w:divBdr>
                        <w:top w:val="none" w:sz="0" w:space="0" w:color="auto"/>
                        <w:left w:val="none" w:sz="0" w:space="0" w:color="auto"/>
                        <w:bottom w:val="none" w:sz="0" w:space="0" w:color="auto"/>
                        <w:right w:val="none" w:sz="0" w:space="0" w:color="auto"/>
                      </w:divBdr>
                      <w:divsChild>
                        <w:div w:id="323779438">
                          <w:marLeft w:val="0"/>
                          <w:marRight w:val="0"/>
                          <w:marTop w:val="0"/>
                          <w:marBottom w:val="0"/>
                          <w:divBdr>
                            <w:top w:val="none" w:sz="0" w:space="0" w:color="auto"/>
                            <w:left w:val="none" w:sz="0" w:space="0" w:color="auto"/>
                            <w:bottom w:val="none" w:sz="0" w:space="0" w:color="auto"/>
                            <w:right w:val="none" w:sz="0" w:space="0" w:color="auto"/>
                          </w:divBdr>
                          <w:divsChild>
                            <w:div w:id="575476903">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
                              </w:divsChild>
                            </w:div>
                            <w:div w:id="969746549">
                              <w:marLeft w:val="0"/>
                              <w:marRight w:val="0"/>
                              <w:marTop w:val="0"/>
                              <w:marBottom w:val="0"/>
                              <w:divBdr>
                                <w:top w:val="none" w:sz="0" w:space="0" w:color="auto"/>
                                <w:left w:val="none" w:sz="0" w:space="0" w:color="auto"/>
                                <w:bottom w:val="none" w:sz="0" w:space="0" w:color="auto"/>
                                <w:right w:val="none" w:sz="0" w:space="0" w:color="auto"/>
                              </w:divBdr>
                              <w:divsChild>
                                <w:div w:id="1744644571">
                                  <w:marLeft w:val="0"/>
                                  <w:marRight w:val="0"/>
                                  <w:marTop w:val="0"/>
                                  <w:marBottom w:val="0"/>
                                  <w:divBdr>
                                    <w:top w:val="none" w:sz="0" w:space="0" w:color="auto"/>
                                    <w:left w:val="none" w:sz="0" w:space="0" w:color="auto"/>
                                    <w:bottom w:val="none" w:sz="0" w:space="0" w:color="auto"/>
                                    <w:right w:val="none" w:sz="0" w:space="0" w:color="auto"/>
                                  </w:divBdr>
                                  <w:divsChild>
                                    <w:div w:id="179622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786203">
          <w:marLeft w:val="0"/>
          <w:marRight w:val="0"/>
          <w:marTop w:val="0"/>
          <w:marBottom w:val="0"/>
          <w:divBdr>
            <w:top w:val="none" w:sz="0" w:space="0" w:color="auto"/>
            <w:left w:val="none" w:sz="0" w:space="0" w:color="auto"/>
            <w:bottom w:val="none" w:sz="0" w:space="0" w:color="auto"/>
            <w:right w:val="none" w:sz="0" w:space="0" w:color="auto"/>
          </w:divBdr>
          <w:divsChild>
            <w:div w:id="407577251">
              <w:marLeft w:val="0"/>
              <w:marRight w:val="0"/>
              <w:marTop w:val="0"/>
              <w:marBottom w:val="0"/>
              <w:divBdr>
                <w:top w:val="none" w:sz="0" w:space="0" w:color="auto"/>
                <w:left w:val="none" w:sz="0" w:space="0" w:color="auto"/>
                <w:bottom w:val="none" w:sz="0" w:space="0" w:color="auto"/>
                <w:right w:val="none" w:sz="0" w:space="0" w:color="auto"/>
              </w:divBdr>
              <w:divsChild>
                <w:div w:id="1567493388">
                  <w:marLeft w:val="0"/>
                  <w:marRight w:val="0"/>
                  <w:marTop w:val="0"/>
                  <w:marBottom w:val="0"/>
                  <w:divBdr>
                    <w:top w:val="none" w:sz="0" w:space="0" w:color="auto"/>
                    <w:left w:val="none" w:sz="0" w:space="0" w:color="auto"/>
                    <w:bottom w:val="none" w:sz="0" w:space="0" w:color="auto"/>
                    <w:right w:val="none" w:sz="0" w:space="0" w:color="auto"/>
                  </w:divBdr>
                  <w:divsChild>
                    <w:div w:id="517433270">
                      <w:marLeft w:val="0"/>
                      <w:marRight w:val="0"/>
                      <w:marTop w:val="0"/>
                      <w:marBottom w:val="150"/>
                      <w:divBdr>
                        <w:top w:val="none" w:sz="0" w:space="0" w:color="auto"/>
                        <w:left w:val="none" w:sz="0" w:space="0" w:color="auto"/>
                        <w:bottom w:val="none" w:sz="0" w:space="0" w:color="auto"/>
                        <w:right w:val="none" w:sz="0" w:space="0" w:color="auto"/>
                      </w:divBdr>
                      <w:divsChild>
                        <w:div w:id="1020086655">
                          <w:marLeft w:val="0"/>
                          <w:marRight w:val="0"/>
                          <w:marTop w:val="0"/>
                          <w:marBottom w:val="0"/>
                          <w:divBdr>
                            <w:top w:val="none" w:sz="0" w:space="0" w:color="auto"/>
                            <w:left w:val="none" w:sz="0" w:space="0" w:color="auto"/>
                            <w:bottom w:val="none" w:sz="0" w:space="0" w:color="auto"/>
                            <w:right w:val="none" w:sz="0" w:space="0" w:color="auto"/>
                          </w:divBdr>
                          <w:divsChild>
                            <w:div w:id="524754281">
                              <w:marLeft w:val="0"/>
                              <w:marRight w:val="0"/>
                              <w:marTop w:val="0"/>
                              <w:marBottom w:val="0"/>
                              <w:divBdr>
                                <w:top w:val="none" w:sz="0" w:space="0" w:color="auto"/>
                                <w:left w:val="none" w:sz="0" w:space="0" w:color="auto"/>
                                <w:bottom w:val="none" w:sz="0" w:space="0" w:color="auto"/>
                                <w:right w:val="none" w:sz="0" w:space="0" w:color="auto"/>
                              </w:divBdr>
                              <w:divsChild>
                                <w:div w:id="794636896">
                                  <w:marLeft w:val="0"/>
                                  <w:marRight w:val="0"/>
                                  <w:marTop w:val="0"/>
                                  <w:marBottom w:val="0"/>
                                  <w:divBdr>
                                    <w:top w:val="none" w:sz="0" w:space="0" w:color="auto"/>
                                    <w:left w:val="none" w:sz="0" w:space="0" w:color="auto"/>
                                    <w:bottom w:val="none" w:sz="0" w:space="0" w:color="auto"/>
                                    <w:right w:val="none" w:sz="0" w:space="0" w:color="auto"/>
                                  </w:divBdr>
                                </w:div>
                              </w:divsChild>
                            </w:div>
                            <w:div w:id="1204950606">
                              <w:marLeft w:val="0"/>
                              <w:marRight w:val="0"/>
                              <w:marTop w:val="0"/>
                              <w:marBottom w:val="0"/>
                              <w:divBdr>
                                <w:top w:val="none" w:sz="0" w:space="0" w:color="auto"/>
                                <w:left w:val="none" w:sz="0" w:space="0" w:color="auto"/>
                                <w:bottom w:val="none" w:sz="0" w:space="0" w:color="auto"/>
                                <w:right w:val="none" w:sz="0" w:space="0" w:color="auto"/>
                              </w:divBdr>
                              <w:divsChild>
                                <w:div w:id="11963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6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xxxxxxxxxxxx@crr.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xxxxxxxxxx@ppfrea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odatelna@crr.gov.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odatelna@crr.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6461CD708D984CABB5E520C603CB89" ma:contentTypeVersion="18" ma:contentTypeDescription="Vytvoří nový dokument" ma:contentTypeScope="" ma:versionID="8d48a01e06013564e2a7f90de46e129d">
  <xsd:schema xmlns:xsd="http://www.w3.org/2001/XMLSchema" xmlns:xs="http://www.w3.org/2001/XMLSchema" xmlns:p="http://schemas.microsoft.com/office/2006/metadata/properties" xmlns:ns2="77a4781b-0336-4244-94ba-2613b8ae7632" xmlns:ns3="7704fb33-ebf5-43e0-9ff4-352c21143cc7" targetNamespace="http://schemas.microsoft.com/office/2006/metadata/properties" ma:root="true" ma:fieldsID="74075dea05ffae606215bfca2aca1f83" ns2:_="" ns3:_="">
    <xsd:import namespace="77a4781b-0336-4244-94ba-2613b8ae7632"/>
    <xsd:import namespace="7704fb33-ebf5-43e0-9ff4-352c21143c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4781b-0336-4244-94ba-2613b8ae7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bbd81d2e-8884-4be6-b526-0a5c747263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fb33-ebf5-43e0-9ff4-352c21143cc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89e3c51-c07b-4e29-9622-9517b088d10f}" ma:internalName="TaxCatchAll" ma:showField="CatchAllData" ma:web="7704fb33-ebf5-43e0-9ff4-352c21143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8D914-8D85-974D-A229-9B955C816137}">
  <ds:schemaRefs>
    <ds:schemaRef ds:uri="http://schemas.openxmlformats.org/officeDocument/2006/bibliography"/>
  </ds:schemaRefs>
</ds:datastoreItem>
</file>

<file path=customXml/itemProps2.xml><?xml version="1.0" encoding="utf-8"?>
<ds:datastoreItem xmlns:ds="http://schemas.openxmlformats.org/officeDocument/2006/customXml" ds:itemID="{DD893304-796C-4E5E-B8D3-663CED2F01B5}">
  <ds:schemaRefs>
    <ds:schemaRef ds:uri="http://schemas.microsoft.com/sharepoint/v3/contenttype/forms"/>
  </ds:schemaRefs>
</ds:datastoreItem>
</file>

<file path=customXml/itemProps3.xml><?xml version="1.0" encoding="utf-8"?>
<ds:datastoreItem xmlns:ds="http://schemas.openxmlformats.org/officeDocument/2006/customXml" ds:itemID="{CC79C526-F362-4E84-B647-C5AF61168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4781b-0336-4244-94ba-2613b8ae7632"/>
    <ds:schemaRef ds:uri="7704fb33-ebf5-43e0-9ff4-352c21143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2485</Words>
  <Characters>14245</Characters>
  <Application>Microsoft Office Word</Application>
  <DocSecurity>0</DocSecurity>
  <Lines>374</Lines>
  <Paragraphs>149</Paragraphs>
  <ScaleCrop>false</ScaleCrop>
  <HeadingPairs>
    <vt:vector size="2" baseType="variant">
      <vt:variant>
        <vt:lpstr>Název</vt:lpstr>
      </vt:variant>
      <vt:variant>
        <vt:i4>1</vt:i4>
      </vt:variant>
    </vt:vector>
  </HeadingPairs>
  <TitlesOfParts>
    <vt:vector size="1" baseType="lpstr">
      <vt:lpstr>S M L O U V A - parking pred budovou</vt:lpstr>
    </vt:vector>
  </TitlesOfParts>
  <Company>MV Centrum</Company>
  <LinksUpToDate>false</LinksUpToDate>
  <CharactersWithSpaces>16581</CharactersWithSpaces>
  <SharedDoc>false</SharedDoc>
  <HLinks>
    <vt:vector size="24" baseType="variant">
      <vt:variant>
        <vt:i4>8192083</vt:i4>
      </vt:variant>
      <vt:variant>
        <vt:i4>9</vt:i4>
      </vt:variant>
      <vt:variant>
        <vt:i4>0</vt:i4>
      </vt:variant>
      <vt:variant>
        <vt:i4>5</vt:i4>
      </vt:variant>
      <vt:variant>
        <vt:lpwstr>mailto:podatelna@crr.cz</vt:lpwstr>
      </vt:variant>
      <vt:variant>
        <vt:lpwstr/>
      </vt:variant>
      <vt:variant>
        <vt:i4>2752530</vt:i4>
      </vt:variant>
      <vt:variant>
        <vt:i4>6</vt:i4>
      </vt:variant>
      <vt:variant>
        <vt:i4>0</vt:i4>
      </vt:variant>
      <vt:variant>
        <vt:i4>5</vt:i4>
      </vt:variant>
      <vt:variant>
        <vt:lpwstr>mailto:Petr.Stepanek@crr.gov.cz</vt:lpwstr>
      </vt:variant>
      <vt:variant>
        <vt:lpwstr/>
      </vt:variant>
      <vt:variant>
        <vt:i4>2031650</vt:i4>
      </vt:variant>
      <vt:variant>
        <vt:i4>3</vt:i4>
      </vt:variant>
      <vt:variant>
        <vt:i4>0</vt:i4>
      </vt:variant>
      <vt:variant>
        <vt:i4>5</vt:i4>
      </vt:variant>
      <vt:variant>
        <vt:lpwstr>mailto:tosek@ppfreal.com</vt:lpwstr>
      </vt:variant>
      <vt:variant>
        <vt:lpwstr/>
      </vt:variant>
      <vt:variant>
        <vt:i4>8192083</vt:i4>
      </vt:variant>
      <vt:variant>
        <vt:i4>0</vt:i4>
      </vt:variant>
      <vt:variant>
        <vt:i4>0</vt:i4>
      </vt:variant>
      <vt:variant>
        <vt:i4>5</vt:i4>
      </vt:variant>
      <vt:variant>
        <vt:lpwstr>mailto:podatelna@crr.cz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 parking pred budovou</dc:title>
  <dc:subject/>
  <dc:creator>Hana Terry</dc:creator>
  <cp:keywords/>
  <dc:description/>
  <cp:lastModifiedBy>Bohuslavová Denisa</cp:lastModifiedBy>
  <cp:revision>3</cp:revision>
  <cp:lastPrinted>2026-03-30T08:37:00Z</cp:lastPrinted>
  <dcterms:created xsi:type="dcterms:W3CDTF">2026-03-31T11:51:00Z</dcterms:created>
  <dcterms:modified xsi:type="dcterms:W3CDTF">2026-03-31T12:03:00Z</dcterms:modified>
  <cp:category>Tenants stavajici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-1603066554</vt:i4>
  </property>
  <property fmtid="{D5CDD505-2E9C-101B-9397-08002B2CF9AE}" pid="4" name="_EmailSubject">
    <vt:lpwstr>CRR - pylon</vt:lpwstr>
  </property>
  <property fmtid="{D5CDD505-2E9C-101B-9397-08002B2CF9AE}" pid="5" name="_AuthorEmail">
    <vt:lpwstr>vavrap@ppfreal.com</vt:lpwstr>
  </property>
  <property fmtid="{D5CDD505-2E9C-101B-9397-08002B2CF9AE}" pid="6" name="_AuthorEmailDisplayName">
    <vt:lpwstr>Vávra Přemysl</vt:lpwstr>
  </property>
  <property fmtid="{D5CDD505-2E9C-101B-9397-08002B2CF9AE}" pid="7" name="MSIP_Label_63341d97-14c9-4aa0-be13-7a4e611063e7_Enabled">
    <vt:lpwstr>true</vt:lpwstr>
  </property>
  <property fmtid="{D5CDD505-2E9C-101B-9397-08002B2CF9AE}" pid="8" name="MSIP_Label_63341d97-14c9-4aa0-be13-7a4e611063e7_SetDate">
    <vt:lpwstr>2026-03-17T08:33:44Z</vt:lpwstr>
  </property>
  <property fmtid="{D5CDD505-2E9C-101B-9397-08002B2CF9AE}" pid="9" name="MSIP_Label_63341d97-14c9-4aa0-be13-7a4e611063e7_Method">
    <vt:lpwstr>Privileged</vt:lpwstr>
  </property>
  <property fmtid="{D5CDD505-2E9C-101B-9397-08002B2CF9AE}" pid="10" name="MSIP_Label_63341d97-14c9-4aa0-be13-7a4e611063e7_Name">
    <vt:lpwstr>general-not-protected</vt:lpwstr>
  </property>
  <property fmtid="{D5CDD505-2E9C-101B-9397-08002B2CF9AE}" pid="11" name="MSIP_Label_63341d97-14c9-4aa0-be13-7a4e611063e7_SiteId">
    <vt:lpwstr>5ae9dff0-8701-47f6-a00b-343f3cd6bc20</vt:lpwstr>
  </property>
  <property fmtid="{D5CDD505-2E9C-101B-9397-08002B2CF9AE}" pid="12" name="MSIP_Label_63341d97-14c9-4aa0-be13-7a4e611063e7_ActionId">
    <vt:lpwstr>07dc6d53-2ef8-4e8a-b0e1-fd17f21c47f0</vt:lpwstr>
  </property>
  <property fmtid="{D5CDD505-2E9C-101B-9397-08002B2CF9AE}" pid="13" name="MSIP_Label_63341d97-14c9-4aa0-be13-7a4e611063e7_ContentBits">
    <vt:lpwstr>0</vt:lpwstr>
  </property>
  <property fmtid="{D5CDD505-2E9C-101B-9397-08002B2CF9AE}" pid="14" name="MSIP_Label_63341d97-14c9-4aa0-be13-7a4e611063e7_Tag">
    <vt:lpwstr>10, 0, 1, 1</vt:lpwstr>
  </property>
  <property fmtid="{D5CDD505-2E9C-101B-9397-08002B2CF9AE}" pid="15" name="_PreviousAdHocReviewCycleID">
    <vt:i4>-1342096668</vt:i4>
  </property>
  <property fmtid="{D5CDD505-2E9C-101B-9397-08002B2CF9AE}" pid="16" name="_ReviewingToolsShownOnce">
    <vt:lpwstr/>
  </property>
</Properties>
</file>