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33F0" w14:textId="78D8A1E6" w:rsidR="001B6881" w:rsidRPr="001F12E5" w:rsidRDefault="001F12E5" w:rsidP="001B6881">
      <w:pPr>
        <w:jc w:val="both"/>
        <w:rPr>
          <w:rFonts w:ascii="Arial" w:hAnsi="Arial" w:cs="Arial"/>
          <w:b/>
          <w:sz w:val="24"/>
          <w:szCs w:val="24"/>
        </w:rPr>
      </w:pPr>
      <w:r w:rsidRPr="001F12E5">
        <w:rPr>
          <w:rFonts w:ascii="Arial" w:hAnsi="Arial" w:cs="Arial"/>
          <w:b/>
          <w:sz w:val="24"/>
          <w:szCs w:val="24"/>
        </w:rPr>
        <w:t>CompuNet s. r. o.</w:t>
      </w:r>
    </w:p>
    <w:p w14:paraId="7E622206" w14:textId="1C28B689" w:rsidR="00EA7DC2" w:rsidRPr="001F12E5" w:rsidRDefault="00EA7DC2" w:rsidP="00EA7DC2">
      <w:pPr>
        <w:jc w:val="both"/>
        <w:rPr>
          <w:rFonts w:ascii="Arial" w:hAnsi="Arial" w:cs="Arial"/>
          <w:bCs/>
          <w:sz w:val="24"/>
          <w:szCs w:val="24"/>
        </w:rPr>
      </w:pPr>
      <w:r w:rsidRPr="001F12E5">
        <w:rPr>
          <w:rFonts w:ascii="Arial" w:hAnsi="Arial" w:cs="Arial"/>
          <w:bCs/>
          <w:sz w:val="24"/>
          <w:szCs w:val="24"/>
        </w:rPr>
        <w:t xml:space="preserve">zapsaná v obchodním rejstříku </w:t>
      </w:r>
      <w:r w:rsidR="001F12E5" w:rsidRPr="001F12E5">
        <w:rPr>
          <w:rFonts w:ascii="Arial" w:hAnsi="Arial" w:cs="Arial"/>
          <w:bCs/>
          <w:sz w:val="24"/>
          <w:szCs w:val="24"/>
        </w:rPr>
        <w:t>vedeném u Městského soudu v Praze, oddíl C, vložka 118594</w:t>
      </w:r>
      <w:r w:rsidRPr="001F12E5">
        <w:rPr>
          <w:rFonts w:ascii="Arial" w:hAnsi="Arial" w:cs="Arial"/>
          <w:bCs/>
          <w:sz w:val="24"/>
          <w:szCs w:val="24"/>
        </w:rPr>
        <w:t xml:space="preserve"> </w:t>
      </w:r>
    </w:p>
    <w:p w14:paraId="7DA35926" w14:textId="3DCC4265" w:rsidR="001B6881" w:rsidRPr="001F12E5" w:rsidRDefault="001B6881" w:rsidP="001B6881">
      <w:pPr>
        <w:jc w:val="both"/>
        <w:rPr>
          <w:rFonts w:ascii="Arial" w:hAnsi="Arial" w:cs="Arial"/>
          <w:bCs/>
          <w:sz w:val="24"/>
          <w:szCs w:val="24"/>
        </w:rPr>
      </w:pPr>
      <w:r w:rsidRPr="001F12E5">
        <w:rPr>
          <w:rFonts w:ascii="Arial" w:hAnsi="Arial" w:cs="Arial"/>
          <w:bCs/>
          <w:sz w:val="24"/>
          <w:szCs w:val="24"/>
        </w:rPr>
        <w:t xml:space="preserve">se sídlem </w:t>
      </w:r>
      <w:r w:rsidR="001F12E5" w:rsidRPr="001F12E5">
        <w:rPr>
          <w:rFonts w:ascii="Arial" w:hAnsi="Arial" w:cs="Arial"/>
          <w:bCs/>
          <w:sz w:val="24"/>
          <w:szCs w:val="24"/>
        </w:rPr>
        <w:t>Zubatého 295/5, 150 00 Praha 5</w:t>
      </w:r>
      <w:r w:rsidRPr="001F12E5">
        <w:rPr>
          <w:rFonts w:ascii="Arial" w:hAnsi="Arial" w:cs="Arial"/>
          <w:bCs/>
          <w:sz w:val="24"/>
          <w:szCs w:val="24"/>
        </w:rPr>
        <w:t xml:space="preserve"> </w:t>
      </w:r>
    </w:p>
    <w:p w14:paraId="7E9FF445" w14:textId="301B2B22" w:rsidR="001B6881" w:rsidRPr="001F12E5" w:rsidRDefault="001B6881" w:rsidP="001B6881">
      <w:pPr>
        <w:jc w:val="both"/>
        <w:rPr>
          <w:rFonts w:ascii="Arial" w:hAnsi="Arial" w:cs="Arial"/>
          <w:bCs/>
          <w:sz w:val="24"/>
          <w:szCs w:val="24"/>
        </w:rPr>
      </w:pPr>
      <w:r w:rsidRPr="001F12E5">
        <w:rPr>
          <w:rFonts w:ascii="Arial" w:hAnsi="Arial" w:cs="Arial"/>
          <w:bCs/>
          <w:sz w:val="24"/>
          <w:szCs w:val="24"/>
        </w:rPr>
        <w:t xml:space="preserve">IČ: </w:t>
      </w:r>
      <w:r w:rsidR="001F12E5" w:rsidRPr="001F12E5">
        <w:rPr>
          <w:rFonts w:ascii="Arial" w:hAnsi="Arial" w:cs="Arial"/>
          <w:bCs/>
          <w:sz w:val="24"/>
          <w:szCs w:val="24"/>
        </w:rPr>
        <w:t>27608514</w:t>
      </w:r>
      <w:r w:rsidRPr="001F12E5">
        <w:rPr>
          <w:rFonts w:ascii="Arial" w:hAnsi="Arial" w:cs="Arial"/>
          <w:bCs/>
          <w:sz w:val="24"/>
          <w:szCs w:val="24"/>
        </w:rPr>
        <w:t>, DIČ:</w:t>
      </w:r>
      <w:r w:rsidR="001F12E5" w:rsidRPr="001F12E5">
        <w:rPr>
          <w:rFonts w:ascii="Arial" w:hAnsi="Arial" w:cs="Arial"/>
          <w:bCs/>
          <w:sz w:val="24"/>
          <w:szCs w:val="24"/>
        </w:rPr>
        <w:t>CZ27608514</w:t>
      </w:r>
      <w:r w:rsidRPr="001F12E5">
        <w:rPr>
          <w:rFonts w:ascii="Arial" w:hAnsi="Arial" w:cs="Arial"/>
          <w:bCs/>
          <w:sz w:val="24"/>
          <w:szCs w:val="24"/>
        </w:rPr>
        <w:t xml:space="preserve"> </w:t>
      </w:r>
    </w:p>
    <w:p w14:paraId="667ADCD0" w14:textId="5700D934" w:rsidR="00EA7DC2" w:rsidRPr="001F12E5" w:rsidRDefault="00EA7DC2" w:rsidP="00EA7DC2">
      <w:pPr>
        <w:jc w:val="both"/>
        <w:rPr>
          <w:rFonts w:ascii="Arial" w:hAnsi="Arial" w:cs="Arial"/>
          <w:bCs/>
          <w:sz w:val="24"/>
          <w:szCs w:val="24"/>
        </w:rPr>
      </w:pPr>
      <w:r w:rsidRPr="001F12E5">
        <w:rPr>
          <w:rFonts w:ascii="Arial" w:hAnsi="Arial" w:cs="Arial"/>
          <w:bCs/>
          <w:sz w:val="24"/>
          <w:szCs w:val="24"/>
        </w:rPr>
        <w:t xml:space="preserve">Zastoupena: </w:t>
      </w:r>
      <w:r w:rsidR="00414CB5">
        <w:rPr>
          <w:rFonts w:ascii="Arial" w:hAnsi="Arial" w:cs="Arial"/>
          <w:bCs/>
          <w:sz w:val="24"/>
          <w:szCs w:val="24"/>
        </w:rPr>
        <w:t>Filipem Weberem</w:t>
      </w:r>
      <w:r w:rsidR="001F12E5" w:rsidRPr="001F12E5">
        <w:rPr>
          <w:rFonts w:ascii="Arial" w:hAnsi="Arial" w:cs="Arial"/>
          <w:bCs/>
          <w:sz w:val="24"/>
          <w:szCs w:val="24"/>
        </w:rPr>
        <w:t>, jednatelem</w:t>
      </w:r>
      <w:r w:rsidRPr="001F12E5">
        <w:rPr>
          <w:rFonts w:ascii="Arial" w:hAnsi="Arial" w:cs="Arial"/>
          <w:bCs/>
          <w:sz w:val="24"/>
          <w:szCs w:val="24"/>
        </w:rPr>
        <w:t xml:space="preserve"> </w:t>
      </w:r>
    </w:p>
    <w:p w14:paraId="596B09CE" w14:textId="33484A2B" w:rsidR="001B6881" w:rsidRPr="001F12E5" w:rsidRDefault="001B6881" w:rsidP="001B6881">
      <w:pPr>
        <w:jc w:val="both"/>
        <w:rPr>
          <w:rFonts w:ascii="Arial" w:hAnsi="Arial" w:cs="Arial"/>
          <w:bCs/>
          <w:sz w:val="24"/>
          <w:szCs w:val="24"/>
        </w:rPr>
      </w:pPr>
      <w:r w:rsidRPr="001F12E5">
        <w:rPr>
          <w:rFonts w:ascii="Arial" w:hAnsi="Arial" w:cs="Arial"/>
          <w:bCs/>
          <w:sz w:val="24"/>
          <w:szCs w:val="24"/>
        </w:rPr>
        <w:t xml:space="preserve">Bankovní účet: </w:t>
      </w:r>
      <w:r w:rsidR="00354469">
        <w:rPr>
          <w:rFonts w:ascii="Arial" w:hAnsi="Arial" w:cs="Arial"/>
          <w:bCs/>
          <w:sz w:val="24"/>
          <w:szCs w:val="24"/>
        </w:rPr>
        <w:t>xxxxxxxxxxxxxxxxxxxxxxxx</w:t>
      </w:r>
    </w:p>
    <w:p w14:paraId="03EBA5FE" w14:textId="3813BAD2" w:rsidR="00135BB1" w:rsidRPr="001B6881" w:rsidRDefault="001B6881" w:rsidP="001B6881">
      <w:pPr>
        <w:rPr>
          <w:rFonts w:ascii="Arial" w:hAnsi="Arial" w:cs="Arial"/>
          <w:bCs/>
          <w:sz w:val="24"/>
          <w:szCs w:val="24"/>
        </w:rPr>
      </w:pPr>
      <w:r w:rsidRPr="001B6881">
        <w:rPr>
          <w:rFonts w:ascii="Arial" w:hAnsi="Arial" w:cs="Arial"/>
          <w:bCs/>
          <w:sz w:val="24"/>
          <w:szCs w:val="24"/>
        </w:rPr>
        <w:t xml:space="preserve">(dále jen „prodávající“) </w:t>
      </w:r>
      <w:r w:rsidRPr="001B6881">
        <w:rPr>
          <w:rFonts w:ascii="Arial" w:hAnsi="Arial" w:cs="Arial"/>
          <w:bCs/>
          <w:sz w:val="24"/>
          <w:szCs w:val="24"/>
        </w:rPr>
        <w:cr/>
      </w:r>
    </w:p>
    <w:p w14:paraId="03EBA5FF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5F534518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587D3E">
        <w:rPr>
          <w:rFonts w:ascii="Arial" w:hAnsi="Arial" w:cs="Arial"/>
          <w:sz w:val="24"/>
          <w:szCs w:val="24"/>
        </w:rPr>
        <w:t xml:space="preserve">Václavské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11</w:t>
      </w:r>
      <w:r w:rsidR="00EA7DC2">
        <w:rPr>
          <w:rFonts w:ascii="Arial" w:hAnsi="Arial" w:cs="Arial"/>
          <w:sz w:val="24"/>
          <w:szCs w:val="24"/>
        </w:rPr>
        <w:t>0 00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IČ: 00023272, DIČ: CZ00023272</w:t>
      </w:r>
    </w:p>
    <w:p w14:paraId="03EBA604" w14:textId="4E55B32A" w:rsidR="007825B1" w:rsidRPr="00587D3E" w:rsidRDefault="007E5BDA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031AA6" w:rsidRPr="00587D3E">
        <w:rPr>
          <w:rFonts w:ascii="Arial" w:hAnsi="Arial" w:cs="Arial"/>
          <w:sz w:val="24"/>
          <w:szCs w:val="24"/>
        </w:rPr>
        <w:t>astoupen</w:t>
      </w:r>
      <w:r w:rsidR="00BA07EA" w:rsidRPr="00587D3E">
        <w:rPr>
          <w:rFonts w:ascii="Arial" w:hAnsi="Arial" w:cs="Arial"/>
          <w:sz w:val="24"/>
          <w:szCs w:val="24"/>
        </w:rPr>
        <w:t>é: Ing. Martinem Součkem, Ph</w:t>
      </w:r>
      <w:r w:rsidR="00B40E70">
        <w:rPr>
          <w:rFonts w:ascii="Arial" w:hAnsi="Arial" w:cs="Arial"/>
          <w:sz w:val="24"/>
          <w:szCs w:val="24"/>
        </w:rPr>
        <w:t>.</w:t>
      </w:r>
      <w:r w:rsidR="00BA07EA" w:rsidRPr="00587D3E">
        <w:rPr>
          <w:rFonts w:ascii="Arial" w:hAnsi="Arial" w:cs="Arial"/>
          <w:sz w:val="24"/>
          <w:szCs w:val="24"/>
        </w:rPr>
        <w:t>D.</w:t>
      </w:r>
      <w:r w:rsidR="000B4ACC" w:rsidRPr="00587D3E">
        <w:rPr>
          <w:rFonts w:ascii="Arial" w:hAnsi="Arial" w:cs="Arial"/>
          <w:sz w:val="24"/>
          <w:szCs w:val="24"/>
        </w:rPr>
        <w:t xml:space="preserve">, ředitel Odboru </w:t>
      </w:r>
      <w:r w:rsidR="00B7420F" w:rsidRPr="00587D3E">
        <w:rPr>
          <w:rFonts w:ascii="Arial" w:hAnsi="Arial" w:cs="Arial"/>
          <w:sz w:val="24"/>
          <w:szCs w:val="24"/>
        </w:rPr>
        <w:t>digitalizace a informačních systémů</w:t>
      </w:r>
      <w:r w:rsidR="0002554E" w:rsidRPr="00587D3E">
        <w:rPr>
          <w:rFonts w:ascii="Arial" w:hAnsi="Arial" w:cs="Arial"/>
          <w:sz w:val="24"/>
          <w:szCs w:val="24"/>
        </w:rPr>
        <w:t xml:space="preserve"> 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Pr="00587D3E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3F0A5538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587D3E">
        <w:rPr>
          <w:rFonts w:ascii="Arial" w:hAnsi="Arial" w:cs="Arial"/>
          <w:sz w:val="24"/>
          <w:szCs w:val="24"/>
        </w:rPr>
        <w:t xml:space="preserve">koupě a </w:t>
      </w:r>
      <w:r w:rsidRPr="00587D3E">
        <w:rPr>
          <w:rFonts w:ascii="Arial" w:hAnsi="Arial" w:cs="Arial"/>
          <w:sz w:val="24"/>
          <w:szCs w:val="24"/>
        </w:rPr>
        <w:t xml:space="preserve">prodej </w:t>
      </w:r>
      <w:r w:rsidR="008A289C" w:rsidRPr="00587D3E">
        <w:rPr>
          <w:rFonts w:ascii="Arial" w:hAnsi="Arial" w:cs="Arial"/>
          <w:sz w:val="24"/>
          <w:szCs w:val="24"/>
        </w:rPr>
        <w:t xml:space="preserve">zboží </w:t>
      </w:r>
      <w:r w:rsidR="00B83F93" w:rsidRPr="00587D3E">
        <w:rPr>
          <w:rFonts w:ascii="Arial" w:hAnsi="Arial" w:cs="Arial"/>
          <w:sz w:val="24"/>
          <w:szCs w:val="24"/>
        </w:rPr>
        <w:t xml:space="preserve">dle </w:t>
      </w:r>
      <w:r w:rsidR="00FD12F9" w:rsidRPr="00587D3E">
        <w:rPr>
          <w:rFonts w:ascii="Arial" w:hAnsi="Arial" w:cs="Arial"/>
          <w:sz w:val="24"/>
          <w:szCs w:val="24"/>
        </w:rPr>
        <w:t>VZ</w:t>
      </w:r>
      <w:r w:rsidR="00713624">
        <w:rPr>
          <w:rFonts w:ascii="Arial" w:hAnsi="Arial" w:cs="Arial"/>
          <w:sz w:val="24"/>
          <w:szCs w:val="24"/>
        </w:rPr>
        <w:t xml:space="preserve"> </w:t>
      </w:r>
      <w:r w:rsidR="00713624" w:rsidRPr="00713624">
        <w:rPr>
          <w:rFonts w:ascii="Arial" w:hAnsi="Arial" w:cs="Arial"/>
          <w:sz w:val="24"/>
          <w:szCs w:val="24"/>
        </w:rPr>
        <w:t>VZ260068</w:t>
      </w:r>
      <w:r w:rsidR="001B6881">
        <w:rPr>
          <w:rFonts w:ascii="Arial" w:hAnsi="Arial" w:cs="Arial"/>
          <w:sz w:val="24"/>
          <w:szCs w:val="24"/>
        </w:rPr>
        <w:t>, N006/</w:t>
      </w:r>
      <w:r w:rsidR="00713624" w:rsidRPr="00713624">
        <w:rPr>
          <w:rFonts w:ascii="Arial" w:hAnsi="Arial" w:cs="Arial"/>
          <w:sz w:val="24"/>
          <w:szCs w:val="24"/>
        </w:rPr>
        <w:t>26/V00006578</w:t>
      </w:r>
      <w:r w:rsidR="0072322A">
        <w:rPr>
          <w:rFonts w:ascii="Arial" w:hAnsi="Arial" w:cs="Arial"/>
          <w:sz w:val="24"/>
          <w:szCs w:val="24"/>
        </w:rPr>
        <w:t xml:space="preserve"> </w:t>
      </w:r>
      <w:r w:rsidR="00B2055B" w:rsidRPr="00587D3E">
        <w:rPr>
          <w:rFonts w:ascii="Arial" w:hAnsi="Arial" w:cs="Arial"/>
          <w:sz w:val="24"/>
          <w:szCs w:val="24"/>
        </w:rPr>
        <w:t>viz specifikace v Příloze č.1</w:t>
      </w:r>
      <w:r w:rsidR="00410EB7" w:rsidRPr="00587D3E">
        <w:rPr>
          <w:rFonts w:ascii="Arial" w:hAnsi="Arial" w:cs="Arial"/>
          <w:sz w:val="24"/>
          <w:szCs w:val="24"/>
        </w:rPr>
        <w:t xml:space="preserve">, která </w:t>
      </w:r>
      <w:r w:rsidR="002759C2" w:rsidRPr="00587D3E">
        <w:rPr>
          <w:rFonts w:ascii="Arial" w:hAnsi="Arial" w:cs="Arial"/>
          <w:sz w:val="24"/>
          <w:szCs w:val="24"/>
        </w:rPr>
        <w:t>tvoří nedílnou součást této smlouvy</w:t>
      </w:r>
      <w:r w:rsidRPr="00587D3E">
        <w:rPr>
          <w:rFonts w:ascii="Arial" w:hAnsi="Arial" w:cs="Arial"/>
          <w:sz w:val="24"/>
          <w:szCs w:val="24"/>
        </w:rPr>
        <w:t xml:space="preserve"> (dále jen „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>“)</w:t>
      </w:r>
      <w:r w:rsidR="00AA51BA" w:rsidRPr="00587D3E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587D3E">
        <w:rPr>
          <w:rFonts w:ascii="Arial" w:hAnsi="Arial" w:cs="Arial"/>
          <w:sz w:val="24"/>
          <w:szCs w:val="24"/>
        </w:rPr>
        <w:t xml:space="preserve">uvedených </w:t>
      </w:r>
      <w:r w:rsidRPr="00587D3E">
        <w:rPr>
          <w:rFonts w:ascii="Arial" w:hAnsi="Arial" w:cs="Arial"/>
          <w:sz w:val="24"/>
          <w:szCs w:val="24"/>
        </w:rPr>
        <w:t xml:space="preserve">v této smlouvě </w:t>
      </w:r>
      <w:r w:rsidR="00031AA6" w:rsidRPr="00587D3E">
        <w:rPr>
          <w:rFonts w:ascii="Arial" w:hAnsi="Arial" w:cs="Arial"/>
          <w:sz w:val="24"/>
          <w:szCs w:val="24"/>
        </w:rPr>
        <w:t>odevzdat</w:t>
      </w:r>
      <w:r w:rsidRPr="00587D3E">
        <w:rPr>
          <w:rFonts w:ascii="Arial" w:hAnsi="Arial" w:cs="Arial"/>
          <w:sz w:val="24"/>
          <w:szCs w:val="24"/>
        </w:rPr>
        <w:t xml:space="preserve">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587D3E">
        <w:rPr>
          <w:rFonts w:ascii="Arial" w:hAnsi="Arial" w:cs="Arial"/>
          <w:sz w:val="24"/>
          <w:szCs w:val="24"/>
        </w:rPr>
        <w:t xml:space="preserve">k </w:t>
      </w:r>
      <w:r w:rsidR="00031AA6" w:rsidRPr="00587D3E">
        <w:rPr>
          <w:rFonts w:ascii="Arial" w:hAnsi="Arial" w:cs="Arial"/>
          <w:sz w:val="24"/>
          <w:szCs w:val="24"/>
        </w:rPr>
        <w:t>věci</w:t>
      </w:r>
      <w:r w:rsidR="0087702E" w:rsidRPr="00587D3E">
        <w:rPr>
          <w:rFonts w:ascii="Arial" w:hAnsi="Arial" w:cs="Arial"/>
          <w:sz w:val="24"/>
          <w:szCs w:val="24"/>
        </w:rPr>
        <w:t xml:space="preserve"> </w:t>
      </w:r>
      <w:r w:rsidRPr="00587D3E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587D3E">
        <w:rPr>
          <w:rFonts w:ascii="Arial" w:hAnsi="Arial" w:cs="Arial"/>
          <w:sz w:val="24"/>
          <w:szCs w:val="24"/>
        </w:rPr>
        <w:t xml:space="preserve">věc převzít a </w:t>
      </w:r>
      <w:r w:rsidRPr="00587D3E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587D3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73F96991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 </w:t>
      </w:r>
      <w:r w:rsidR="0072322A">
        <w:rPr>
          <w:rFonts w:cs="Arial"/>
          <w:szCs w:val="24"/>
        </w:rPr>
        <w:t>do</w:t>
      </w:r>
      <w:r w:rsidR="001B6881">
        <w:rPr>
          <w:rFonts w:cs="Arial"/>
          <w:szCs w:val="24"/>
        </w:rPr>
        <w:t xml:space="preserve"> </w:t>
      </w:r>
      <w:r w:rsidR="008A0FFE">
        <w:rPr>
          <w:rFonts w:cs="Arial"/>
          <w:szCs w:val="24"/>
        </w:rPr>
        <w:t>30.6.2026</w:t>
      </w:r>
      <w:r w:rsidRPr="00587D3E">
        <w:rPr>
          <w:rFonts w:cs="Arial"/>
          <w:szCs w:val="24"/>
        </w:rPr>
        <w:t xml:space="preserve"> v</w:t>
      </w:r>
      <w:r w:rsidR="0087702E" w:rsidRPr="00587D3E">
        <w:rPr>
          <w:rFonts w:cs="Arial"/>
          <w:szCs w:val="24"/>
        </w:rPr>
        <w:t> sídle kupujícího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kupujícího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03EBA617" w14:textId="77777777" w:rsidR="00135BB1" w:rsidRPr="005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C26272" w14:textId="77777777" w:rsidR="004773F9" w:rsidRDefault="004773F9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452D7DB" w14:textId="77777777" w:rsidR="004773F9" w:rsidRDefault="004773F9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0668A1C" w14:textId="77777777" w:rsidR="004773F9" w:rsidRDefault="004773F9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B8C2C8" w14:textId="77777777" w:rsidR="004773F9" w:rsidRDefault="004773F9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4032CE" w14:textId="77777777" w:rsidR="0069320A" w:rsidRPr="00587D3E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40C40382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 xml:space="preserve">výši </w:t>
      </w:r>
      <w:r w:rsidR="008A0FFE">
        <w:rPr>
          <w:rFonts w:cs="Arial"/>
          <w:szCs w:val="24"/>
        </w:rPr>
        <w:t>1 655 900</w:t>
      </w:r>
      <w:r w:rsidRPr="00587D3E">
        <w:rPr>
          <w:rFonts w:cs="Arial"/>
          <w:szCs w:val="24"/>
        </w:rPr>
        <w:t>,</w:t>
      </w:r>
      <w:r w:rsidR="008A0FFE">
        <w:rPr>
          <w:rFonts w:cs="Arial"/>
          <w:szCs w:val="24"/>
        </w:rPr>
        <w:t>00</w:t>
      </w:r>
      <w:r w:rsidRPr="00587D3E">
        <w:rPr>
          <w:rFonts w:cs="Arial"/>
          <w:szCs w:val="24"/>
        </w:rPr>
        <w:t xml:space="preserve"> Kč </w:t>
      </w:r>
      <w:r w:rsidR="0087702E" w:rsidRPr="00587D3E">
        <w:rPr>
          <w:rFonts w:cs="Arial"/>
          <w:szCs w:val="24"/>
        </w:rPr>
        <w:t xml:space="preserve">+ DPH ve výši </w:t>
      </w:r>
      <w:r w:rsidR="008A0FFE" w:rsidRPr="008A0FFE">
        <w:rPr>
          <w:rFonts w:cs="Arial"/>
          <w:szCs w:val="24"/>
        </w:rPr>
        <w:t>347 739,00</w:t>
      </w:r>
      <w:r w:rsidR="008A0FFE">
        <w:rPr>
          <w:rFonts w:cs="Arial"/>
          <w:szCs w:val="24"/>
        </w:rPr>
        <w:t xml:space="preserve"> </w:t>
      </w:r>
      <w:r w:rsidR="0087702E" w:rsidRPr="00587D3E">
        <w:rPr>
          <w:rFonts w:cs="Arial"/>
          <w:szCs w:val="24"/>
        </w:rPr>
        <w:t xml:space="preserve">Kč, celkem </w:t>
      </w:r>
      <w:r w:rsidR="007B2994" w:rsidRPr="00587D3E">
        <w:rPr>
          <w:rFonts w:cs="Arial"/>
          <w:szCs w:val="24"/>
        </w:rPr>
        <w:t>vč. DPH</w:t>
      </w:r>
      <w:r w:rsidR="001B6881">
        <w:rPr>
          <w:rFonts w:cs="Arial"/>
          <w:szCs w:val="24"/>
        </w:rPr>
        <w:t xml:space="preserve"> </w:t>
      </w:r>
      <w:r w:rsidR="008A0FFE" w:rsidRPr="008A0FFE">
        <w:rPr>
          <w:rFonts w:cs="Arial"/>
          <w:szCs w:val="24"/>
        </w:rPr>
        <w:t>2 003 639,00</w:t>
      </w:r>
      <w:r w:rsidR="008A0FFE">
        <w:rPr>
          <w:rFonts w:cs="Arial"/>
          <w:szCs w:val="24"/>
        </w:rPr>
        <w:t xml:space="preserve"> </w:t>
      </w:r>
      <w:r w:rsidR="0087702E" w:rsidRPr="00587D3E">
        <w:rPr>
          <w:rFonts w:cs="Arial"/>
          <w:szCs w:val="24"/>
        </w:rPr>
        <w:t>Kč</w:t>
      </w:r>
      <w:r w:rsidRPr="00587D3E">
        <w:rPr>
          <w:rFonts w:cs="Arial"/>
          <w:szCs w:val="24"/>
        </w:rPr>
        <w:t>.</w:t>
      </w:r>
    </w:p>
    <w:p w14:paraId="03EBA61D" w14:textId="50E073BB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</w:t>
      </w:r>
      <w:r w:rsidR="0084392A">
        <w:rPr>
          <w:rFonts w:ascii="Arial" w:hAnsi="Arial" w:cs="Arial"/>
          <w:szCs w:val="24"/>
        </w:rPr>
        <w:t>30</w:t>
      </w:r>
      <w:r w:rsidRPr="00587D3E">
        <w:rPr>
          <w:rFonts w:ascii="Arial" w:hAnsi="Arial" w:cs="Arial"/>
          <w:szCs w:val="24"/>
        </w:rPr>
        <w:t xml:space="preserve">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277D037D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 xml:space="preserve">. </w:t>
      </w:r>
      <w:r w:rsidRPr="001F12E5">
        <w:rPr>
          <w:rFonts w:ascii="Arial" w:hAnsi="Arial" w:cs="Arial"/>
        </w:rPr>
        <w:t xml:space="preserve">Záruční doba činí </w:t>
      </w:r>
      <w:r w:rsidR="001F12E5" w:rsidRPr="001F12E5">
        <w:rPr>
          <w:rFonts w:ascii="Arial" w:hAnsi="Arial" w:cs="Arial"/>
        </w:rPr>
        <w:t>60</w:t>
      </w:r>
      <w:r w:rsidRPr="001F12E5">
        <w:rPr>
          <w:rFonts w:ascii="Arial" w:hAnsi="Arial" w:cs="Arial"/>
        </w:rPr>
        <w:t xml:space="preserve"> měsíců.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ust.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5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3AC4A6ED" w14:textId="77777777" w:rsidR="001B6881" w:rsidRDefault="001B688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r w:rsidR="006C302C" w:rsidRPr="00587D3E">
        <w:rPr>
          <w:rFonts w:ascii="Arial" w:hAnsi="Arial" w:cs="Arial"/>
          <w:sz w:val="24"/>
          <w:szCs w:val="24"/>
        </w:rPr>
        <w:t>0,1%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lastRenderedPageBreak/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7A3BB903" w:rsidR="008E0B43" w:rsidRPr="00AE50A2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6035A66B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smluvních stran.</w:t>
      </w:r>
    </w:p>
    <w:p w14:paraId="03EBA63F" w14:textId="2216E554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 </w:t>
      </w:r>
      <w:r w:rsidR="003D007C">
        <w:rPr>
          <w:rFonts w:ascii="Arial" w:hAnsi="Arial" w:cs="Arial"/>
          <w:sz w:val="24"/>
          <w:szCs w:val="24"/>
        </w:rPr>
        <w:t>kupující</w:t>
      </w:r>
      <w:r w:rsidR="007B0EBB" w:rsidRPr="00587D3E">
        <w:rPr>
          <w:rFonts w:ascii="Arial" w:hAnsi="Arial" w:cs="Arial"/>
          <w:sz w:val="24"/>
          <w:szCs w:val="24"/>
        </w:rPr>
        <w:t xml:space="preserve"> obdrží 2 pare a </w:t>
      </w:r>
      <w:r w:rsidR="003D007C">
        <w:rPr>
          <w:rFonts w:ascii="Arial" w:hAnsi="Arial" w:cs="Arial"/>
          <w:sz w:val="24"/>
          <w:szCs w:val="24"/>
        </w:rPr>
        <w:t>pr</w:t>
      </w:r>
      <w:r w:rsidR="007B0EBB" w:rsidRPr="00587D3E">
        <w:rPr>
          <w:rFonts w:ascii="Arial" w:hAnsi="Arial" w:cs="Arial"/>
          <w:sz w:val="24"/>
          <w:szCs w:val="24"/>
        </w:rPr>
        <w:t>od</w:t>
      </w:r>
      <w:r w:rsidR="003D007C">
        <w:rPr>
          <w:rFonts w:ascii="Arial" w:hAnsi="Arial" w:cs="Arial"/>
          <w:sz w:val="24"/>
          <w:szCs w:val="24"/>
        </w:rPr>
        <w:t>á</w:t>
      </w:r>
      <w:r w:rsidR="007B0EBB" w:rsidRPr="00587D3E">
        <w:rPr>
          <w:rFonts w:ascii="Arial" w:hAnsi="Arial" w:cs="Arial"/>
          <w:sz w:val="24"/>
          <w:szCs w:val="24"/>
        </w:rPr>
        <w:t>va</w:t>
      </w:r>
      <w:r w:rsidR="003D007C">
        <w:rPr>
          <w:rFonts w:ascii="Arial" w:hAnsi="Arial" w:cs="Arial"/>
          <w:sz w:val="24"/>
          <w:szCs w:val="24"/>
        </w:rPr>
        <w:t>jící</w:t>
      </w:r>
      <w:r w:rsidR="007B0EBB" w:rsidRPr="00587D3E">
        <w:rPr>
          <w:rFonts w:ascii="Arial" w:hAnsi="Arial" w:cs="Arial"/>
          <w:sz w:val="24"/>
          <w:szCs w:val="24"/>
        </w:rPr>
        <w:t xml:space="preserve">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9853C74" w14:textId="77777777" w:rsidR="00AC6082" w:rsidRPr="00816BD4" w:rsidRDefault="00AC6082" w:rsidP="00EB49D7">
      <w:pPr>
        <w:tabs>
          <w:tab w:val="left" w:pos="0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  <w:bookmarkStart w:id="0" w:name="_Hlk190761167"/>
      <w:bookmarkStart w:id="1" w:name="_Hlk209449331"/>
    </w:p>
    <w:p w14:paraId="576CDE2B" w14:textId="77777777" w:rsidR="00AC6082" w:rsidRPr="00816BD4" w:rsidRDefault="00AC6082" w:rsidP="00EB49D7">
      <w:pPr>
        <w:tabs>
          <w:tab w:val="left" w:pos="0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6940206" w14:textId="77777777" w:rsidR="00AC6082" w:rsidRPr="00816BD4" w:rsidRDefault="00AC6082" w:rsidP="00EB49D7">
      <w:pPr>
        <w:tabs>
          <w:tab w:val="left" w:pos="0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  <w:bookmarkStart w:id="2" w:name="_Hlk203119028"/>
      <w:r w:rsidRPr="00816BD4">
        <w:rPr>
          <w:rFonts w:ascii="Arial" w:hAnsi="Arial" w:cs="Arial"/>
          <w:bCs/>
          <w:color w:val="000000"/>
          <w:sz w:val="24"/>
          <w:szCs w:val="24"/>
        </w:rPr>
        <w:t>V Praze dne _______________</w:t>
      </w:r>
      <w:r w:rsidRPr="00816BD4">
        <w:rPr>
          <w:rFonts w:ascii="Arial" w:hAnsi="Arial" w:cs="Arial"/>
          <w:bCs/>
          <w:color w:val="000000"/>
          <w:sz w:val="24"/>
          <w:szCs w:val="24"/>
        </w:rPr>
        <w:tab/>
      </w:r>
      <w:r w:rsidRPr="00816BD4">
        <w:rPr>
          <w:rFonts w:ascii="Arial" w:hAnsi="Arial" w:cs="Arial"/>
          <w:bCs/>
          <w:color w:val="000000"/>
          <w:sz w:val="24"/>
          <w:szCs w:val="24"/>
        </w:rPr>
        <w:tab/>
      </w:r>
      <w:r w:rsidRPr="00816BD4">
        <w:rPr>
          <w:rFonts w:ascii="Arial" w:hAnsi="Arial" w:cs="Arial"/>
          <w:bCs/>
          <w:color w:val="000000"/>
          <w:sz w:val="24"/>
          <w:szCs w:val="24"/>
        </w:rPr>
        <w:tab/>
      </w:r>
      <w:r w:rsidRPr="00816BD4">
        <w:rPr>
          <w:rFonts w:ascii="Arial" w:hAnsi="Arial" w:cs="Arial"/>
          <w:bCs/>
          <w:color w:val="000000"/>
          <w:sz w:val="24"/>
          <w:szCs w:val="24"/>
        </w:rPr>
        <w:tab/>
        <w:t>V Praze dne _______________</w:t>
      </w:r>
    </w:p>
    <w:p w14:paraId="771E50F4" w14:textId="77777777" w:rsidR="00AC6082" w:rsidRPr="00816BD4" w:rsidRDefault="00AC6082" w:rsidP="00EB49D7">
      <w:pPr>
        <w:tabs>
          <w:tab w:val="left" w:pos="0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  <w:bookmarkStart w:id="3" w:name="_Hlk218517021"/>
    </w:p>
    <w:p w14:paraId="6114AA5B" w14:textId="77777777" w:rsidR="00AC6082" w:rsidRPr="00816BD4" w:rsidRDefault="00AC6082" w:rsidP="00EB49D7">
      <w:pPr>
        <w:tabs>
          <w:tab w:val="left" w:pos="0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0D85FDD" w14:textId="308D8BD5" w:rsidR="00AC6082" w:rsidRPr="00816BD4" w:rsidRDefault="005140FB" w:rsidP="00EB49D7">
      <w:pPr>
        <w:tabs>
          <w:tab w:val="left" w:pos="0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Xxxxxxxxxxxxxxxxx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  <w:t>xxxxxxxxxxxxxxxxxxx</w:t>
      </w:r>
    </w:p>
    <w:p w14:paraId="37E29653" w14:textId="77777777" w:rsidR="00AC6082" w:rsidRPr="00816BD4" w:rsidRDefault="00AC6082" w:rsidP="00EB49D7">
      <w:pPr>
        <w:tabs>
          <w:tab w:val="left" w:pos="0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  <w:bookmarkStart w:id="4" w:name="_Hlk190761229"/>
      <w:bookmarkEnd w:id="0"/>
      <w:r w:rsidRPr="00816BD4">
        <w:rPr>
          <w:rFonts w:ascii="Arial" w:hAnsi="Arial" w:cs="Arial"/>
          <w:bCs/>
          <w:color w:val="000000"/>
          <w:sz w:val="24"/>
          <w:szCs w:val="24"/>
        </w:rPr>
        <w:t>_________________________</w:t>
      </w:r>
      <w:r w:rsidRPr="00816BD4">
        <w:rPr>
          <w:rFonts w:ascii="Arial" w:hAnsi="Arial" w:cs="Arial"/>
          <w:bCs/>
          <w:color w:val="000000"/>
          <w:sz w:val="24"/>
          <w:szCs w:val="24"/>
        </w:rPr>
        <w:tab/>
      </w:r>
      <w:r w:rsidRPr="00816BD4">
        <w:rPr>
          <w:rFonts w:ascii="Arial" w:hAnsi="Arial" w:cs="Arial"/>
          <w:bCs/>
          <w:color w:val="000000"/>
          <w:sz w:val="24"/>
          <w:szCs w:val="24"/>
        </w:rPr>
        <w:tab/>
      </w:r>
      <w:r w:rsidRPr="00816BD4">
        <w:rPr>
          <w:rFonts w:ascii="Arial" w:hAnsi="Arial" w:cs="Arial"/>
          <w:bCs/>
          <w:color w:val="000000"/>
          <w:sz w:val="24"/>
          <w:szCs w:val="24"/>
        </w:rPr>
        <w:tab/>
      </w:r>
      <w:r w:rsidRPr="00816BD4">
        <w:rPr>
          <w:rFonts w:ascii="Arial" w:hAnsi="Arial" w:cs="Arial"/>
          <w:bCs/>
          <w:color w:val="000000"/>
          <w:sz w:val="24"/>
          <w:szCs w:val="24"/>
        </w:rPr>
        <w:tab/>
        <w:t>_________________________</w:t>
      </w:r>
    </w:p>
    <w:bookmarkEnd w:id="1"/>
    <w:bookmarkEnd w:id="2"/>
    <w:bookmarkEnd w:id="3"/>
    <w:bookmarkEnd w:id="4"/>
    <w:p w14:paraId="03EBA641" w14:textId="6B0452C7" w:rsidR="00135BB1" w:rsidRPr="00816BD4" w:rsidRDefault="009D118C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Filip Weber</w:t>
      </w:r>
      <w:r w:rsidR="001F12E5">
        <w:rPr>
          <w:rFonts w:ascii="Arial" w:hAnsi="Arial" w:cs="Arial"/>
          <w:sz w:val="24"/>
          <w:szCs w:val="24"/>
        </w:rPr>
        <w:t xml:space="preserve">, </w:t>
      </w:r>
      <w:r w:rsidR="00EB49D7" w:rsidRPr="00816BD4">
        <w:rPr>
          <w:rFonts w:ascii="Arial" w:hAnsi="Arial" w:cs="Arial"/>
          <w:sz w:val="24"/>
          <w:szCs w:val="24"/>
        </w:rPr>
        <w:tab/>
      </w:r>
      <w:r w:rsidR="00EB49D7" w:rsidRPr="00816BD4">
        <w:rPr>
          <w:rFonts w:ascii="Arial" w:hAnsi="Arial" w:cs="Arial"/>
          <w:sz w:val="24"/>
          <w:szCs w:val="24"/>
        </w:rPr>
        <w:tab/>
      </w:r>
      <w:r w:rsidR="00EB49D7" w:rsidRPr="00816BD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B49D7" w:rsidRPr="00816BD4">
        <w:rPr>
          <w:rFonts w:ascii="Arial" w:hAnsi="Arial" w:cs="Arial"/>
          <w:sz w:val="24"/>
          <w:szCs w:val="24"/>
        </w:rPr>
        <w:tab/>
      </w:r>
      <w:r w:rsidR="00816BD4">
        <w:rPr>
          <w:rFonts w:ascii="Arial" w:hAnsi="Arial" w:cs="Arial"/>
          <w:sz w:val="24"/>
          <w:szCs w:val="24"/>
        </w:rPr>
        <w:tab/>
      </w:r>
      <w:r w:rsidR="00EB49D7" w:rsidRPr="00816BD4">
        <w:rPr>
          <w:rFonts w:ascii="Arial" w:hAnsi="Arial" w:cs="Arial"/>
          <w:sz w:val="24"/>
          <w:szCs w:val="24"/>
        </w:rPr>
        <w:tab/>
        <w:t>Ing. Martin Souček, Ph.D</w:t>
      </w:r>
      <w:r w:rsidR="00816BD4" w:rsidRPr="00816BD4">
        <w:rPr>
          <w:rFonts w:ascii="Arial" w:hAnsi="Arial" w:cs="Arial"/>
          <w:sz w:val="24"/>
          <w:szCs w:val="24"/>
        </w:rPr>
        <w:t>.</w:t>
      </w:r>
    </w:p>
    <w:p w14:paraId="15510765" w14:textId="0CB93644" w:rsidR="00816BD4" w:rsidRPr="00816BD4" w:rsidRDefault="001F12E5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jednatel</w:t>
      </w:r>
      <w:r w:rsidR="00816BD4" w:rsidRPr="00816BD4">
        <w:rPr>
          <w:rFonts w:ascii="Arial" w:hAnsi="Arial" w:cs="Arial"/>
          <w:sz w:val="24"/>
          <w:szCs w:val="24"/>
        </w:rPr>
        <w:tab/>
      </w:r>
      <w:r w:rsidR="00816BD4" w:rsidRPr="00816BD4">
        <w:rPr>
          <w:rFonts w:ascii="Arial" w:hAnsi="Arial" w:cs="Arial"/>
          <w:sz w:val="24"/>
          <w:szCs w:val="24"/>
        </w:rPr>
        <w:tab/>
      </w:r>
      <w:r w:rsidR="00816BD4" w:rsidRPr="00816BD4">
        <w:rPr>
          <w:rFonts w:ascii="Arial" w:hAnsi="Arial" w:cs="Arial"/>
          <w:sz w:val="24"/>
          <w:szCs w:val="24"/>
        </w:rPr>
        <w:tab/>
      </w:r>
      <w:r w:rsidR="00816BD4" w:rsidRPr="00816BD4">
        <w:rPr>
          <w:rFonts w:ascii="Arial" w:hAnsi="Arial" w:cs="Arial"/>
          <w:sz w:val="24"/>
          <w:szCs w:val="24"/>
        </w:rPr>
        <w:tab/>
      </w:r>
      <w:r w:rsidR="00816BD4" w:rsidRPr="00816BD4">
        <w:rPr>
          <w:rFonts w:ascii="Arial" w:hAnsi="Arial" w:cs="Arial"/>
          <w:sz w:val="24"/>
          <w:szCs w:val="24"/>
        </w:rPr>
        <w:tab/>
      </w:r>
      <w:r w:rsidR="00816BD4" w:rsidRPr="00816BD4">
        <w:rPr>
          <w:rFonts w:ascii="Arial" w:hAnsi="Arial" w:cs="Arial"/>
          <w:sz w:val="24"/>
          <w:szCs w:val="24"/>
        </w:rPr>
        <w:tab/>
      </w:r>
      <w:r w:rsidR="00816BD4">
        <w:rPr>
          <w:rFonts w:ascii="Arial" w:hAnsi="Arial" w:cs="Arial"/>
          <w:sz w:val="24"/>
          <w:szCs w:val="24"/>
        </w:rPr>
        <w:tab/>
      </w:r>
      <w:r w:rsidR="00816BD4" w:rsidRPr="00816BD4">
        <w:rPr>
          <w:rFonts w:ascii="Arial" w:hAnsi="Arial" w:cs="Arial"/>
          <w:sz w:val="24"/>
          <w:szCs w:val="24"/>
        </w:rPr>
        <w:t>ředitel ODIS</w:t>
      </w:r>
    </w:p>
    <w:p w14:paraId="5ECE9401" w14:textId="77777777" w:rsidR="00816BD4" w:rsidRDefault="00816BD4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01406BD" w14:textId="77777777" w:rsidR="00322EF4" w:rsidRDefault="00322EF4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676412D" w14:textId="77777777" w:rsidR="00322EF4" w:rsidRDefault="00322EF4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6DA894" w14:textId="77777777" w:rsidR="00322EF4" w:rsidRDefault="00322EF4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4A66C5B" w14:textId="77777777" w:rsidR="00322EF4" w:rsidRDefault="00322EF4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D99BED3" w14:textId="77777777" w:rsidR="00322EF4" w:rsidRDefault="00322EF4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74DE07" w14:textId="77777777" w:rsidR="00322EF4" w:rsidRDefault="00322EF4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5364ECB" w14:textId="77777777" w:rsidR="00322EF4" w:rsidRDefault="00322EF4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53A039" w14:textId="77777777" w:rsidR="00322EF4" w:rsidRDefault="00322EF4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88D2941" w14:textId="77777777" w:rsidR="00322EF4" w:rsidRDefault="00322EF4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D796D5" w14:textId="77777777" w:rsidR="00322EF4" w:rsidRDefault="00322EF4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1003C77" w14:textId="77777777" w:rsidR="002A07E8" w:rsidRDefault="002A07E8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E819DFF" w14:textId="77777777" w:rsidR="002A07E8" w:rsidRDefault="002A07E8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0C47CB4" w14:textId="77777777" w:rsidR="00816BD4" w:rsidRPr="00EB49D7" w:rsidRDefault="00816BD4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6F94E5" w14:textId="77777777" w:rsidR="00DF2D45" w:rsidRPr="00587D3E" w:rsidRDefault="00DF2D45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E730C8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B82CA30" w14:textId="77777777" w:rsidR="00816BD4" w:rsidRDefault="00816BD4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B77DD4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DF028D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11D72DD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9BF3D3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B18754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6FFC6B" w14:textId="7F593A4E" w:rsidR="001B6881" w:rsidRDefault="001B6881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6881">
        <w:rPr>
          <w:rFonts w:ascii="Arial" w:hAnsi="Arial" w:cs="Arial"/>
          <w:b/>
          <w:bCs/>
          <w:sz w:val="24"/>
          <w:szCs w:val="24"/>
        </w:rPr>
        <w:t>Příloha č.1</w:t>
      </w:r>
    </w:p>
    <w:p w14:paraId="135CA964" w14:textId="77777777" w:rsidR="00E63857" w:rsidRDefault="00E63857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B35C494" w14:textId="77777777" w:rsidR="00E63857" w:rsidRPr="00E63857" w:rsidRDefault="00E63857" w:rsidP="00E63857">
      <w:pPr>
        <w:spacing w:line="279" w:lineRule="auto"/>
        <w:rPr>
          <w:rFonts w:ascii="Aptos" w:eastAsia="Aptos" w:hAnsi="Aptos" w:cs="Arial"/>
          <w:sz w:val="24"/>
          <w:szCs w:val="24"/>
          <w:lang w:eastAsia="en-US"/>
        </w:rPr>
      </w:pPr>
      <w:r w:rsidRPr="00E63857">
        <w:rPr>
          <w:rFonts w:ascii="Aptos" w:eastAsia="Aptos" w:hAnsi="Aptos" w:cs="Arial"/>
          <w:sz w:val="24"/>
          <w:szCs w:val="24"/>
          <w:lang w:eastAsia="en-US"/>
        </w:rPr>
        <w:t>Technická specifikace položek 1-4  VZ260068</w:t>
      </w:r>
    </w:p>
    <w:p w14:paraId="48C31AF0" w14:textId="77777777" w:rsidR="00E63857" w:rsidRPr="00E63857" w:rsidRDefault="00E63857" w:rsidP="00E63857">
      <w:pPr>
        <w:spacing w:after="160" w:line="279" w:lineRule="auto"/>
        <w:rPr>
          <w:rFonts w:ascii="Aptos" w:eastAsia="Aptos" w:hAnsi="Aptos" w:cs="Arial"/>
          <w:sz w:val="24"/>
          <w:szCs w:val="24"/>
          <w:lang w:eastAsia="en-US"/>
        </w:rPr>
      </w:pPr>
    </w:p>
    <w:p w14:paraId="7FED335D" w14:textId="77777777" w:rsidR="00E63857" w:rsidRPr="00E63857" w:rsidRDefault="00E63857" w:rsidP="00E63857">
      <w:pPr>
        <w:spacing w:line="279" w:lineRule="auto"/>
        <w:rPr>
          <w:rFonts w:ascii="Aptos" w:eastAsia="Aptos" w:hAnsi="Aptos" w:cs="Arial"/>
          <w:sz w:val="24"/>
          <w:szCs w:val="24"/>
          <w:lang w:eastAsia="en-US"/>
        </w:rPr>
      </w:pPr>
      <w:r w:rsidRPr="00E63857">
        <w:rPr>
          <w:rFonts w:ascii="Calibri" w:eastAsia="Calibri" w:hAnsi="Calibri" w:cs="Calibri"/>
          <w:b/>
          <w:bCs/>
          <w:lang w:val="en-US" w:eastAsia="en-US"/>
        </w:rPr>
        <w:t xml:space="preserve">Položka č. 1: 4ks Páteřní switch -  L3 switch 48x 10/25GbE, 8x 40/100GbE, 2x hot-swap PS </w:t>
      </w:r>
    </w:p>
    <w:p w14:paraId="49D8703E" w14:textId="77777777" w:rsidR="00E63857" w:rsidRPr="00E63857" w:rsidRDefault="00E63857" w:rsidP="00E63857">
      <w:pPr>
        <w:spacing w:line="279" w:lineRule="auto"/>
        <w:rPr>
          <w:rFonts w:ascii="Calibri" w:eastAsia="Calibri" w:hAnsi="Calibri" w:cs="Calibri"/>
          <w:b/>
          <w:bCs/>
          <w:lang w:eastAsia="en-US"/>
        </w:rPr>
      </w:pPr>
    </w:p>
    <w:p w14:paraId="0F56E54D" w14:textId="77777777" w:rsidR="00E63857" w:rsidRPr="00E63857" w:rsidRDefault="00E63857" w:rsidP="00E63857">
      <w:pPr>
        <w:rPr>
          <w:rFonts w:ascii="Aptos" w:eastAsia="Aptos" w:hAnsi="Aptos" w:cs="Arial"/>
          <w:sz w:val="24"/>
          <w:szCs w:val="24"/>
          <w:lang w:eastAsia="en-US"/>
        </w:rPr>
      </w:pPr>
      <w:r w:rsidRPr="00E63857">
        <w:rPr>
          <w:rFonts w:ascii="Calibri" w:eastAsia="Calibri" w:hAnsi="Calibri" w:cs="Calibri"/>
          <w:i/>
          <w:iCs/>
          <w:lang w:eastAsia="en-US"/>
        </w:rPr>
        <w:t xml:space="preserve"> 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6336"/>
        <w:gridCol w:w="1335"/>
        <w:gridCol w:w="1335"/>
      </w:tblGrid>
      <w:tr w:rsidR="00E63857" w:rsidRPr="00E63857" w14:paraId="61C73B04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3A7683B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b/>
                <w:bCs/>
                <w:color w:val="000000"/>
                <w:lang w:eastAsia="en-US"/>
              </w:rPr>
              <w:t>Požadavek na funkcionalitu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8566E30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b/>
                <w:bCs/>
                <w:color w:val="000000"/>
                <w:lang w:eastAsia="en-US"/>
              </w:rPr>
              <w:t>Minimální požadavky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6CDD73E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  <w:t>Potvrďte, že nabízený produkt splňuje uvedené minimální požadavky</w:t>
            </w:r>
          </w:p>
        </w:tc>
      </w:tr>
      <w:tr w:rsidR="00E63857" w:rsidRPr="00E63857" w14:paraId="702CA938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32FEBF6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b/>
                <w:bCs/>
                <w:lang w:eastAsia="en-US"/>
              </w:rPr>
              <w:t>Základní vlastnosti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07BF83C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EEEF4A8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</w:p>
        </w:tc>
      </w:tr>
      <w:tr w:rsidR="00E63857" w:rsidRPr="00E63857" w14:paraId="4F1BE582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C64C186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Typ zařízení: L3 přepínač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0613F5F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DC8E591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49DE462C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C40938D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 xml:space="preserve">Velikost zařízení 1U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4697491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CA9D1B0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148AE7EC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F36DBED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Minimálně 48x 1/10/25 Gbps SFP28 portů s volitelným fyzickým rozhraním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69FFA0D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2488E60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6EA00C86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FF0038E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Minimálně 8x 40/100 Gbps QSFP28 portů s volitelným fyzickým rozhraním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5C5289E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7B3FA8F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42BB2431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D0D62F3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Podpora rozdělení 40GE portů na 4x10GE a 100GE portů na 4x25GE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599B7E7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530F888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26914A67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0683AC7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Podpora originálních transceiverů výrobce</w:t>
            </w:r>
            <w:r w:rsidRPr="00E63857">
              <w:rPr>
                <w:rFonts w:ascii="Aptos" w:eastAsia="Aptos" w:hAnsi="Aptos" w:cs="Arial"/>
                <w:lang w:val="en-US" w:eastAsia="en-US"/>
              </w:rPr>
              <w:t xml:space="preserve">: </w:t>
            </w:r>
            <w:r w:rsidRPr="00E63857">
              <w:rPr>
                <w:rFonts w:ascii="Aptos" w:eastAsia="Aptos" w:hAnsi="Aptos" w:cs="Arial"/>
                <w:lang w:eastAsia="en-US"/>
              </w:rPr>
              <w:t>10GBASE-T SFP+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9A3A900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697547E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4566DE36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EE02929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2x interní hot-swap AC napájecí zdroj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897D844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450A8C2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5CF62DF9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333333"/>
              <w:right w:val="single" w:sz="8" w:space="0" w:color="333333"/>
            </w:tcBorders>
            <w:tcMar>
              <w:left w:w="70" w:type="dxa"/>
              <w:right w:w="70" w:type="dxa"/>
            </w:tcMar>
            <w:vAlign w:val="center"/>
          </w:tcPr>
          <w:p w14:paraId="16679F40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Redundantní hot</w:t>
            </w:r>
            <w:r w:rsidRPr="00E63857">
              <w:rPr>
                <w:rFonts w:ascii="Aptos" w:eastAsia="Aptos" w:hAnsi="Aptos" w:cs="Arial"/>
                <w:lang w:val="en-US" w:eastAsia="en-US"/>
              </w:rPr>
              <w:t xml:space="preserve">-swap </w:t>
            </w:r>
            <w:r w:rsidRPr="00E63857">
              <w:rPr>
                <w:rFonts w:ascii="Aptos" w:eastAsia="Aptos" w:hAnsi="Aptos" w:cs="Arial"/>
                <w:lang w:eastAsia="en-US"/>
              </w:rPr>
              <w:t>ventilátory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333333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05527BA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DE1DD5D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1E10B4C0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33333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B4E8697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Směr proudění vzduchu zařízením: předo-zadní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E8E4697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336F2E2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31FC5C7B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1F2EBEA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Minimální přepínací výkon</w:t>
            </w:r>
            <w:r w:rsidRPr="00E63857">
              <w:rPr>
                <w:rFonts w:ascii="Aptos" w:eastAsia="Aptos" w:hAnsi="Aptos" w:cs="Arial"/>
                <w:lang w:val="en-US" w:eastAsia="en-US"/>
              </w:rPr>
              <w:t>: 4 Tbps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F513265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90723FC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4703E460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9749DAC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Minimální paketový výkon</w:t>
            </w:r>
            <w:r w:rsidRPr="00E63857">
              <w:rPr>
                <w:rFonts w:ascii="Aptos" w:eastAsia="Aptos" w:hAnsi="Aptos" w:cs="Arial"/>
                <w:lang w:val="en-US" w:eastAsia="en-US"/>
              </w:rPr>
              <w:t xml:space="preserve">: </w:t>
            </w:r>
            <w:r w:rsidRPr="00E63857">
              <w:rPr>
                <w:rFonts w:ascii="Aptos" w:eastAsia="Aptos" w:hAnsi="Aptos" w:cs="Arial"/>
                <w:lang w:eastAsia="en-US"/>
              </w:rPr>
              <w:t>2000 Mpps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9D191CC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7D30F70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5F8E30B8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B5D028D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Minimální paketový buffer: 32 MB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A37C698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8CA9A4D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39145D99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CEFFE40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Maximální hloubka přepínače</w:t>
            </w:r>
            <w:r w:rsidRPr="00E63857">
              <w:rPr>
                <w:rFonts w:ascii="Aptos" w:eastAsia="Aptos" w:hAnsi="Aptos" w:cs="Arial"/>
                <w:lang w:val="en-US" w:eastAsia="en-US"/>
              </w:rPr>
              <w:t>: 55 cm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DF9BD4F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0E05473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0187B566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D579BA9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b/>
                <w:bCs/>
                <w:lang w:eastAsia="en-US"/>
              </w:rPr>
              <w:t>Vlastnosti stohování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4FB88FA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0C2857C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</w:p>
        </w:tc>
      </w:tr>
      <w:tr w:rsidR="00E63857" w:rsidRPr="00E63857" w14:paraId="15FE5094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E46CB3E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Podporovaný počet přepínačů ve stohu: 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CEFE46B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A1A821C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138D4B2E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8660087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Kapacita stohovacího propojení</w:t>
            </w:r>
            <w:r w:rsidRPr="00E63857">
              <w:rPr>
                <w:rFonts w:ascii="Aptos" w:eastAsia="Aptos" w:hAnsi="Aptos" w:cs="Arial"/>
                <w:lang w:val="en-US" w:eastAsia="en-US"/>
              </w:rPr>
              <w:t xml:space="preserve">: </w:t>
            </w:r>
            <w:r w:rsidRPr="00E63857">
              <w:rPr>
                <w:rFonts w:ascii="Aptos" w:eastAsia="Aptos" w:hAnsi="Aptos" w:cs="Arial"/>
                <w:lang w:eastAsia="en-US"/>
              </w:rPr>
              <w:t>400 Gbps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C2F0ED0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4581E40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6D3CE5E1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E89D397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Stoh podporuje distribuované přepínání paketů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8872450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38916CF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61E9C97F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44BCB1E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 xml:space="preserve">Libovolný prvek stohu může být řídícím prvkem (1:1 redundance)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ABC2AC4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FC19E7C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0B4290F0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0E3EDCB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Seskupení portů IEEE 802.3ad mezi různými prvky stohu (MC-LAG)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3266ABA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3D91D37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567BBDEA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3BF0562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Podpora upgrade OS ve stohu bez narušení provozu (ISSU/Live upgrade)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23E2AF0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60204B7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64B6CB5A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431A740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Podpora automatizace upgrade OS ve stohu bez narušení provozu přes REST API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FEA3C02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80CF8EF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7CFD3849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3A4366D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color w:val="000000"/>
                <w:lang w:eastAsia="en-US"/>
              </w:rPr>
              <w:t>Součástí přepínače je stohovací kabel 100Gbit/s délka 1m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DC8E1AA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E863070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37FF7BFB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965559D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b/>
                <w:bCs/>
                <w:lang w:eastAsia="en-US"/>
              </w:rPr>
              <w:t>Funkce a protokoly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F921CB5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3644032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</w:p>
        </w:tc>
      </w:tr>
      <w:tr w:rsidR="00E63857" w:rsidRPr="00E63857" w14:paraId="17CD2A83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F442067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Podpora jumbo rámců včetně velikosti 9198 Byte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39BEF8D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041CFCA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2DAB7CAB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4E4AAEC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Podpora linkové agregace IEEE 802.1AX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37DF694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269533F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3008D16D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6DA6B5D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lastRenderedPageBreak/>
              <w:t>Konfigurovatelné rozkládání LACP zátěže podle L2, L3 a L4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4558DF4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13381D7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62B1372F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D56FE8A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Minimální počet LACP skupin/linek ve skupině: 56/16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D6FE576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val="en-US"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8C2C29F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101FE662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39EF5CB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Minimální počet záznamů v tabulce MAC adres: 96 000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4483FEB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2C8E5AD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79F2FF25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2D5EA7C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Minimální počet záznamů v tabulce ARP: 120 000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3916951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C823334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69C7F893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A33238D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Protokol pro definici šířených VLAN: MVRP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6E7D4D5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6DCA58D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4972F662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797FDE3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Minimálně 4000 aktivních VLAN podle IEEE 802.1Q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CF3C92D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F79A9C7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0A1DA2BA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A62E531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VLAN translace - swap 802.1Q tagů na trunk portu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EFF6F9B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86948E0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4F22C4FB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DF87BE2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Podpora zařazování do VLAN podle standardu 802.1v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0B55D6D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8CDEDA6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4917922A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3EBBC8F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Private VLAN včetně primary, secondary a community VLAN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5AD7898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AF80CFF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01F8BF51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84F3518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IEEE 802.1s - Multiple Spanning Tree a IEEE 802.1w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1B49969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86E13C2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41EB43CF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ED0359F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STP instance per VLAN s 802.1Q tagováním BPDU (např. PVST+)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4A5EFFB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CF44440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047F150C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9954013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Podpora ERPS (ITU G.8032) pro rychlou konvergenci do 100ms v kruhových sítích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DC81DF9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132CA13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4EB00D4A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A570E2E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Detekce protilehlého zařízení pomocí LLDP, včetně LLDP over OoB management port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8C7C39E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2A8541F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14F8B71C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2FABC87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Detekce jednosměrnosti optické linky (např. UDLD nebo ekvivalentní)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81F6F6A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90236AF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18BEBC49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333333"/>
              <w:right w:val="single" w:sz="8" w:space="0" w:color="333333"/>
            </w:tcBorders>
            <w:tcMar>
              <w:left w:w="70" w:type="dxa"/>
              <w:right w:w="70" w:type="dxa"/>
            </w:tcMar>
            <w:vAlign w:val="center"/>
          </w:tcPr>
          <w:p w14:paraId="2495775A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DHCP server a relay pro IPv4 a IPv6 včetně podpory VRF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333333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5108ACB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6A95215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339200B9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333333"/>
              <w:left w:val="single" w:sz="8" w:space="0" w:color="000000"/>
              <w:bottom w:val="single" w:sz="8" w:space="0" w:color="333333"/>
              <w:right w:val="single" w:sz="8" w:space="0" w:color="333333"/>
            </w:tcBorders>
            <w:tcMar>
              <w:left w:w="70" w:type="dxa"/>
              <w:right w:w="70" w:type="dxa"/>
            </w:tcMar>
            <w:vAlign w:val="center"/>
          </w:tcPr>
          <w:p w14:paraId="6849E906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Podpora zapouzdření</w:t>
            </w:r>
            <w:r w:rsidRPr="00E63857">
              <w:rPr>
                <w:rFonts w:ascii="Aptos" w:eastAsia="Aptos" w:hAnsi="Aptos" w:cs="Arial"/>
                <w:lang w:val="pt" w:eastAsia="en-US"/>
              </w:rPr>
              <w:t>:</w:t>
            </w:r>
            <w:r w:rsidRPr="00E63857">
              <w:rPr>
                <w:rFonts w:ascii="Aptos" w:eastAsia="Aptos" w:hAnsi="Aptos" w:cs="Arial"/>
                <w:lang w:eastAsia="en-US"/>
              </w:rPr>
              <w:t xml:space="preserve"> GRE over IPv4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333333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67D8755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8BDC742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4ADED37A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33333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3329992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Podpora NTPv4 pro IPv4 a IPv6 včetně VRF a MD5 autentizace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73A19C8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AFBD9CA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1FACFBFC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163D8E4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Podpora NTP server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E84A068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10AA01B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5A8F2E9F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A4BB3A9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Funkce mDNS brány pro distribuci a filtraci multicast služeb napříč IP subnety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5382E50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7559DAF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208595E8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1FC60C1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color w:val="000000"/>
                <w:lang w:eastAsia="en-US"/>
              </w:rPr>
              <w:t>Podpora L3 routed port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A18A189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DF9BAF1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7FA5D45D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FD49D8E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Statické směrování IPv4 a IPv6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AAD13DF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CE03032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56B6384A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7D0EAB3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Minimální počet IPv4 záznamů ve směrovací tabulce: 130 000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4C892B2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DB07CF2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6C5C41D9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79A49B3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Minimální počet IPv6 záznamů ve směrovací tabulce: 32 000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50A1132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E429BB5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03550396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A570C88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Dynamické směrování: RIP, RIPng, OSPFv2 včetně HMAC-SHA-384, OSPFv3, BGP, MP-BGP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8888A0E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9253452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08F65A84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F774424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Funkce BGP konfederace a route reflector pro IPv4 a IPv6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D7E1131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86655CC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19FCEB9E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DFB208A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Podpora BGP MD5 autentizace a BGP TTL security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61C3CE0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4584933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59D43078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6E7C7D2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Podpora police based routing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4E97856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BBA6C29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23A6A4A2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C5441B0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Podpora VRRPv2 a VRRPv3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768CB77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A52557E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23B75A5C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B0696DE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Podpora route map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6D6AF71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515785E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1260C79C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C123557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ECMP včetně možnosti konfigurace rozkládání zátěže podle L3 a L4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195341A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3FCC010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3ACBEF08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5D65C14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Podpora minimálně 256 virtuálních směrovacích instancí (VRF)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B972BC8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1775A31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3F6003AD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C9DC898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IGMP v2 a v3, IGMP snooping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C253C06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B7C6CA1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6783BFD5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179DD9C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MLD v1 a v2, MLD snooping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B379ABE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F38222C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3148FFEC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4634404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Směrování multicast: PIM-DM, PIM-SM, IPv6 PIM-SM, PIM-SSM, IPv6 PIM-SSM, MSDP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F352E09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633EE48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6B335C78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88ECA50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Hardware podpora IPv4 a IPv6 ACL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8F44722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E59EF04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43DEB7EF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C6F56A4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color w:val="000000"/>
                <w:lang w:eastAsia="en-US"/>
              </w:rPr>
              <w:t>DHCP snooping pro IPv4 a IPv6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65B8C8C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12BAED3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433F7635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2431926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 xml:space="preserve">ACL klasifikace na úrovni zdrojová/cílová MAC adresa, zdrojová/cílová IPv4/IPv6 adresa, číslo zdrojového/cílového portu, protokol, TTL hodnota , číslo VLAN, 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328B206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B428D9B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7A6BAADF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4A6B5AE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color w:val="000000"/>
                <w:lang w:eastAsia="en-US"/>
              </w:rPr>
              <w:t>HW ochrana proti zahlcení portu (broadcast/multicast/unicast) nastavitelná na pps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A94B9AA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6A3867F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05BF7F92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F872D38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lastRenderedPageBreak/>
              <w:t>IEEE 802.1p – Minimálně 8 front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FDE68BA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26487EE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3C8F9C13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E8DA9CE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color w:val="000000"/>
                <w:lang w:eastAsia="en-US"/>
              </w:rPr>
              <w:t>802.1X ověřování včetně více současných uživatelů na port, minimálně 32 uživatelů/port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BB80C4B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EBC6587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55003A2D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C6348EF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color w:val="000000"/>
                <w:lang w:eastAsia="en-US"/>
              </w:rPr>
              <w:t>Konfigurovatelná kombinace pořadí postupného ověřování zařízení na portu (IEEE 802.1x, MAC adresou)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7F1F654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883D7F2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2AE84747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4C4B355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color w:val="000000"/>
                <w:lang w:eastAsia="en-US"/>
              </w:rPr>
              <w:t>Dynamické zařazování do VLAN a přidělení QoS podle RFC 4675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9207556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D421339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7C0F5BF5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2C0332E8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color w:val="000000"/>
                <w:lang w:eastAsia="en-US"/>
              </w:rPr>
              <w:t>802.1X s podporou odlišných Preauth VLAN, Fail VLAN, Critical VLAN a Critical voice VLAN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1C4A608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02239C7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232686C3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7447CFF2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color w:val="000000"/>
                <w:lang w:eastAsia="en-US"/>
              </w:rPr>
              <w:t>Uživatelské role definované lokálně v přepínači, jejich aplikace dle výsledku autorizace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2016031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9D3F339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34D20F51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80CA207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color w:val="000000"/>
                <w:lang w:eastAsia="en-US"/>
              </w:rPr>
              <w:t>Uživatelské role dynamicky stahovatelné z RADIUS, jejich aplikace dle výsledku autorizace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7B09DCE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DA2ACF6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64BD35F5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9A267DF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BPDU guard a Root guard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677C0DC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B2E92AA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34D93D69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9CBECAB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Podpora service insertion včetně technologie VXLAN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F432ED8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F68DC53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4955DE98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D15B625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Podpora static a dynamic VXLAN s využítím BGP-EVPN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4F96A7B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F76BDA3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636EE726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E4958E3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Podpora PBR VXLAN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EE3FD57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B7ADCA0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108C06BF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0A694EA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Konfigurovatelná ochrana control plane (CoPP) před DoS útoky na CPU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1ABB55F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359A141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5EF5E71F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6EB867B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Vynucení zadat heslo administrátora a nastavitelná politika komplexity hesla přímo na přepínači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4930641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763E931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491D9BC5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AB086CD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 xml:space="preserve">Možnost instalace vlastního certifikátu včetně podpory </w:t>
            </w:r>
            <w:r w:rsidRPr="00E63857">
              <w:rPr>
                <w:rFonts w:ascii="Aptos" w:eastAsia="Aptos" w:hAnsi="Aptos" w:cs="Arial"/>
                <w:lang w:val="en-US" w:eastAsia="en-US"/>
              </w:rPr>
              <w:t>Enrollment over Secure Transport (EST)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1302797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F6B796A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01B97F45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FEDA5C1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TACACS+ a RADIUS klient pro AAA (autentizace, autorizace, accounting)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AFC9C5B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8070E39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059727B1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4543662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color w:val="000000"/>
                <w:lang w:val="pt-BR" w:eastAsia="en-US"/>
              </w:rPr>
            </w:pPr>
            <w:r w:rsidRPr="00E63857">
              <w:rPr>
                <w:rFonts w:ascii="Aptos" w:eastAsia="Aptos" w:hAnsi="Aptos" w:cs="Arial"/>
                <w:color w:val="000000"/>
                <w:lang w:val="pt-BR" w:eastAsia="en-US"/>
              </w:rPr>
              <w:t>Aktivní monitoring dostupnosti RADIUS a TACACS+ přednastaveným jménem a heslem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DB72FE8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7B5D41D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70836EBF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2DA6BE6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Podpora Radius over TLS (RadSec)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06A0BAD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F4EE3BB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44D4BA14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D3C9237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Podpora Data Center Bridging (PFC 802.1Qbb, ETS 802.1Qaz)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7C23980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1249E2C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59606978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FF35EAB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IP Explicit Congestion Notification (ECN)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68391F3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082EA3A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1B4B2A63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2BAF57C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Podpora RoCEv2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9688E88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B30D43D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519D04FE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DA5E61E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b/>
                <w:bCs/>
                <w:lang w:eastAsia="en-US"/>
              </w:rPr>
              <w:t>Management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079D1AF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C6DF6AC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</w:p>
        </w:tc>
      </w:tr>
      <w:tr w:rsidR="00E63857" w:rsidRPr="00E63857" w14:paraId="759E354C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FD55C51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color w:val="000000"/>
                <w:lang w:eastAsia="en-US"/>
              </w:rPr>
              <w:t>CLI formou 1x USB console port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7435351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CDFED45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16CA0C86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16F9E84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Bezdrátová sériová konzole pomocí</w:t>
            </w:r>
            <w:r w:rsidRPr="00E63857">
              <w:rPr>
                <w:rFonts w:ascii="Aptos" w:eastAsia="Aptos" w:hAnsi="Aptos" w:cs="Arial"/>
                <w:color w:val="000000"/>
                <w:lang w:eastAsia="en-US"/>
              </w:rPr>
              <w:t xml:space="preserve"> Bluetooth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2211C2C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B42A53F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0DE4E516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04F31B7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Konfigurace zařízení v člověku čitelné textové formě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9332CCB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B4A567E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3AABBFC5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1353125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OoB management formou portu RJ45 s podporou ethernetu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0AB1C1B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F61EC1D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14CF438F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9E8BAFC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USB port pro přenos konfigurace a firmware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05A4E42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379055B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32F9386C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E5F9412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Podpora IPv4 a IPv6 management</w:t>
            </w:r>
            <w:r w:rsidRPr="00E63857">
              <w:rPr>
                <w:rFonts w:ascii="Aptos" w:eastAsia="Aptos" w:hAnsi="Aptos" w:cs="Arial"/>
                <w:lang w:val="en-US" w:eastAsia="en-US"/>
              </w:rPr>
              <w:t xml:space="preserve">: </w:t>
            </w:r>
            <w:r w:rsidRPr="00E63857">
              <w:rPr>
                <w:rFonts w:ascii="Aptos" w:eastAsia="Aptos" w:hAnsi="Aptos" w:cs="Arial"/>
                <w:lang w:eastAsia="en-US"/>
              </w:rPr>
              <w:t>SSHv2 server, HTTPS server, SFTP a SCP klient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3C06F8C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884352F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036D34E2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DF653BD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Podpora RSA s délkou klíče minimálně 4096 bitů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DF73E99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1292B41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3AB4C4A7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F927488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Podpora SNMPv2c a SNMPv3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08D4241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633579C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2EFCF8A6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3E91CD3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Možnost omezení přístupu k managementu (SSH, SNMP) pomocí ACL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103A28B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37F8ACE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782EF488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9DBBCCA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Lokálně vynucené RBAC na úrovni přepínače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DE66BF9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BC8FA16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3A6B264A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C67FDBE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color w:val="000000"/>
                <w:lang w:eastAsia="en-US"/>
              </w:rPr>
              <w:t>Dualní flash image - podpora dvou nezávislých verzí operačního systému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C7E3112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02D7195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6C310952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BA8B176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Konfigurační změny pomocí naplánovaných pracovních úloh (Job scheduler)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1ACC7C5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C78AA7A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5ADF1449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03F8A7F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TCP a UDP SYSLOG pro IPv4 a IPv6 s možností logováni do více SYSLOG serverů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0B0FFC8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15166BB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7FFBD349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B1A1434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lastRenderedPageBreak/>
              <w:t>Podpora automatických i manuálních snapshotů systému a možnost automatického obnovení předchozí konfigurace v případě konfigurační chyby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285E701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5FC0295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6978F9F9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AE58A75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 xml:space="preserve">Podpora standardního Linux Shellu </w:t>
            </w:r>
            <w:r w:rsidRPr="00E63857">
              <w:rPr>
                <w:rFonts w:ascii="Aptos" w:eastAsia="Aptos" w:hAnsi="Aptos" w:cs="Arial"/>
                <w:lang w:val="en-US" w:eastAsia="en-US"/>
              </w:rPr>
              <w:t>(BASH) pro debugging a skripto</w:t>
            </w:r>
            <w:r w:rsidRPr="00E63857">
              <w:rPr>
                <w:rFonts w:ascii="Aptos" w:eastAsia="Aptos" w:hAnsi="Aptos" w:cs="Arial"/>
                <w:lang w:eastAsia="en-US"/>
              </w:rPr>
              <w:t>vání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2FD9CEB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679CB4B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1ED0EA69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11ABDB7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Podpora skripování v jazyce Python – lokální interpret jazyka v přepínači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9ED03C6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4B6AB27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6BBC91D3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4FBD7FB5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Možnost vytváření vlastních diagnostických a korelačních skriptů a jejich grafických interpretací v jazyce Python (korelace libovolných událostí a hodnot v podobě grafů)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33D91A1F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color w:val="000000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ACBE929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2ED3F7E2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3C3333E1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color w:val="000000"/>
                <w:lang w:eastAsia="en-US"/>
              </w:rPr>
              <w:t>Grafické rozhraní pro vynášení výsledků monitorování a analytických skriptů - možnost vynášení stavu monitorovaných metrik do grafů atp.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135A0BB1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color w:val="000000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07F4DB0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65C31262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14D9739E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color w:val="000000"/>
                <w:lang w:eastAsia="en-US"/>
              </w:rPr>
              <w:t>Root cause analysis v grafickém rozhraní – možnost vrácení se ke konkrétní funkční konfiguraci a stavu protokolů v čase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7535438F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color w:val="000000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76DAE44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2F8DB1E1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7A535D6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Integrovaný nástroj na odchyt paketů (např. WireShark nebo ekvivalentní)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80F0C5C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45A196A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5215B061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9EDCB52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Interpretace uživatelských skriptů monitorujících definované parametry síťového provozu s možností automatické reakce na události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29DE6AC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EA7452D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15668250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51C5BB2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Interní SSD úložiště pro sběr provozních dat a pokročilou dignostiku zařízení: min. 60 GB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BF68911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BF51D01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18F0D835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8A1ED77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Analýza síťového provozu sFlow podle RFC 3176 pro oba směry ingress a egress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71F9CC4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2CDB6F6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24FC58BB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AA31EC0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Ochrana proti nahrání modifikovaného SW prostřednictvím image signing a secure boot, ověřující autentičnost a integritu OS prostřednictvím TPM chipu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EDFA01E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40E55BF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2A595A8B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FE4B753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SPAN a ERSPAN port mirroring, alespoň 4 různé obousměrné session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459F09B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9700AC2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622EC1D9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40F34476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color w:val="000000"/>
                <w:lang w:eastAsia="en-US"/>
              </w:rPr>
              <w:t xml:space="preserve">IP SLA pro měření dostupnosti a zpoždění provozu VoIP </w:t>
            </w:r>
            <w:r w:rsidRPr="00E63857">
              <w:rPr>
                <w:rFonts w:ascii="Aptos" w:eastAsia="Aptos" w:hAnsi="Aptos" w:cs="Arial"/>
                <w:color w:val="000000"/>
                <w:lang w:val="pt" w:eastAsia="en-US"/>
              </w:rPr>
              <w:t>-</w:t>
            </w:r>
            <w:r w:rsidRPr="00E63857">
              <w:rPr>
                <w:rFonts w:ascii="Aptos" w:eastAsia="Aptos" w:hAnsi="Aptos" w:cs="Arial"/>
                <w:color w:val="000000"/>
                <w:lang w:eastAsia="en-US"/>
              </w:rPr>
              <w:t xml:space="preserve"> režim responder i probe 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F964506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2E2CF12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26DA5711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6CF99A5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Podpora integrace s automatizačními nástroji (Ansible, NAPALM)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546136D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C64172F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0A9D97C3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14AFDB8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val="en-US" w:eastAsia="en-US"/>
              </w:rPr>
              <w:t>Automatizace – podpora read-only a read-write REST API včetně volání CLI příkazů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4F44DD0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B5A19D3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79B5C61D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AD3BABA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color w:val="000000"/>
                <w:lang w:eastAsia="en-US"/>
              </w:rPr>
              <w:t>Podpora Cloud i On-Premise management software výrobce zařízení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7AF55D4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C7C5AD6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754E74DC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D7E48D6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Podpora Zero Touch Provisioning (ZTP)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0BD0ECA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FED1513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  <w:tr w:rsidR="00E63857" w:rsidRPr="00E63857" w14:paraId="6EE6F13A" w14:textId="77777777" w:rsidTr="00E63857">
        <w:trPr>
          <w:trHeight w:val="285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DE60425" w14:textId="77777777" w:rsidR="00E63857" w:rsidRPr="00E63857" w:rsidRDefault="00E63857" w:rsidP="00E63857">
            <w:pPr>
              <w:spacing w:line="279" w:lineRule="auto"/>
              <w:jc w:val="both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Součástí switche bude příslušenství pro dvoubodovou montáž do racku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C39F2C1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622C4DC" w14:textId="77777777" w:rsidR="00E63857" w:rsidRPr="00E63857" w:rsidRDefault="00E63857" w:rsidP="00E63857">
            <w:pPr>
              <w:spacing w:line="279" w:lineRule="auto"/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Aptos" w:eastAsia="Aptos" w:hAnsi="Aptos" w:cs="Arial"/>
                <w:lang w:eastAsia="en-US"/>
              </w:rPr>
              <w:t>ano</w:t>
            </w:r>
          </w:p>
        </w:tc>
      </w:tr>
    </w:tbl>
    <w:p w14:paraId="2CC13EF3" w14:textId="77777777" w:rsidR="00E63857" w:rsidRPr="00E63857" w:rsidRDefault="00E63857" w:rsidP="00E63857">
      <w:pPr>
        <w:spacing w:line="279" w:lineRule="auto"/>
        <w:rPr>
          <w:rFonts w:ascii="Aptos" w:eastAsia="Aptos" w:hAnsi="Aptos" w:cs="Aptos"/>
          <w:b/>
          <w:bCs/>
          <w:lang w:eastAsia="en-US"/>
        </w:rPr>
      </w:pPr>
    </w:p>
    <w:p w14:paraId="0C98B3F1" w14:textId="77777777" w:rsidR="00E63857" w:rsidRPr="00E63857" w:rsidRDefault="00E63857" w:rsidP="00E63857">
      <w:pPr>
        <w:spacing w:line="279" w:lineRule="auto"/>
        <w:rPr>
          <w:rFonts w:ascii="Aptos" w:eastAsia="Aptos" w:hAnsi="Aptos" w:cs="Aptos"/>
          <w:b/>
          <w:bCs/>
          <w:lang w:eastAsia="en-US"/>
        </w:rPr>
      </w:pPr>
      <w:r w:rsidRPr="00E63857">
        <w:rPr>
          <w:rFonts w:ascii="Aptos" w:eastAsia="Aptos" w:hAnsi="Aptos" w:cs="Aptos"/>
          <w:b/>
          <w:bCs/>
          <w:lang w:eastAsia="en-US"/>
        </w:rPr>
        <w:t>Položka č. 2: 8 ks síťový transceiver ke switchům – k položce č. 1</w:t>
      </w:r>
    </w:p>
    <w:p w14:paraId="593BD8D9" w14:textId="77777777" w:rsidR="00E63857" w:rsidRPr="00E63857" w:rsidRDefault="00E63857" w:rsidP="00E63857">
      <w:pPr>
        <w:spacing w:line="279" w:lineRule="auto"/>
        <w:rPr>
          <w:rFonts w:ascii="Aptos" w:eastAsia="Aptos" w:hAnsi="Aptos" w:cs="Arial"/>
          <w:sz w:val="24"/>
          <w:szCs w:val="24"/>
          <w:lang w:eastAsia="en-US"/>
        </w:rPr>
      </w:pPr>
      <w:r w:rsidRPr="00E63857">
        <w:rPr>
          <w:rFonts w:ascii="Aptos" w:eastAsia="Aptos" w:hAnsi="Aptos" w:cs="Aptos"/>
          <w:b/>
          <w:bCs/>
          <w:lang w:eastAsia="en-US"/>
        </w:rPr>
        <w:t xml:space="preserve"> </w:t>
      </w:r>
    </w:p>
    <w:tbl>
      <w:tblPr>
        <w:tblW w:w="8996" w:type="dxa"/>
        <w:tblLook w:val="04A0" w:firstRow="1" w:lastRow="0" w:firstColumn="1" w:lastColumn="0" w:noHBand="0" w:noVBand="1"/>
      </w:tblPr>
      <w:tblGrid>
        <w:gridCol w:w="7616"/>
        <w:gridCol w:w="1380"/>
      </w:tblGrid>
      <w:tr w:rsidR="00E63857" w:rsidRPr="00E63857" w14:paraId="5B2A5DF7" w14:textId="77777777" w:rsidTr="00E63857">
        <w:trPr>
          <w:trHeight w:val="285"/>
        </w:trPr>
        <w:tc>
          <w:tcPr>
            <w:tcW w:w="7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67FAF4CA" w14:textId="77777777" w:rsidR="00E63857" w:rsidRPr="00E63857" w:rsidRDefault="00E63857" w:rsidP="00E63857">
            <w:pPr>
              <w:rPr>
                <w:rFonts w:ascii="Calibri" w:eastAsia="Calibri" w:hAnsi="Calibri" w:cs="Calibri"/>
                <w:b/>
                <w:bCs/>
                <w:color w:val="000000"/>
                <w:u w:val="single"/>
                <w:lang w:eastAsia="en-US"/>
              </w:rPr>
            </w:pPr>
            <w:r w:rsidRPr="00E63857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Typ příslušenství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218DE22B" w14:textId="77777777" w:rsidR="00E63857" w:rsidRPr="00E63857" w:rsidRDefault="00E63857" w:rsidP="00E63857">
            <w:pPr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Minimální požadovaný počet</w:t>
            </w:r>
          </w:p>
        </w:tc>
      </w:tr>
      <w:tr w:rsidR="00E63857" w:rsidRPr="00E63857" w14:paraId="1BB812A1" w14:textId="77777777" w:rsidTr="00E63857">
        <w:trPr>
          <w:trHeight w:val="285"/>
        </w:trPr>
        <w:tc>
          <w:tcPr>
            <w:tcW w:w="7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0363BE7A" w14:textId="77777777" w:rsidR="00E63857" w:rsidRPr="00E63857" w:rsidRDefault="00E63857" w:rsidP="00E63857">
            <w:pPr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Calibri" w:eastAsia="Calibri" w:hAnsi="Calibri" w:cs="Calibri"/>
                <w:color w:val="000000"/>
                <w:lang w:eastAsia="en-US"/>
              </w:rPr>
              <w:t>QSFP28 transceiver 100GBASE-LR4, SM, 10km, 3,3V ,LC duplex,, DMI opt. převodník 100% kompatibilní se zařízením, připouští se OEM verze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248EF775" w14:textId="77777777" w:rsidR="00E63857" w:rsidRPr="00E63857" w:rsidRDefault="00E63857" w:rsidP="00E63857">
            <w:pPr>
              <w:jc w:val="center"/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Calibri" w:eastAsia="Calibri" w:hAnsi="Calibri" w:cs="Calibri"/>
                <w:color w:val="000000"/>
                <w:lang w:eastAsia="en-US"/>
              </w:rPr>
              <w:t>8</w:t>
            </w:r>
          </w:p>
        </w:tc>
      </w:tr>
    </w:tbl>
    <w:p w14:paraId="7FAF7D21" w14:textId="77777777" w:rsidR="00E63857" w:rsidRPr="00E63857" w:rsidRDefault="00E63857" w:rsidP="00E63857">
      <w:pPr>
        <w:rPr>
          <w:rFonts w:ascii="Aptos" w:eastAsia="Aptos" w:hAnsi="Aptos" w:cs="Arial"/>
          <w:sz w:val="24"/>
          <w:szCs w:val="24"/>
          <w:lang w:eastAsia="en-US"/>
        </w:rPr>
      </w:pPr>
      <w:r w:rsidRPr="00E63857">
        <w:rPr>
          <w:rFonts w:ascii="Calibri" w:eastAsia="Calibri" w:hAnsi="Calibri" w:cs="Calibri"/>
          <w:i/>
          <w:iCs/>
          <w:color w:val="000000"/>
          <w:lang w:eastAsia="en-US"/>
        </w:rPr>
        <w:t xml:space="preserve"> </w:t>
      </w:r>
      <w:r w:rsidRPr="00E63857">
        <w:rPr>
          <w:rFonts w:ascii="Aptos" w:eastAsia="Aptos" w:hAnsi="Aptos" w:cs="Aptos"/>
          <w:lang w:eastAsia="en-US"/>
        </w:rPr>
        <w:t xml:space="preserve"> </w:t>
      </w:r>
    </w:p>
    <w:p w14:paraId="0A60689B" w14:textId="77777777" w:rsidR="00E63857" w:rsidRPr="00E63857" w:rsidRDefault="00E63857" w:rsidP="00E63857">
      <w:pPr>
        <w:spacing w:line="279" w:lineRule="auto"/>
        <w:jc w:val="both"/>
        <w:rPr>
          <w:rFonts w:ascii="Aptos" w:eastAsia="Aptos" w:hAnsi="Aptos" w:cs="Aptos"/>
          <w:b/>
          <w:bCs/>
          <w:lang w:eastAsia="en-US"/>
        </w:rPr>
      </w:pPr>
      <w:r w:rsidRPr="00E63857">
        <w:rPr>
          <w:rFonts w:ascii="Aptos" w:eastAsia="Aptos" w:hAnsi="Aptos" w:cs="Aptos"/>
          <w:lang w:eastAsia="en-US"/>
        </w:rPr>
        <w:t xml:space="preserve"> </w:t>
      </w:r>
      <w:r w:rsidRPr="00E63857">
        <w:rPr>
          <w:rFonts w:ascii="Aptos" w:eastAsia="Aptos" w:hAnsi="Aptos" w:cs="Aptos"/>
          <w:b/>
          <w:bCs/>
          <w:lang w:eastAsia="en-US"/>
        </w:rPr>
        <w:t>Položka č. 3: 4ks propojovací DAC kabel ke switchům – k položce č. 1</w:t>
      </w:r>
    </w:p>
    <w:p w14:paraId="2F99C179" w14:textId="77777777" w:rsidR="00E63857" w:rsidRPr="00E63857" w:rsidRDefault="00E63857" w:rsidP="00E63857">
      <w:pPr>
        <w:spacing w:line="279" w:lineRule="auto"/>
        <w:jc w:val="both"/>
        <w:rPr>
          <w:rFonts w:ascii="Aptos" w:eastAsia="Aptos" w:hAnsi="Aptos" w:cs="Arial"/>
          <w:sz w:val="24"/>
          <w:szCs w:val="24"/>
          <w:lang w:eastAsia="en-US"/>
        </w:rPr>
      </w:pPr>
      <w:r w:rsidRPr="00E63857">
        <w:rPr>
          <w:rFonts w:ascii="Aptos" w:eastAsia="Aptos" w:hAnsi="Aptos" w:cs="Aptos"/>
          <w:lang w:eastAsia="en-US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16"/>
        <w:gridCol w:w="1380"/>
      </w:tblGrid>
      <w:tr w:rsidR="00E63857" w:rsidRPr="00E63857" w14:paraId="1D5EB029" w14:textId="77777777" w:rsidTr="00E63857">
        <w:trPr>
          <w:trHeight w:val="285"/>
        </w:trPr>
        <w:tc>
          <w:tcPr>
            <w:tcW w:w="7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38A01D84" w14:textId="77777777" w:rsidR="00E63857" w:rsidRPr="00E63857" w:rsidRDefault="00E63857" w:rsidP="00E63857">
            <w:pPr>
              <w:rPr>
                <w:rFonts w:ascii="Calibri" w:eastAsia="Calibri" w:hAnsi="Calibri" w:cs="Calibri"/>
                <w:b/>
                <w:bCs/>
                <w:color w:val="000000"/>
                <w:u w:val="single"/>
                <w:lang w:eastAsia="en-US"/>
              </w:rPr>
            </w:pPr>
            <w:r w:rsidRPr="00E63857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Typ příslušenství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719933A2" w14:textId="77777777" w:rsidR="00E63857" w:rsidRPr="00E63857" w:rsidRDefault="00E63857" w:rsidP="00E63857">
            <w:pPr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Minimální požadovaný počet</w:t>
            </w:r>
          </w:p>
        </w:tc>
      </w:tr>
      <w:tr w:rsidR="00E63857" w:rsidRPr="00E63857" w14:paraId="539B30F8" w14:textId="77777777" w:rsidTr="00E63857">
        <w:trPr>
          <w:trHeight w:val="285"/>
        </w:trPr>
        <w:tc>
          <w:tcPr>
            <w:tcW w:w="7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5498D45C" w14:textId="77777777" w:rsidR="00E63857" w:rsidRPr="00E63857" w:rsidRDefault="00E63857" w:rsidP="00E63857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E63857">
              <w:rPr>
                <w:rFonts w:ascii="Calibri" w:eastAsia="Calibri" w:hAnsi="Calibri" w:cs="Calibri"/>
                <w:color w:val="000000"/>
                <w:lang w:eastAsia="en-US"/>
              </w:rPr>
              <w:t>100G QSFP28 to QSFP28 1m DAC Cable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0617A17F" w14:textId="77777777" w:rsidR="00E63857" w:rsidRPr="00E63857" w:rsidRDefault="00E63857" w:rsidP="00E63857">
            <w:pPr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E63857">
              <w:rPr>
                <w:rFonts w:ascii="Calibri" w:eastAsia="Calibri" w:hAnsi="Calibri" w:cs="Calibri"/>
                <w:color w:val="000000"/>
                <w:lang w:eastAsia="en-US"/>
              </w:rPr>
              <w:t>4</w:t>
            </w:r>
          </w:p>
        </w:tc>
      </w:tr>
    </w:tbl>
    <w:p w14:paraId="03B27DE7" w14:textId="77777777" w:rsidR="00E63857" w:rsidRPr="00E63857" w:rsidRDefault="00E63857" w:rsidP="00E63857">
      <w:pPr>
        <w:spacing w:line="279" w:lineRule="auto"/>
        <w:jc w:val="both"/>
        <w:rPr>
          <w:rFonts w:ascii="Aptos" w:eastAsia="Aptos" w:hAnsi="Aptos" w:cs="Aptos"/>
          <w:b/>
          <w:bCs/>
          <w:lang w:eastAsia="en-US"/>
        </w:rPr>
      </w:pPr>
    </w:p>
    <w:p w14:paraId="7194B84B" w14:textId="77777777" w:rsidR="00E63857" w:rsidRPr="00E63857" w:rsidRDefault="00E63857" w:rsidP="00E63857">
      <w:pPr>
        <w:spacing w:line="279" w:lineRule="auto"/>
        <w:jc w:val="both"/>
        <w:rPr>
          <w:rFonts w:ascii="Aptos" w:eastAsia="Aptos" w:hAnsi="Aptos" w:cs="Aptos"/>
          <w:b/>
          <w:bCs/>
          <w:lang w:eastAsia="en-US"/>
        </w:rPr>
      </w:pPr>
      <w:r w:rsidRPr="00E63857">
        <w:rPr>
          <w:rFonts w:ascii="Aptos" w:eastAsia="Aptos" w:hAnsi="Aptos" w:cs="Aptos"/>
          <w:b/>
          <w:bCs/>
          <w:lang w:eastAsia="en-US"/>
        </w:rPr>
        <w:t>Položka č. 4: 4ks rack KIT ke switchům – k položce č. 1</w:t>
      </w:r>
    </w:p>
    <w:p w14:paraId="716F09FB" w14:textId="77777777" w:rsidR="00E63857" w:rsidRPr="00E63857" w:rsidRDefault="00E63857" w:rsidP="00E63857">
      <w:pPr>
        <w:spacing w:line="279" w:lineRule="auto"/>
        <w:jc w:val="both"/>
        <w:rPr>
          <w:rFonts w:ascii="Aptos" w:eastAsia="Aptos" w:hAnsi="Aptos" w:cs="Aptos"/>
          <w:b/>
          <w:bCs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16"/>
        <w:gridCol w:w="1380"/>
      </w:tblGrid>
      <w:tr w:rsidR="00E63857" w:rsidRPr="00E63857" w14:paraId="4BD74379" w14:textId="77777777" w:rsidTr="00E63857">
        <w:trPr>
          <w:trHeight w:val="285"/>
        </w:trPr>
        <w:tc>
          <w:tcPr>
            <w:tcW w:w="7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BDEE263" w14:textId="77777777" w:rsidR="00E63857" w:rsidRPr="00E63857" w:rsidRDefault="00E63857" w:rsidP="00E63857">
            <w:pPr>
              <w:rPr>
                <w:rFonts w:ascii="Calibri" w:eastAsia="Calibri" w:hAnsi="Calibri" w:cs="Calibri"/>
                <w:b/>
                <w:bCs/>
                <w:color w:val="000000"/>
                <w:u w:val="single"/>
                <w:lang w:eastAsia="en-US"/>
              </w:rPr>
            </w:pPr>
            <w:r w:rsidRPr="00E63857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Typ příslušenství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09FC1B6" w14:textId="77777777" w:rsidR="00E63857" w:rsidRPr="00E63857" w:rsidRDefault="00E63857" w:rsidP="00E63857">
            <w:pPr>
              <w:rPr>
                <w:rFonts w:ascii="Aptos" w:eastAsia="Aptos" w:hAnsi="Aptos" w:cs="Arial"/>
                <w:sz w:val="24"/>
                <w:szCs w:val="24"/>
                <w:lang w:eastAsia="en-US"/>
              </w:rPr>
            </w:pPr>
            <w:r w:rsidRPr="00E63857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Minimální požadovaný počet</w:t>
            </w:r>
          </w:p>
        </w:tc>
      </w:tr>
      <w:tr w:rsidR="00E63857" w:rsidRPr="00E63857" w14:paraId="51DF1606" w14:textId="77777777" w:rsidTr="00E63857">
        <w:trPr>
          <w:trHeight w:val="285"/>
        </w:trPr>
        <w:tc>
          <w:tcPr>
            <w:tcW w:w="7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1C44696D" w14:textId="77777777" w:rsidR="00E63857" w:rsidRPr="00E63857" w:rsidRDefault="00E63857" w:rsidP="00E63857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E63857">
              <w:rPr>
                <w:rFonts w:ascii="Calibri" w:eastAsia="Calibri" w:hAnsi="Calibri" w:cs="Calibri"/>
                <w:color w:val="000000"/>
                <w:lang w:eastAsia="en-US"/>
              </w:rPr>
              <w:t xml:space="preserve"> 2-post Rack Kit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078D46BB" w14:textId="77777777" w:rsidR="00E63857" w:rsidRPr="00E63857" w:rsidRDefault="00E63857" w:rsidP="00E63857">
            <w:pPr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E63857">
              <w:rPr>
                <w:rFonts w:ascii="Calibri" w:eastAsia="Calibri" w:hAnsi="Calibri" w:cs="Calibri"/>
                <w:color w:val="000000"/>
                <w:lang w:eastAsia="en-US"/>
              </w:rPr>
              <w:t>4</w:t>
            </w:r>
          </w:p>
        </w:tc>
      </w:tr>
    </w:tbl>
    <w:p w14:paraId="765CD6D1" w14:textId="77777777" w:rsidR="00E63857" w:rsidRPr="00E63857" w:rsidRDefault="00E63857" w:rsidP="00E63857">
      <w:pPr>
        <w:spacing w:line="279" w:lineRule="auto"/>
        <w:jc w:val="both"/>
        <w:rPr>
          <w:rFonts w:ascii="Aptos" w:eastAsia="Aptos" w:hAnsi="Aptos" w:cs="Aptos"/>
          <w:b/>
          <w:bCs/>
          <w:lang w:eastAsia="en-US"/>
        </w:rPr>
      </w:pPr>
    </w:p>
    <w:p w14:paraId="62AA0CAE" w14:textId="77777777" w:rsidR="00E63857" w:rsidRPr="00E63857" w:rsidRDefault="00E63857" w:rsidP="00E63857">
      <w:pPr>
        <w:jc w:val="both"/>
        <w:rPr>
          <w:rFonts w:ascii="Aptos" w:eastAsia="Aptos" w:hAnsi="Aptos" w:cs="Arial"/>
          <w:sz w:val="24"/>
          <w:szCs w:val="24"/>
          <w:lang w:eastAsia="en-US"/>
        </w:rPr>
      </w:pPr>
      <w:r w:rsidRPr="00E63857">
        <w:rPr>
          <w:rFonts w:ascii="Calibri" w:eastAsia="Calibri" w:hAnsi="Calibri" w:cs="Calibri"/>
          <w:b/>
          <w:bCs/>
          <w:color w:val="000000"/>
          <w:u w:val="single"/>
          <w:lang w:eastAsia="en-US"/>
        </w:rPr>
        <w:t>Veškeré dodávané příslušenství musí být plně kompatibilní s dodávanými switchi.</w:t>
      </w:r>
    </w:p>
    <w:p w14:paraId="30B559AF" w14:textId="77777777" w:rsidR="00E63857" w:rsidRPr="00E63857" w:rsidRDefault="00E63857" w:rsidP="00E63857">
      <w:pPr>
        <w:jc w:val="both"/>
        <w:rPr>
          <w:rFonts w:ascii="Aptos" w:eastAsia="Aptos" w:hAnsi="Aptos" w:cs="Arial"/>
          <w:sz w:val="24"/>
          <w:szCs w:val="24"/>
          <w:lang w:eastAsia="en-US"/>
        </w:rPr>
      </w:pPr>
      <w:r w:rsidRPr="00E63857">
        <w:rPr>
          <w:rFonts w:ascii="Calibri" w:eastAsia="Calibri" w:hAnsi="Calibri" w:cs="Calibri"/>
          <w:b/>
          <w:bCs/>
          <w:i/>
          <w:iCs/>
          <w:color w:val="000000"/>
          <w:sz w:val="22"/>
          <w:szCs w:val="22"/>
          <w:lang w:eastAsia="en-US"/>
        </w:rPr>
        <w:t xml:space="preserve"> </w:t>
      </w:r>
    </w:p>
    <w:p w14:paraId="383E6CAF" w14:textId="77777777" w:rsidR="00E63857" w:rsidRPr="00E63857" w:rsidRDefault="00E63857" w:rsidP="00E63857">
      <w:pPr>
        <w:jc w:val="both"/>
        <w:rPr>
          <w:rFonts w:ascii="Aptos" w:eastAsia="Aptos" w:hAnsi="Aptos" w:cs="Arial"/>
          <w:sz w:val="24"/>
          <w:szCs w:val="24"/>
          <w:lang w:eastAsia="en-US"/>
        </w:rPr>
      </w:pPr>
      <w:r w:rsidRPr="00E63857">
        <w:rPr>
          <w:rFonts w:ascii="Calibri" w:eastAsia="Calibri" w:hAnsi="Calibri" w:cs="Calibri"/>
          <w:b/>
          <w:bCs/>
          <w:i/>
          <w:iCs/>
          <w:color w:val="000000"/>
          <w:sz w:val="22"/>
          <w:szCs w:val="22"/>
          <w:lang w:eastAsia="en-US"/>
        </w:rPr>
        <w:t xml:space="preserve"> </w:t>
      </w:r>
    </w:p>
    <w:p w14:paraId="4DDC54CF" w14:textId="77777777" w:rsidR="00E63857" w:rsidRPr="00E63857" w:rsidRDefault="00E63857" w:rsidP="00E63857">
      <w:pPr>
        <w:jc w:val="both"/>
        <w:rPr>
          <w:rFonts w:ascii="Aptos" w:eastAsia="Aptos" w:hAnsi="Aptos" w:cs="Arial"/>
          <w:sz w:val="24"/>
          <w:szCs w:val="24"/>
          <w:lang w:eastAsia="en-US"/>
        </w:rPr>
      </w:pPr>
      <w:r w:rsidRPr="00E63857">
        <w:rPr>
          <w:rFonts w:ascii="Calibri" w:eastAsia="Calibri" w:hAnsi="Calibri" w:cs="Calibri"/>
          <w:b/>
          <w:bCs/>
          <w:lang w:eastAsia="en-US"/>
        </w:rPr>
        <w:t>Ostatní podmínky</w:t>
      </w:r>
      <w:r w:rsidRPr="00E63857">
        <w:rPr>
          <w:rFonts w:ascii="Calibri" w:eastAsia="Calibri" w:hAnsi="Calibri" w:cs="Calibri"/>
          <w:b/>
          <w:bCs/>
          <w:lang w:val="en-US" w:eastAsia="en-US"/>
        </w:rPr>
        <w:t>:</w:t>
      </w:r>
    </w:p>
    <w:p w14:paraId="18AE5DDF" w14:textId="77777777" w:rsidR="00E63857" w:rsidRPr="00E63857" w:rsidRDefault="00E63857" w:rsidP="00E63857">
      <w:pPr>
        <w:numPr>
          <w:ilvl w:val="0"/>
          <w:numId w:val="14"/>
        </w:numPr>
        <w:spacing w:after="16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E63857">
        <w:rPr>
          <w:rFonts w:ascii="Calibri" w:eastAsia="Calibri" w:hAnsi="Calibri" w:cs="Calibri"/>
          <w:lang w:eastAsia="en-US"/>
        </w:rPr>
        <w:t>Hardware musí být dodán zcela nový, plně funkční a kompletní (včetně příslušenství), a musí být určen pro trh v rámci EU.</w:t>
      </w:r>
    </w:p>
    <w:p w14:paraId="7453F13A" w14:textId="77777777" w:rsidR="00E63857" w:rsidRPr="00E63857" w:rsidRDefault="00E63857" w:rsidP="00E63857">
      <w:pPr>
        <w:numPr>
          <w:ilvl w:val="0"/>
          <w:numId w:val="14"/>
        </w:numPr>
        <w:spacing w:after="16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E63857">
        <w:rPr>
          <w:rFonts w:ascii="Calibri" w:eastAsia="Calibri" w:hAnsi="Calibri" w:cs="Calibri"/>
          <w:lang w:eastAsia="en-US"/>
        </w:rPr>
        <w:t>Dodávka musí obsahovat veškeré potřebné licence pro splnění požadovaných vlastností a parametrů.</w:t>
      </w:r>
    </w:p>
    <w:p w14:paraId="535A2745" w14:textId="77777777" w:rsidR="00E63857" w:rsidRPr="00E63857" w:rsidRDefault="00E63857" w:rsidP="00E63857">
      <w:pPr>
        <w:numPr>
          <w:ilvl w:val="0"/>
          <w:numId w:val="14"/>
        </w:numPr>
        <w:spacing w:after="16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E63857">
        <w:rPr>
          <w:rFonts w:ascii="Calibri" w:eastAsia="Calibri" w:hAnsi="Calibri" w:cs="Calibri"/>
          <w:lang w:eastAsia="en-US"/>
        </w:rPr>
        <w:t>Je požadována servisní podpora na software a hardware s odesláním náhradních dílů NBD (následující pracovní den) po oznámení poruchy v minimální délce 60 měsíců. Tato servisní podpora musí být garantovaná výrobcem zařízení, včetně registrace servisní podpory u výrobce pro OU.</w:t>
      </w:r>
    </w:p>
    <w:p w14:paraId="44A15CCE" w14:textId="77777777" w:rsidR="00E63857" w:rsidRPr="00E63857" w:rsidRDefault="00E63857" w:rsidP="00E63857">
      <w:pPr>
        <w:numPr>
          <w:ilvl w:val="0"/>
          <w:numId w:val="14"/>
        </w:numPr>
        <w:spacing w:after="16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E63857">
        <w:rPr>
          <w:rFonts w:ascii="Calibri" w:eastAsia="Calibri" w:hAnsi="Calibri" w:cs="Calibri"/>
          <w:lang w:eastAsia="en-US"/>
        </w:rPr>
        <w:t>Jsou požadovány software aktualizace (nové verze programového vybavení) v minimální délce 60 měsíců.</w:t>
      </w:r>
    </w:p>
    <w:p w14:paraId="7D722366" w14:textId="77777777" w:rsidR="00E63857" w:rsidRPr="00E63857" w:rsidRDefault="00E63857" w:rsidP="00E63857">
      <w:pPr>
        <w:numPr>
          <w:ilvl w:val="0"/>
          <w:numId w:val="14"/>
        </w:numPr>
        <w:spacing w:after="160" w:line="276" w:lineRule="auto"/>
        <w:contextualSpacing/>
        <w:jc w:val="both"/>
        <w:rPr>
          <w:rFonts w:ascii="Calibri" w:eastAsia="Calibri" w:hAnsi="Calibri" w:cs="Calibri"/>
          <w:lang w:val="pt-BR" w:eastAsia="en-US"/>
        </w:rPr>
      </w:pPr>
      <w:r w:rsidRPr="00E63857">
        <w:rPr>
          <w:rFonts w:ascii="Calibri" w:eastAsia="Calibri" w:hAnsi="Calibri" w:cs="Calibri"/>
          <w:lang w:val="pt-BR" w:eastAsia="en-US"/>
        </w:rPr>
        <w:t>Je požadovaná podpora výrobce po dobu 60 měsíců.</w:t>
      </w:r>
    </w:p>
    <w:p w14:paraId="1EC4F4B8" w14:textId="77777777" w:rsidR="00E63857" w:rsidRPr="00E63857" w:rsidRDefault="00E63857" w:rsidP="00E63857">
      <w:pPr>
        <w:spacing w:line="279" w:lineRule="auto"/>
        <w:jc w:val="both"/>
        <w:rPr>
          <w:rFonts w:ascii="Aptos" w:eastAsia="Aptos" w:hAnsi="Aptos" w:cs="Aptos"/>
          <w:lang w:eastAsia="en-US"/>
        </w:rPr>
      </w:pPr>
    </w:p>
    <w:p w14:paraId="04ED09A5" w14:textId="77777777" w:rsidR="00E63857" w:rsidRPr="00E63857" w:rsidRDefault="00E63857" w:rsidP="00E63857">
      <w:pPr>
        <w:spacing w:line="279" w:lineRule="auto"/>
        <w:jc w:val="both"/>
        <w:rPr>
          <w:rFonts w:ascii="Aptos" w:eastAsia="Aptos" w:hAnsi="Aptos" w:cs="Aptos"/>
          <w:b/>
          <w:bCs/>
          <w:lang w:eastAsia="en-US"/>
        </w:rPr>
      </w:pPr>
    </w:p>
    <w:p w14:paraId="1497A768" w14:textId="77777777" w:rsidR="00E63857" w:rsidRPr="00E63857" w:rsidRDefault="00E63857" w:rsidP="00E63857">
      <w:pPr>
        <w:spacing w:line="279" w:lineRule="auto"/>
        <w:jc w:val="both"/>
        <w:rPr>
          <w:rFonts w:ascii="Aptos" w:eastAsia="Aptos" w:hAnsi="Aptos" w:cs="Aptos"/>
          <w:lang w:eastAsia="en-US"/>
        </w:rPr>
      </w:pPr>
    </w:p>
    <w:p w14:paraId="18FDF78E" w14:textId="77777777" w:rsidR="00E63857" w:rsidRPr="00E63857" w:rsidRDefault="00E63857" w:rsidP="00E63857">
      <w:pPr>
        <w:spacing w:line="279" w:lineRule="auto"/>
        <w:jc w:val="both"/>
        <w:rPr>
          <w:rFonts w:ascii="Aptos" w:eastAsia="Aptos" w:hAnsi="Aptos" w:cs="Arial"/>
          <w:sz w:val="24"/>
          <w:szCs w:val="24"/>
          <w:lang w:eastAsia="en-US"/>
        </w:rPr>
      </w:pPr>
      <w:r w:rsidRPr="00E63857">
        <w:rPr>
          <w:rFonts w:ascii="Aptos" w:eastAsia="Aptos" w:hAnsi="Aptos" w:cs="Aptos"/>
          <w:lang w:eastAsia="en-US"/>
        </w:rPr>
        <w:t xml:space="preserve"> </w:t>
      </w:r>
    </w:p>
    <w:p w14:paraId="620ED3F5" w14:textId="77777777" w:rsidR="00E63857" w:rsidRPr="00E63857" w:rsidRDefault="00E63857" w:rsidP="00E63857">
      <w:pPr>
        <w:spacing w:line="279" w:lineRule="auto"/>
        <w:jc w:val="both"/>
        <w:rPr>
          <w:rFonts w:ascii="Aptos" w:eastAsia="Aptos" w:hAnsi="Aptos" w:cs="Arial"/>
          <w:sz w:val="24"/>
          <w:szCs w:val="24"/>
          <w:lang w:eastAsia="en-US"/>
        </w:rPr>
      </w:pPr>
      <w:r w:rsidRPr="00E63857">
        <w:rPr>
          <w:rFonts w:ascii="Aptos" w:eastAsia="Aptos" w:hAnsi="Aptos" w:cs="Aptos"/>
          <w:lang w:eastAsia="en-US"/>
        </w:rPr>
        <w:t xml:space="preserve"> </w:t>
      </w:r>
    </w:p>
    <w:p w14:paraId="6DE641E1" w14:textId="77777777" w:rsidR="00E63857" w:rsidRPr="00E63857" w:rsidRDefault="00E63857" w:rsidP="00E63857">
      <w:pPr>
        <w:spacing w:line="279" w:lineRule="auto"/>
        <w:jc w:val="both"/>
        <w:rPr>
          <w:rFonts w:ascii="Aptos" w:eastAsia="Aptos" w:hAnsi="Aptos" w:cs="Arial"/>
          <w:sz w:val="24"/>
          <w:szCs w:val="24"/>
          <w:lang w:eastAsia="en-US"/>
        </w:rPr>
      </w:pPr>
      <w:r w:rsidRPr="00E63857">
        <w:rPr>
          <w:rFonts w:ascii="Aptos" w:eastAsia="Aptos" w:hAnsi="Aptos" w:cs="Aptos"/>
          <w:lang w:eastAsia="en-US"/>
        </w:rPr>
        <w:t xml:space="preserve"> </w:t>
      </w:r>
    </w:p>
    <w:p w14:paraId="357A59D0" w14:textId="77777777" w:rsidR="00E63857" w:rsidRPr="00E63857" w:rsidRDefault="00E63857" w:rsidP="00E63857">
      <w:pPr>
        <w:spacing w:line="279" w:lineRule="auto"/>
        <w:jc w:val="both"/>
        <w:rPr>
          <w:rFonts w:ascii="Aptos" w:eastAsia="Aptos" w:hAnsi="Aptos" w:cs="Arial"/>
          <w:sz w:val="24"/>
          <w:szCs w:val="24"/>
          <w:lang w:eastAsia="en-US"/>
        </w:rPr>
      </w:pPr>
      <w:r w:rsidRPr="00E63857">
        <w:rPr>
          <w:rFonts w:ascii="Aptos" w:eastAsia="Aptos" w:hAnsi="Aptos" w:cs="Aptos"/>
          <w:lang w:eastAsia="en-US"/>
        </w:rPr>
        <w:t xml:space="preserve"> </w:t>
      </w:r>
    </w:p>
    <w:p w14:paraId="31D44AD1" w14:textId="77777777" w:rsidR="00E63857" w:rsidRPr="00E63857" w:rsidRDefault="00E63857" w:rsidP="00E63857">
      <w:pPr>
        <w:spacing w:line="279" w:lineRule="auto"/>
        <w:jc w:val="both"/>
        <w:rPr>
          <w:rFonts w:ascii="Aptos" w:eastAsia="Aptos" w:hAnsi="Aptos" w:cs="Arial"/>
          <w:sz w:val="24"/>
          <w:szCs w:val="24"/>
          <w:lang w:eastAsia="en-US"/>
        </w:rPr>
      </w:pPr>
      <w:r w:rsidRPr="00E63857">
        <w:rPr>
          <w:rFonts w:ascii="Aptos" w:eastAsia="Aptos" w:hAnsi="Aptos" w:cs="Aptos"/>
          <w:lang w:eastAsia="en-US"/>
        </w:rPr>
        <w:t xml:space="preserve"> </w:t>
      </w:r>
    </w:p>
    <w:p w14:paraId="38470DFE" w14:textId="77777777" w:rsidR="00E63857" w:rsidRPr="00E63857" w:rsidRDefault="00E63857" w:rsidP="00E63857">
      <w:pPr>
        <w:spacing w:line="279" w:lineRule="auto"/>
        <w:jc w:val="both"/>
        <w:rPr>
          <w:rFonts w:ascii="Aptos" w:eastAsia="Aptos" w:hAnsi="Aptos" w:cs="Arial"/>
          <w:sz w:val="24"/>
          <w:szCs w:val="24"/>
          <w:lang w:eastAsia="en-US"/>
        </w:rPr>
      </w:pPr>
      <w:r w:rsidRPr="00E63857">
        <w:rPr>
          <w:rFonts w:ascii="Aptos" w:eastAsia="Aptos" w:hAnsi="Aptos" w:cs="Aptos"/>
          <w:lang w:eastAsia="en-US"/>
        </w:rPr>
        <w:t xml:space="preserve"> </w:t>
      </w:r>
    </w:p>
    <w:p w14:paraId="18F0897D" w14:textId="77777777" w:rsidR="00E63857" w:rsidRPr="00E63857" w:rsidRDefault="00E63857" w:rsidP="00E63857">
      <w:pPr>
        <w:spacing w:line="279" w:lineRule="auto"/>
        <w:jc w:val="both"/>
        <w:rPr>
          <w:rFonts w:ascii="Aptos" w:eastAsia="Aptos" w:hAnsi="Aptos" w:cs="Arial"/>
          <w:sz w:val="24"/>
          <w:szCs w:val="24"/>
          <w:lang w:eastAsia="en-US"/>
        </w:rPr>
      </w:pPr>
      <w:r w:rsidRPr="00E63857">
        <w:rPr>
          <w:rFonts w:ascii="Aptos" w:eastAsia="Aptos" w:hAnsi="Aptos" w:cs="Aptos"/>
          <w:lang w:eastAsia="en-US"/>
        </w:rPr>
        <w:t xml:space="preserve"> </w:t>
      </w:r>
    </w:p>
    <w:p w14:paraId="5ED74D6F" w14:textId="77777777" w:rsidR="00E63857" w:rsidRPr="00E63857" w:rsidRDefault="00E63857" w:rsidP="00E63857">
      <w:pPr>
        <w:spacing w:line="279" w:lineRule="auto"/>
        <w:jc w:val="both"/>
        <w:rPr>
          <w:rFonts w:ascii="Aptos" w:eastAsia="Aptos" w:hAnsi="Aptos" w:cs="Arial"/>
          <w:sz w:val="24"/>
          <w:szCs w:val="24"/>
          <w:lang w:eastAsia="en-US"/>
        </w:rPr>
      </w:pPr>
      <w:r w:rsidRPr="00E63857">
        <w:rPr>
          <w:rFonts w:ascii="Aptos" w:eastAsia="Aptos" w:hAnsi="Aptos" w:cs="Aptos"/>
          <w:lang w:eastAsia="en-US"/>
        </w:rPr>
        <w:t xml:space="preserve"> </w:t>
      </w:r>
    </w:p>
    <w:p w14:paraId="04C2910A" w14:textId="77777777" w:rsidR="00E63857" w:rsidRPr="00E63857" w:rsidRDefault="00E63857" w:rsidP="00E63857">
      <w:pPr>
        <w:spacing w:line="279" w:lineRule="auto"/>
        <w:jc w:val="both"/>
        <w:rPr>
          <w:rFonts w:ascii="Aptos" w:eastAsia="Aptos" w:hAnsi="Aptos" w:cs="Arial"/>
          <w:sz w:val="24"/>
          <w:szCs w:val="24"/>
          <w:lang w:eastAsia="en-US"/>
        </w:rPr>
      </w:pPr>
      <w:r w:rsidRPr="00E63857">
        <w:rPr>
          <w:rFonts w:ascii="Aptos" w:eastAsia="Aptos" w:hAnsi="Aptos" w:cs="Aptos"/>
          <w:lang w:eastAsia="en-US"/>
        </w:rPr>
        <w:t xml:space="preserve"> </w:t>
      </w:r>
    </w:p>
    <w:p w14:paraId="3742EDD2" w14:textId="77777777" w:rsidR="00E63857" w:rsidRPr="00E63857" w:rsidRDefault="00E63857" w:rsidP="00E63857">
      <w:pPr>
        <w:spacing w:line="279" w:lineRule="auto"/>
        <w:jc w:val="both"/>
        <w:rPr>
          <w:rFonts w:ascii="Aptos" w:eastAsia="Aptos" w:hAnsi="Aptos" w:cs="Arial"/>
          <w:sz w:val="24"/>
          <w:szCs w:val="24"/>
          <w:lang w:eastAsia="en-US"/>
        </w:rPr>
      </w:pPr>
      <w:r w:rsidRPr="00E63857">
        <w:rPr>
          <w:rFonts w:ascii="Aptos" w:eastAsia="Aptos" w:hAnsi="Aptos" w:cs="Aptos"/>
          <w:lang w:eastAsia="en-US"/>
        </w:rPr>
        <w:t xml:space="preserve"> </w:t>
      </w:r>
    </w:p>
    <w:p w14:paraId="46B3B23D" w14:textId="77777777" w:rsidR="00E63857" w:rsidRPr="001B6881" w:rsidRDefault="00E63857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E63857" w:rsidRPr="001B6881" w:rsidSect="00236196">
      <w:headerReference w:type="default" r:id="rId10"/>
      <w:footerReference w:type="default" r:id="rId11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3E07E" w14:textId="77777777" w:rsidR="00F71A0A" w:rsidRDefault="00F71A0A">
      <w:r>
        <w:separator/>
      </w:r>
    </w:p>
  </w:endnote>
  <w:endnote w:type="continuationSeparator" w:id="0">
    <w:p w14:paraId="687EEA9B" w14:textId="77777777" w:rsidR="00F71A0A" w:rsidRDefault="00F7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CCAE0" w14:textId="77777777" w:rsidR="00F71A0A" w:rsidRDefault="00F71A0A">
      <w:r>
        <w:separator/>
      </w:r>
    </w:p>
  </w:footnote>
  <w:footnote w:type="continuationSeparator" w:id="0">
    <w:p w14:paraId="06662931" w14:textId="77777777" w:rsidR="00F71A0A" w:rsidRDefault="00F71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0C06" w14:textId="2F517C32" w:rsidR="001B6881" w:rsidRPr="001266F5" w:rsidRDefault="001B6881" w:rsidP="001B6881">
    <w:pPr>
      <w:spacing w:line="276" w:lineRule="auto"/>
      <w:jc w:val="right"/>
      <w:rPr>
        <w:rFonts w:ascii="Arial" w:hAnsi="Arial" w:cs="Arial"/>
        <w:bCs/>
        <w:sz w:val="24"/>
        <w:szCs w:val="24"/>
      </w:rPr>
    </w:pPr>
    <w:r w:rsidRPr="001266F5">
      <w:rPr>
        <w:rFonts w:ascii="Arial" w:hAnsi="Arial" w:cs="Arial"/>
        <w:bCs/>
        <w:sz w:val="24"/>
        <w:szCs w:val="24"/>
      </w:rPr>
      <w:t>Č.j. :</w:t>
    </w:r>
    <w:r w:rsidRPr="001266F5">
      <w:rPr>
        <w:bCs/>
        <w:sz w:val="24"/>
        <w:szCs w:val="24"/>
      </w:rPr>
      <w:t xml:space="preserve"> </w:t>
    </w:r>
    <w:r w:rsidR="004773F9">
      <w:rPr>
        <w:rFonts w:ascii="Arial" w:hAnsi="Arial" w:cs="Arial"/>
        <w:bCs/>
        <w:sz w:val="24"/>
        <w:szCs w:val="24"/>
      </w:rPr>
      <w:t>2026/1704</w:t>
    </w:r>
    <w:r w:rsidRPr="001266F5">
      <w:rPr>
        <w:rFonts w:ascii="Arial" w:hAnsi="Arial" w:cs="Arial"/>
        <w:bCs/>
        <w:sz w:val="24"/>
        <w:szCs w:val="24"/>
      </w:rPr>
      <w:t>/NM</w:t>
    </w:r>
  </w:p>
  <w:p w14:paraId="2BEAA86F" w14:textId="33763A96" w:rsidR="001B6881" w:rsidRPr="001266F5" w:rsidRDefault="001B6881" w:rsidP="0072322A">
    <w:pPr>
      <w:spacing w:line="276" w:lineRule="auto"/>
      <w:jc w:val="right"/>
      <w:rPr>
        <w:bCs/>
        <w:sz w:val="24"/>
        <w:szCs w:val="24"/>
      </w:rPr>
    </w:pPr>
    <w:r w:rsidRPr="001266F5">
      <w:rPr>
        <w:rFonts w:ascii="Arial" w:hAnsi="Arial" w:cs="Arial"/>
        <w:bCs/>
        <w:sz w:val="24"/>
        <w:szCs w:val="24"/>
      </w:rPr>
      <w:t>Č.sml.:</w:t>
    </w:r>
    <w:r w:rsidRPr="001266F5">
      <w:rPr>
        <w:bCs/>
        <w:sz w:val="24"/>
        <w:szCs w:val="24"/>
      </w:rPr>
      <w:t xml:space="preserve"> </w:t>
    </w:r>
    <w:r w:rsidR="004773F9">
      <w:rPr>
        <w:rFonts w:ascii="Arial" w:hAnsi="Arial" w:cs="Arial"/>
        <w:bCs/>
        <w:sz w:val="24"/>
        <w:szCs w:val="24"/>
      </w:rPr>
      <w:t>260462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591B6E7"/>
    <w:multiLevelType w:val="hybridMultilevel"/>
    <w:tmpl w:val="FFFFFFFF"/>
    <w:lvl w:ilvl="0" w:tplc="442CC250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EAEAB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488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4D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04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3E3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0C1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C4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C80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2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3"/>
  </w:num>
  <w:num w:numId="6" w16cid:durableId="1080060152">
    <w:abstractNumId w:val="2"/>
  </w:num>
  <w:num w:numId="7" w16cid:durableId="923026887">
    <w:abstractNumId w:val="11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95357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2554E"/>
    <w:rsid w:val="00031AA6"/>
    <w:rsid w:val="0003684B"/>
    <w:rsid w:val="00086964"/>
    <w:rsid w:val="00094D44"/>
    <w:rsid w:val="000A00EB"/>
    <w:rsid w:val="000B4ACC"/>
    <w:rsid w:val="000B7CB9"/>
    <w:rsid w:val="000C5A20"/>
    <w:rsid w:val="000C61F6"/>
    <w:rsid w:val="001266F5"/>
    <w:rsid w:val="00134E01"/>
    <w:rsid w:val="00135BB1"/>
    <w:rsid w:val="00171B43"/>
    <w:rsid w:val="00195BDA"/>
    <w:rsid w:val="001A2B7A"/>
    <w:rsid w:val="001B6881"/>
    <w:rsid w:val="001C586C"/>
    <w:rsid w:val="001D0730"/>
    <w:rsid w:val="001D40F1"/>
    <w:rsid w:val="001F12E5"/>
    <w:rsid w:val="002116E8"/>
    <w:rsid w:val="00236196"/>
    <w:rsid w:val="0025451D"/>
    <w:rsid w:val="00254CB7"/>
    <w:rsid w:val="00255EA7"/>
    <w:rsid w:val="00266C0C"/>
    <w:rsid w:val="0027095A"/>
    <w:rsid w:val="002759C2"/>
    <w:rsid w:val="00291328"/>
    <w:rsid w:val="002A07E8"/>
    <w:rsid w:val="002A3C3C"/>
    <w:rsid w:val="002C2379"/>
    <w:rsid w:val="002E0AFB"/>
    <w:rsid w:val="002E350C"/>
    <w:rsid w:val="002F14D0"/>
    <w:rsid w:val="002F2107"/>
    <w:rsid w:val="00315299"/>
    <w:rsid w:val="00322EF4"/>
    <w:rsid w:val="00332377"/>
    <w:rsid w:val="00337FF2"/>
    <w:rsid w:val="00342820"/>
    <w:rsid w:val="00354469"/>
    <w:rsid w:val="00363809"/>
    <w:rsid w:val="00377A24"/>
    <w:rsid w:val="00391EBA"/>
    <w:rsid w:val="003A16C2"/>
    <w:rsid w:val="003D007C"/>
    <w:rsid w:val="00410EB7"/>
    <w:rsid w:val="00414CB5"/>
    <w:rsid w:val="00436EBE"/>
    <w:rsid w:val="00440B47"/>
    <w:rsid w:val="00446BF8"/>
    <w:rsid w:val="004773F9"/>
    <w:rsid w:val="00483A50"/>
    <w:rsid w:val="004B33AB"/>
    <w:rsid w:val="004C2C7D"/>
    <w:rsid w:val="004D04A4"/>
    <w:rsid w:val="004D1D92"/>
    <w:rsid w:val="004E1DA6"/>
    <w:rsid w:val="004F107C"/>
    <w:rsid w:val="005140FB"/>
    <w:rsid w:val="00536C02"/>
    <w:rsid w:val="00553625"/>
    <w:rsid w:val="0055627C"/>
    <w:rsid w:val="00587D3E"/>
    <w:rsid w:val="005B1086"/>
    <w:rsid w:val="005B2EAB"/>
    <w:rsid w:val="005E36CA"/>
    <w:rsid w:val="005E3F58"/>
    <w:rsid w:val="0065096B"/>
    <w:rsid w:val="00653D99"/>
    <w:rsid w:val="006749B8"/>
    <w:rsid w:val="0069320A"/>
    <w:rsid w:val="006B0546"/>
    <w:rsid w:val="006B7466"/>
    <w:rsid w:val="006C302C"/>
    <w:rsid w:val="006F58B8"/>
    <w:rsid w:val="006F5B9A"/>
    <w:rsid w:val="006F6820"/>
    <w:rsid w:val="0070490D"/>
    <w:rsid w:val="00713624"/>
    <w:rsid w:val="0072322A"/>
    <w:rsid w:val="00734455"/>
    <w:rsid w:val="00734668"/>
    <w:rsid w:val="007677E5"/>
    <w:rsid w:val="007825B1"/>
    <w:rsid w:val="00784F6E"/>
    <w:rsid w:val="007B0EBB"/>
    <w:rsid w:val="007B16BA"/>
    <w:rsid w:val="007B2994"/>
    <w:rsid w:val="007C4A67"/>
    <w:rsid w:val="007E5BDA"/>
    <w:rsid w:val="00807875"/>
    <w:rsid w:val="00816BD4"/>
    <w:rsid w:val="008206C4"/>
    <w:rsid w:val="0082484E"/>
    <w:rsid w:val="008274ED"/>
    <w:rsid w:val="00831E2F"/>
    <w:rsid w:val="0084392A"/>
    <w:rsid w:val="00866BCE"/>
    <w:rsid w:val="0087702E"/>
    <w:rsid w:val="008872C1"/>
    <w:rsid w:val="008966B0"/>
    <w:rsid w:val="008A0FFE"/>
    <w:rsid w:val="008A289C"/>
    <w:rsid w:val="008B65C0"/>
    <w:rsid w:val="008D28E2"/>
    <w:rsid w:val="008E0B43"/>
    <w:rsid w:val="00911E73"/>
    <w:rsid w:val="00930F9F"/>
    <w:rsid w:val="0093262F"/>
    <w:rsid w:val="00957820"/>
    <w:rsid w:val="009933A0"/>
    <w:rsid w:val="00993D99"/>
    <w:rsid w:val="00996521"/>
    <w:rsid w:val="009A6026"/>
    <w:rsid w:val="009D118C"/>
    <w:rsid w:val="009F2B03"/>
    <w:rsid w:val="00A23393"/>
    <w:rsid w:val="00A34FC3"/>
    <w:rsid w:val="00A55667"/>
    <w:rsid w:val="00AA51BA"/>
    <w:rsid w:val="00AA55D4"/>
    <w:rsid w:val="00AA6E17"/>
    <w:rsid w:val="00AB7062"/>
    <w:rsid w:val="00AC6082"/>
    <w:rsid w:val="00AD1433"/>
    <w:rsid w:val="00AE1742"/>
    <w:rsid w:val="00AE50A2"/>
    <w:rsid w:val="00B07093"/>
    <w:rsid w:val="00B2055B"/>
    <w:rsid w:val="00B40E70"/>
    <w:rsid w:val="00B634FA"/>
    <w:rsid w:val="00B7420F"/>
    <w:rsid w:val="00B83F93"/>
    <w:rsid w:val="00B860CE"/>
    <w:rsid w:val="00BA07EA"/>
    <w:rsid w:val="00BB0184"/>
    <w:rsid w:val="00BD7B58"/>
    <w:rsid w:val="00BF114E"/>
    <w:rsid w:val="00C34B54"/>
    <w:rsid w:val="00C73BB9"/>
    <w:rsid w:val="00C80D98"/>
    <w:rsid w:val="00CB1B2A"/>
    <w:rsid w:val="00CC0185"/>
    <w:rsid w:val="00CC6DDA"/>
    <w:rsid w:val="00CE0D2D"/>
    <w:rsid w:val="00D20D2A"/>
    <w:rsid w:val="00D51A52"/>
    <w:rsid w:val="00D94416"/>
    <w:rsid w:val="00DA441E"/>
    <w:rsid w:val="00DA641E"/>
    <w:rsid w:val="00DC724C"/>
    <w:rsid w:val="00DF2D45"/>
    <w:rsid w:val="00E03E97"/>
    <w:rsid w:val="00E14A71"/>
    <w:rsid w:val="00E36A0C"/>
    <w:rsid w:val="00E4019B"/>
    <w:rsid w:val="00E40CD7"/>
    <w:rsid w:val="00E417A2"/>
    <w:rsid w:val="00E452B7"/>
    <w:rsid w:val="00E5272F"/>
    <w:rsid w:val="00E57A41"/>
    <w:rsid w:val="00E63857"/>
    <w:rsid w:val="00E639DF"/>
    <w:rsid w:val="00E7166C"/>
    <w:rsid w:val="00E86086"/>
    <w:rsid w:val="00EA035E"/>
    <w:rsid w:val="00EA7DC2"/>
    <w:rsid w:val="00EB4971"/>
    <w:rsid w:val="00EB49D7"/>
    <w:rsid w:val="00EB6B79"/>
    <w:rsid w:val="00EE58A5"/>
    <w:rsid w:val="00EE5D21"/>
    <w:rsid w:val="00EF20C4"/>
    <w:rsid w:val="00EF659E"/>
    <w:rsid w:val="00F03C53"/>
    <w:rsid w:val="00F22E89"/>
    <w:rsid w:val="00F403C2"/>
    <w:rsid w:val="00F46AA2"/>
    <w:rsid w:val="00F64681"/>
    <w:rsid w:val="00F71A0A"/>
    <w:rsid w:val="00F936CE"/>
    <w:rsid w:val="00FA7D3A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6881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48e3d1a35fd8dfb719da7b92afa6ac03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111a7f4afa227863f1202228a6fbb910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  <SharedWithUsers xmlns="4faf8b71-de24-42c7-b387-73ed9a508043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F116CA2-7F17-4DB5-81F1-AC82350F3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8e21313e-b948-4ff7-93a2-5ad4759a4f80"/>
    <ds:schemaRef ds:uri="4faf8b71-de24-42c7-b387-73ed9a5080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2148</Words>
  <Characters>11902</Characters>
  <Application>Microsoft Office Word</Application>
  <DocSecurity>0</DocSecurity>
  <Lines>626</Lines>
  <Paragraphs>501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6</cp:revision>
  <cp:lastPrinted>2007-01-18T13:22:00Z</cp:lastPrinted>
  <dcterms:created xsi:type="dcterms:W3CDTF">2026-03-27T13:24:00Z</dcterms:created>
  <dcterms:modified xsi:type="dcterms:W3CDTF">2026-03-27T13:28:00Z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